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0E2040"/>
          <w:sz w:val="60"/>
          <w:szCs w:val="60"/>
        </w:rPr>
        <w:t xml:space="preserve">MONARCH CONVICTION AMC</w:t>
      </w:r>
    </w:p>
    <w:p>
      <w:pPr>
        <w:spacing w:before="0" w:after="80"/>
        <w:jc w:val="center"/>
      </w:pPr>
      <w:r>
        <w:rPr>
          <w:rFonts w:ascii="Arial" w:cs="Arial" w:eastAsia="Arial" w:hAnsi="Arial"/>
          <w:i/>
          <w:iCs/>
          <w:color w:val="1D5FA6"/>
          <w:sz w:val="25"/>
          <w:szCs w:val="25"/>
        </w:rPr>
        <w:t xml:space="preserve">Complete Case Solution  —  Launchpad Alpha, IIM Ahmedabad 2026</w:t>
      </w:r>
    </w:p>
    <w:p>
      <w:pPr>
        <w:spacing w:before="0" w:after="80"/>
        <w:jc w:val="center"/>
      </w:pPr>
      <w:r>
        <w:rPr>
          <w:rFonts w:ascii="Arial" w:cs="Arial" w:eastAsia="Arial" w:hAnsi="Arial"/>
          <w:color w:val="4A4A4A"/>
          <w:sz w:val="22"/>
          <w:szCs w:val="22"/>
        </w:rPr>
        <w:t xml:space="preserve">Democratizing Institutional Equity. Delivering Radical Transparency.</w:t>
      </w:r>
    </w:p>
    <w:p>
      <w:pPr>
        <w:spacing w:before="0" w:after="400"/>
        <w:jc w:val="center"/>
      </w:pPr>
      <w:r>
        <w:rPr>
          <w:rFonts w:ascii="Arial" w:cs="Arial" w:eastAsia="Arial" w:hAnsi="Arial"/>
          <w:b/>
          <w:bCs/>
          <w:color w:val="0E2040"/>
          <w:sz w:val="20"/>
          <w:szCs w:val="20"/>
        </w:rPr>
        <w:t xml:space="preserve">Submission Deadline: 26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1D5FA6" w:sz="4"/>
              <w:left w:val="single" w:color="1D5FA6" w:sz="4"/>
              <w:bottom w:val="single" w:color="1D5FA6" w:sz="4"/>
              <w:right w:val="single" w:color="1D5FA6" w:sz="4"/>
            </w:tcBorders>
            <w:shd w:fill="D9E8F7" w:val="clear"/>
            <w:tcMar>
              <w:top w:type="dxa" w:w="120"/>
              <w:left w:type="dxa" w:w="100"/>
              <w:bottom w:type="dxa" w:w="120"/>
              <w:right w:type="dxa" w:w="100"/>
            </w:tcMar>
          </w:tcPr>
          <w:p>
            <w:pPr>
              <w:jc w:val="center"/>
            </w:pPr>
            <w:r>
              <w:rPr>
                <w:rFonts w:ascii="Arial" w:cs="Arial" w:eastAsia="Arial" w:hAnsi="Arial"/>
                <w:b/>
                <w:bCs/>
                <w:color w:val="0E2040"/>
                <w:sz w:val="34"/>
                <w:szCs w:val="34"/>
              </w:rPr>
              <w:t xml:space="preserve">₹75.6L Cr</w:t>
            </w:r>
          </w:p>
          <w:p>
            <w:pPr>
              <w:jc w:val="center"/>
            </w:pPr>
            <w:r>
              <w:rPr>
                <w:rFonts w:ascii="Arial" w:cs="Arial" w:eastAsia="Arial" w:hAnsi="Arial"/>
                <w:b/>
                <w:bCs/>
                <w:color w:val="1D5FA6"/>
                <w:sz w:val="17"/>
                <w:szCs w:val="17"/>
              </w:rPr>
              <w:t xml:space="preserve">India MF Industry AUM</w:t>
            </w:r>
          </w:p>
          <w:p>
            <w:pPr>
              <w:jc w:val="center"/>
            </w:pPr>
            <w:r>
              <w:rPr>
                <w:rFonts w:ascii="Arial" w:cs="Arial" w:eastAsia="Arial" w:hAnsi="Arial"/>
                <w:i/>
                <w:iCs/>
                <w:color w:val="4A4A4A"/>
                <w:sz w:val="16"/>
                <w:szCs w:val="16"/>
              </w:rPr>
              <w:t xml:space="preserve">Late 2025</w:t>
            </w:r>
          </w:p>
        </w:tc>
        <w:tc>
          <w:tcPr>
            <w:tcBorders>
              <w:top w:val="single" w:color="1D5FA6" w:sz="4"/>
              <w:left w:val="single" w:color="1D5FA6" w:sz="4"/>
              <w:bottom w:val="single" w:color="1D5FA6" w:sz="4"/>
              <w:right w:val="single" w:color="1D5FA6" w:sz="4"/>
            </w:tcBorders>
            <w:shd w:fill="D9E8F7" w:val="clear"/>
            <w:tcMar>
              <w:top w:type="dxa" w:w="120"/>
              <w:left w:type="dxa" w:w="100"/>
              <w:bottom w:type="dxa" w:w="120"/>
              <w:right w:type="dxa" w:w="100"/>
            </w:tcMar>
          </w:tcPr>
          <w:p>
            <w:pPr>
              <w:jc w:val="center"/>
            </w:pPr>
            <w:r>
              <w:rPr>
                <w:rFonts w:ascii="Arial" w:cs="Arial" w:eastAsia="Arial" w:hAnsi="Arial"/>
                <w:b/>
                <w:bCs/>
                <w:color w:val="0E2040"/>
                <w:sz w:val="34"/>
                <w:szCs w:val="34"/>
              </w:rPr>
              <w:t xml:space="preserve">5.5 Cr</w:t>
            </w:r>
          </w:p>
          <w:p>
            <w:pPr>
              <w:jc w:val="center"/>
            </w:pPr>
            <w:r>
              <w:rPr>
                <w:rFonts w:ascii="Arial" w:cs="Arial" w:eastAsia="Arial" w:hAnsi="Arial"/>
                <w:b/>
                <w:bCs/>
                <w:color w:val="1D5FA6"/>
                <w:sz w:val="17"/>
                <w:szCs w:val="17"/>
              </w:rPr>
              <w:t xml:space="preserve">Unique MF Investors</w:t>
            </w:r>
          </w:p>
          <w:p>
            <w:pPr>
              <w:jc w:val="center"/>
            </w:pPr>
            <w:r>
              <w:rPr>
                <w:rFonts w:ascii="Arial" w:cs="Arial" w:eastAsia="Arial" w:hAnsi="Arial"/>
                <w:i/>
                <w:iCs/>
                <w:color w:val="4A4A4A"/>
                <w:sz w:val="16"/>
                <w:szCs w:val="16"/>
              </w:rPr>
              <w:t xml:space="preserve">3.6% of India</w:t>
            </w:r>
          </w:p>
        </w:tc>
        <w:tc>
          <w:tcPr>
            <w:tcBorders>
              <w:top w:val="single" w:color="1D5FA6" w:sz="4"/>
              <w:left w:val="single" w:color="1D5FA6" w:sz="4"/>
              <w:bottom w:val="single" w:color="1D5FA6" w:sz="4"/>
              <w:right w:val="single" w:color="1D5FA6" w:sz="4"/>
            </w:tcBorders>
            <w:shd w:fill="D9E8F7" w:val="clear"/>
            <w:tcMar>
              <w:top w:type="dxa" w:w="120"/>
              <w:left w:type="dxa" w:w="100"/>
              <w:bottom w:type="dxa" w:w="120"/>
              <w:right w:type="dxa" w:w="100"/>
            </w:tcMar>
          </w:tcPr>
          <w:p>
            <w:pPr>
              <w:jc w:val="center"/>
            </w:pPr>
            <w:r>
              <w:rPr>
                <w:rFonts w:ascii="Arial" w:cs="Arial" w:eastAsia="Arial" w:hAnsi="Arial"/>
                <w:b/>
                <w:bCs/>
                <w:color w:val="0E2040"/>
                <w:sz w:val="34"/>
                <w:szCs w:val="34"/>
              </w:rPr>
              <w:t xml:space="preserve">₹1,000 Cr</w:t>
            </w:r>
          </w:p>
          <w:p>
            <w:pPr>
              <w:jc w:val="center"/>
            </w:pPr>
            <w:r>
              <w:rPr>
                <w:rFonts w:ascii="Arial" w:cs="Arial" w:eastAsia="Arial" w:hAnsi="Arial"/>
                <w:b/>
                <w:bCs/>
                <w:color w:val="1D5FA6"/>
                <w:sz w:val="17"/>
                <w:szCs w:val="17"/>
              </w:rPr>
              <w:t xml:space="preserve">Monarch AIF AUM</w:t>
            </w:r>
          </w:p>
          <w:p>
            <w:pPr>
              <w:jc w:val="center"/>
            </w:pPr>
            <w:r>
              <w:rPr>
                <w:rFonts w:ascii="Arial" w:cs="Arial" w:eastAsia="Arial" w:hAnsi="Arial"/>
                <w:i/>
                <w:iCs/>
                <w:color w:val="4A4A4A"/>
                <w:sz w:val="16"/>
                <w:szCs w:val="16"/>
              </w:rPr>
              <w:t xml:space="preserve">Proven track record</w:t>
            </w:r>
          </w:p>
        </w:tc>
        <w:tc>
          <w:tcPr>
            <w:tcBorders>
              <w:top w:val="single" w:color="1D5FA6" w:sz="4"/>
              <w:left w:val="single" w:color="1D5FA6" w:sz="4"/>
              <w:bottom w:val="single" w:color="1D5FA6" w:sz="4"/>
              <w:right w:val="single" w:color="1D5FA6" w:sz="4"/>
            </w:tcBorders>
            <w:shd w:fill="D9E8F7" w:val="clear"/>
            <w:tcMar>
              <w:top w:type="dxa" w:w="120"/>
              <w:left w:type="dxa" w:w="100"/>
              <w:bottom w:type="dxa" w:w="120"/>
              <w:right w:type="dxa" w:w="100"/>
            </w:tcMar>
          </w:tcPr>
          <w:p>
            <w:pPr>
              <w:jc w:val="center"/>
            </w:pPr>
            <w:r>
              <w:rPr>
                <w:rFonts w:ascii="Arial" w:cs="Arial" w:eastAsia="Arial" w:hAnsi="Arial"/>
                <w:b/>
                <w:bCs/>
                <w:color w:val="0E2040"/>
                <w:sz w:val="34"/>
                <w:szCs w:val="34"/>
              </w:rPr>
              <w:t xml:space="preserve">₹796 Cr</w:t>
            </w:r>
          </w:p>
          <w:p>
            <w:pPr>
              <w:jc w:val="center"/>
            </w:pPr>
            <w:r>
              <w:rPr>
                <w:rFonts w:ascii="Arial" w:cs="Arial" w:eastAsia="Arial" w:hAnsi="Arial"/>
                <w:b/>
                <w:bCs/>
                <w:color w:val="1D5FA6"/>
                <w:sz w:val="17"/>
                <w:szCs w:val="17"/>
              </w:rPr>
              <w:t xml:space="preserve">Monarch Networth</w:t>
            </w:r>
          </w:p>
          <w:p>
            <w:pPr>
              <w:jc w:val="center"/>
            </w:pPr>
            <w:r>
              <w:rPr>
                <w:rFonts w:ascii="Arial" w:cs="Arial" w:eastAsia="Arial" w:hAnsi="Arial"/>
                <w:i/>
                <w:iCs/>
                <w:color w:val="4A4A4A"/>
                <w:sz w:val="16"/>
                <w:szCs w:val="16"/>
              </w:rPr>
              <w:t xml:space="preserve">Balance sheet strength</w:t>
            </w:r>
          </w:p>
        </w:tc>
      </w:tr>
    </w:tbl>
    <w:p>
      <w:pPr>
        <w:spacing w:before="16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5FA6" w:sz="4"/>
              <w:left w:val="thick" w:color="1D5FA6" w:sz="20"/>
              <w:bottom w:val="single" w:color="1D5FA6" w:sz="4"/>
              <w:right w:val="single" w:color="1D5FA6" w:sz="4"/>
            </w:tcBorders>
            <w:shd w:fill="D9E8F7" w:val="clear"/>
            <w:tcMar>
              <w:top w:type="dxa" w:w="140"/>
              <w:left w:type="dxa" w:w="220"/>
              <w:bottom w:type="dxa" w:w="140"/>
              <w:right w:type="dxa" w:w="140"/>
            </w:tcMar>
          </w:tcPr>
          <w:p>
            <w:pPr>
              <w:spacing w:before="0" w:after="60"/>
            </w:pPr>
            <w:r>
              <w:rPr>
                <w:rFonts w:ascii="Arial" w:cs="Arial" w:eastAsia="Arial" w:hAnsi="Arial"/>
                <w:b/>
                <w:bCs/>
                <w:color w:val="0E2040"/>
                <w:sz w:val="22"/>
                <w:szCs w:val="22"/>
              </w:rPr>
              <w:t xml:space="preserve">Strategic Thesis in One Sentence</w:t>
            </w:r>
          </w:p>
          <w:p>
            <w:pPr>
              <w:spacing w:before="40" w:after="40"/>
            </w:pPr>
            <w:r>
              <w:rPr>
                <w:rFonts w:ascii="Arial" w:cs="Arial" w:eastAsia="Arial" w:hAnsi="Arial"/>
                <w:color w:val="1C1C1E"/>
                <w:sz w:val="20"/>
                <w:szCs w:val="20"/>
              </w:rPr>
              <w:t xml:space="preserve">Monarch is the only new AMC entrant with a live, SEBI-audited, ₹1,000 crore AIF track record in concentrated equity — and Monarch Conviction AMC exists to remove the ₹1 crore barrier that currently prevents India's 30–50 lakh informed equity investors from accessing that process, bridging them through a legally structured MF → SIF → AIF journey while being the first AMC in India to publish post-tax, post-fee, post-inflation real-return transparency as a core product feature.</w:t>
            </w:r>
          </w:p>
        </w:tc>
      </w:tr>
    </w:tbl>
    <w:p>
      <w:pPr>
        <w:spacing w:before="160" w:after="0"/>
      </w:pPr>
      <w:r>
        <w:rPr>
          <w:rFonts w:ascii="Arial" w:cs="Arial" w:eastAsia="Arial" w:hAnsi="Arial"/>
          <w:color w:val="1C1C1E"/>
          <w:sz w:val="21"/>
          <w:szCs w:val="21"/>
        </w:rPr>
        <w:t xml:space="preserve"/>
      </w:r>
    </w:p>
    <w:p>
      <w:pPr>
        <w:pStyle w:val="Heading1"/>
        <w:pBdr>
          <w:bottom w:val="thick" w:color="1D5FA6" w:sz="6" w:space="4"/>
        </w:pBdr>
        <w:spacing w:before="480" w:after="200"/>
      </w:pPr>
      <w:r>
        <w:rPr>
          <w:rFonts w:ascii="Arial" w:cs="Arial" w:eastAsia="Arial" w:hAnsi="Arial"/>
          <w:b/>
          <w:bCs/>
          <w:color w:val="0E2040"/>
          <w:sz w:val="34"/>
          <w:szCs w:val="34"/>
        </w:rPr>
        <w:t xml:space="preserve">DOCUMENT STRUCTURE</w:t>
      </w:r>
    </w:p>
    <w:p>
      <w:pPr>
        <w:spacing w:before="80" w:after="80"/>
      </w:pPr>
      <w:r>
        <w:rPr>
          <w:rFonts w:ascii="Arial" w:cs="Arial" w:eastAsia="Arial" w:hAnsi="Arial"/>
          <w:color w:val="1C1C1E"/>
          <w:sz w:val="21"/>
          <w:szCs w:val="21"/>
        </w:rPr>
        <w:t xml:space="preserve">This document is the complete solution guide for the Monarch AMC case. It is organized in two parts: Part A provides the full analytical foundation — every claim, data point, framework, and financial model that underpins the solution. Part B provides the complete slide-by-slide content blueprint for all 11 slides, including exact copy, layout guidance, visual recommendations, and pre-built answers to anticipated judge questions.</w:t>
      </w:r>
    </w:p>
    <w:p>
      <w:pPr>
        <w:spacing w:before="8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360"/>
      </w:tblGrid>
      <w:tr>
        <w:trPr>
          <w:tblHeader/>
        </w:trPr>
        <w:tc>
          <w:tcPr>
            <w:tcW w:type="dxa" w:w="10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Section</w:t>
            </w:r>
          </w:p>
        </w:tc>
        <w:tc>
          <w:tcPr>
            <w:tcW w:type="dxa" w:w="60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Title</w:t>
            </w:r>
          </w:p>
        </w:tc>
        <w:tc>
          <w:tcPr>
            <w:tcW w:type="dxa" w:w="23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Pages</w:t>
            </w:r>
          </w:p>
        </w:tc>
      </w:tr>
      <w:tr>
        <w:tc>
          <w:tcPr>
            <w:tcW w:type="dxa" w:w="1000"/>
            <w:tcBorders>
              <w:top w:val="single" w:color="0E2040" w:sz="4"/>
              <w:left w:val="single" w:color="0E2040" w:sz="4"/>
              <w:bottom w:val="single" w:color="0E2040" w:sz="4"/>
              <w:right w:val="single" w:color="0E2040" w:sz="4"/>
            </w:tcBorders>
            <w:shd w:fill="0E2040"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PART A</w:t>
            </w:r>
          </w:p>
        </w:tc>
        <w:tc>
          <w:tcPr>
            <w:tcW w:type="dxa" w:w="6000"/>
            <w:tcBorders>
              <w:top w:val="single" w:color="0E2040" w:sz="4"/>
              <w:left w:val="single" w:color="0E2040" w:sz="4"/>
              <w:bottom w:val="single" w:color="0E2040" w:sz="4"/>
              <w:right w:val="single" w:color="0E2040" w:sz="4"/>
            </w:tcBorders>
            <w:shd w:fill="0E2040"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ANALYTICAL FOUNDATION</w:t>
            </w:r>
          </w:p>
        </w:tc>
        <w:tc>
          <w:tcPr>
            <w:tcW w:type="dxa" w:w="2360"/>
            <w:tcBorders>
              <w:top w:val="single" w:color="0E2040" w:sz="4"/>
              <w:left w:val="single" w:color="0E2040" w:sz="4"/>
              <w:bottom w:val="single" w:color="0E2040" w:sz="4"/>
              <w:right w:val="single" w:color="0E2040" w:sz="4"/>
            </w:tcBorders>
            <w:shd w:fill="0E2040" w:val="clear"/>
            <w:tcMar>
              <w:top w:type="dxa" w:w="90"/>
              <w:left w:type="dxa" w:w="140"/>
              <w:bottom w:type="dxa" w:w="90"/>
              <w:right w:type="dxa" w:w="140"/>
            </w:tcMar>
            <w:vAlign w:val="center"/>
          </w:tcPr>
          <w:p>
            <w:pPr>
              <w:jc w:val="left"/>
            </w:pPr>
            <w:r>
              <w:rPr>
                <w:rFonts w:ascii="Arial" w:cs="Arial" w:eastAsia="Arial" w:hAnsi="Arial"/>
                <w:b w:val="false"/>
                <w:bCs w:val="false"/>
                <w:color w:val="FFFFFF"/>
                <w:sz w:val="18"/>
                <w:szCs w:val="18"/>
              </w:rPr>
              <w:t xml:space="preserve"/>
            </w:r>
          </w:p>
        </w:tc>
      </w:tr>
      <w:tr>
        <w:tc>
          <w:tcPr>
            <w:tcW w:type="dxa" w:w="1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w:t>
            </w:r>
          </w:p>
        </w:tc>
        <w:tc>
          <w:tcPr>
            <w:tcW w:type="dxa" w:w="6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Industry Context: MF Ecosystem, BER Economics, Three Vehicles</w:t>
            </w:r>
          </w:p>
        </w:tc>
        <w:tc>
          <w:tcPr>
            <w:tcW w:type="dxa" w:w="2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Deep-dive</w:t>
            </w:r>
          </w:p>
        </w:tc>
      </w:tr>
      <w:tr>
        <w:tc>
          <w:tcPr>
            <w:tcW w:type="dxa" w:w="1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w:t>
            </w:r>
          </w:p>
        </w:tc>
        <w:tc>
          <w:tcPr>
            <w:tcW w:type="dxa" w:w="6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The Four Structural Problems We Are Solving</w:t>
            </w:r>
          </w:p>
        </w:tc>
        <w:tc>
          <w:tcPr>
            <w:tcW w:type="dxa" w:w="2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Critical</w:t>
            </w:r>
          </w:p>
        </w:tc>
      </w:tr>
      <w:tr>
        <w:tc>
          <w:tcPr>
            <w:tcW w:type="dxa" w:w="1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3</w:t>
            </w:r>
          </w:p>
        </w:tc>
        <w:tc>
          <w:tcPr>
            <w:tcW w:type="dxa" w:w="6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Our Thesis: Why Only Monarch, Why Now</w:t>
            </w:r>
          </w:p>
        </w:tc>
        <w:tc>
          <w:tcPr>
            <w:tcW w:type="dxa" w:w="2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Differentiator</w:t>
            </w:r>
          </w:p>
        </w:tc>
      </w:tr>
      <w:tr>
        <w:tc>
          <w:tcPr>
            <w:tcW w:type="dxa" w:w="1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4</w:t>
            </w:r>
          </w:p>
        </w:tc>
        <w:tc>
          <w:tcPr>
            <w:tcW w:type="dxa" w:w="6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Product Architecture: Three-Tier Fund Design</w:t>
            </w:r>
          </w:p>
        </w:tc>
        <w:tc>
          <w:tcPr>
            <w:tcW w:type="dxa" w:w="2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Detail</w:t>
            </w:r>
          </w:p>
        </w:tc>
      </w:tr>
      <w:tr>
        <w:tc>
          <w:tcPr>
            <w:tcW w:type="dxa" w:w="1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5</w:t>
            </w:r>
          </w:p>
        </w:tc>
        <w:tc>
          <w:tcPr>
            <w:tcW w:type="dxa" w:w="6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Business Model: Cost Structure, Revenue, Breakeven</w:t>
            </w:r>
          </w:p>
        </w:tc>
        <w:tc>
          <w:tcPr>
            <w:tcW w:type="dxa" w:w="2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Financials</w:t>
            </w:r>
          </w:p>
        </w:tc>
      </w:tr>
      <w:tr>
        <w:tc>
          <w:tcPr>
            <w:tcW w:type="dxa" w:w="1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6</w:t>
            </w:r>
          </w:p>
        </w:tc>
        <w:tc>
          <w:tcPr>
            <w:tcW w:type="dxa" w:w="6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Go-to-Market: Three-Phase Pull Strategy</w:t>
            </w:r>
          </w:p>
        </w:tc>
        <w:tc>
          <w:tcPr>
            <w:tcW w:type="dxa" w:w="2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Execution</w:t>
            </w:r>
          </w:p>
        </w:tc>
      </w:tr>
      <w:tr>
        <w:tc>
          <w:tcPr>
            <w:tcW w:type="dxa" w:w="1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7</w:t>
            </w:r>
          </w:p>
        </w:tc>
        <w:tc>
          <w:tcPr>
            <w:tcW w:type="dxa" w:w="6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Competitive Landscape: Honest Assessment</w:t>
            </w:r>
          </w:p>
        </w:tc>
        <w:tc>
          <w:tcPr>
            <w:tcW w:type="dxa" w:w="2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Rigorous</w:t>
            </w:r>
          </w:p>
        </w:tc>
      </w:tr>
      <w:tr>
        <w:tc>
          <w:tcPr>
            <w:tcW w:type="dxa" w:w="1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8</w:t>
            </w:r>
          </w:p>
        </w:tc>
        <w:tc>
          <w:tcPr>
            <w:tcW w:type="dxa" w:w="6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Regulatory Compliance: Full SEBI Checklist</w:t>
            </w:r>
          </w:p>
        </w:tc>
        <w:tc>
          <w:tcPr>
            <w:tcW w:type="dxa" w:w="2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Proof</w:t>
            </w:r>
          </w:p>
        </w:tc>
      </w:tr>
      <w:tr>
        <w:tc>
          <w:tcPr>
            <w:tcW w:type="dxa" w:w="1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9</w:t>
            </w:r>
          </w:p>
        </w:tc>
        <w:tc>
          <w:tcPr>
            <w:tcW w:type="dxa" w:w="6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Risk Register: Six Risks With Mitigations</w:t>
            </w:r>
          </w:p>
        </w:tc>
        <w:tc>
          <w:tcPr>
            <w:tcW w:type="dxa" w:w="2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Safeguards</w:t>
            </w:r>
          </w:p>
        </w:tc>
      </w:tr>
      <w:tr>
        <w:tc>
          <w:tcPr>
            <w:tcW w:type="dxa" w:w="1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10</w:t>
            </w:r>
          </w:p>
        </w:tc>
        <w:tc>
          <w:tcPr>
            <w:tcW w:type="dxa" w:w="6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Five-Year Financials: Base + Conservative Cases</w:t>
            </w:r>
          </w:p>
        </w:tc>
        <w:tc>
          <w:tcPr>
            <w:tcW w:type="dxa" w:w="2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Numbers</w:t>
            </w:r>
          </w:p>
        </w:tc>
      </w:tr>
      <w:tr>
        <w:tc>
          <w:tcPr>
            <w:tcW w:type="dxa" w:w="1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11</w:t>
            </w:r>
          </w:p>
        </w:tc>
        <w:tc>
          <w:tcPr>
            <w:tcW w:type="dxa" w:w="6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Strategic Coherence Test: The Logic Chain</w:t>
            </w:r>
          </w:p>
        </w:tc>
        <w:tc>
          <w:tcPr>
            <w:tcW w:type="dxa" w:w="2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Validation</w:t>
            </w:r>
          </w:p>
        </w:tc>
      </w:tr>
      <w:tr>
        <w:tc>
          <w:tcPr>
            <w:tcW w:type="dxa" w:w="1000"/>
            <w:tcBorders>
              <w:top w:val="single" w:color="0E2040" w:sz="4"/>
              <w:left w:val="single" w:color="0E2040" w:sz="4"/>
              <w:bottom w:val="single" w:color="0E2040" w:sz="4"/>
              <w:right w:val="single" w:color="0E2040" w:sz="4"/>
            </w:tcBorders>
            <w:shd w:fill="0E2040"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PART B</w:t>
            </w:r>
          </w:p>
        </w:tc>
        <w:tc>
          <w:tcPr>
            <w:tcW w:type="dxa" w:w="6000"/>
            <w:tcBorders>
              <w:top w:val="single" w:color="0E2040" w:sz="4"/>
              <w:left w:val="single" w:color="0E2040" w:sz="4"/>
              <w:bottom w:val="single" w:color="0E2040" w:sz="4"/>
              <w:right w:val="single" w:color="0E2040" w:sz="4"/>
            </w:tcBorders>
            <w:shd w:fill="0E2040"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SLIDE-BY-SLIDE BLUEPRINT (All 11 Slides)</w:t>
            </w:r>
          </w:p>
        </w:tc>
        <w:tc>
          <w:tcPr>
            <w:tcW w:type="dxa" w:w="2360"/>
            <w:tcBorders>
              <w:top w:val="single" w:color="0E2040" w:sz="4"/>
              <w:left w:val="single" w:color="0E2040" w:sz="4"/>
              <w:bottom w:val="single" w:color="0E2040" w:sz="4"/>
              <w:right w:val="single" w:color="0E2040" w:sz="4"/>
            </w:tcBorders>
            <w:shd w:fill="0E2040" w:val="clear"/>
            <w:tcMar>
              <w:top w:type="dxa" w:w="90"/>
              <w:left w:type="dxa" w:w="140"/>
              <w:bottom w:type="dxa" w:w="90"/>
              <w:right w:type="dxa" w:w="140"/>
            </w:tcMar>
            <w:vAlign w:val="center"/>
          </w:tcPr>
          <w:p>
            <w:pPr>
              <w:jc w:val="left"/>
            </w:pPr>
            <w:r>
              <w:rPr>
                <w:rFonts w:ascii="Arial" w:cs="Arial" w:eastAsia="Arial" w:hAnsi="Arial"/>
                <w:b w:val="false"/>
                <w:bCs w:val="false"/>
                <w:color w:val="FFFFFF"/>
                <w:sz w:val="18"/>
                <w:szCs w:val="18"/>
              </w:rPr>
              <w:t xml:space="preserve"/>
            </w:r>
          </w:p>
        </w:tc>
      </w:tr>
      <w:tr>
        <w:tc>
          <w:tcPr>
            <w:tcW w:type="dxa" w:w="1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Slide 1</w:t>
            </w:r>
          </w:p>
        </w:tc>
        <w:tc>
          <w:tcPr>
            <w:tcW w:type="dxa" w:w="6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Title Slide — Monarch Conviction AMC</w:t>
            </w:r>
          </w:p>
        </w:tc>
        <w:tc>
          <w:tcPr>
            <w:tcW w:type="dxa" w:w="2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Opening</w:t>
            </w:r>
          </w:p>
        </w:tc>
      </w:tr>
      <w:tr>
        <w:tc>
          <w:tcPr>
            <w:tcW w:type="dxa" w:w="1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Slide 2</w:t>
            </w:r>
          </w:p>
        </w:tc>
        <w:tc>
          <w:tcPr>
            <w:tcW w:type="dxa" w:w="6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Body 1 — Four Structural Failures, One Architecture</w:t>
            </w:r>
          </w:p>
        </w:tc>
        <w:tc>
          <w:tcPr>
            <w:tcW w:type="dxa" w:w="2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Problem</w:t>
            </w:r>
          </w:p>
        </w:tc>
      </w:tr>
      <w:tr>
        <w:tc>
          <w:tcPr>
            <w:tcW w:type="dxa" w:w="1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Slide 3</w:t>
            </w:r>
          </w:p>
        </w:tc>
        <w:tc>
          <w:tcPr>
            <w:tcW w:type="dxa" w:w="6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Body 2 — Monarch's Unfair Advantages</w:t>
            </w:r>
          </w:p>
        </w:tc>
        <w:tc>
          <w:tcPr>
            <w:tcW w:type="dxa" w:w="2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Position</w:t>
            </w:r>
          </w:p>
        </w:tc>
      </w:tr>
      <w:tr>
        <w:tc>
          <w:tcPr>
            <w:tcW w:type="dxa" w:w="1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Slide 4</w:t>
            </w:r>
          </w:p>
        </w:tc>
        <w:tc>
          <w:tcPr>
            <w:tcW w:type="dxa" w:w="6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Body 3 — Product Architecture: Three-Tier Journey</w:t>
            </w:r>
          </w:p>
        </w:tc>
        <w:tc>
          <w:tcPr>
            <w:tcW w:type="dxa" w:w="2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Product</w:t>
            </w:r>
          </w:p>
        </w:tc>
      </w:tr>
      <w:tr>
        <w:tc>
          <w:tcPr>
            <w:tcW w:type="dxa" w:w="1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Slide 5</w:t>
            </w:r>
          </w:p>
        </w:tc>
        <w:tc>
          <w:tcPr>
            <w:tcW w:type="dxa" w:w="6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Body 4 — Business Model &amp; Financial Viability</w:t>
            </w:r>
          </w:p>
        </w:tc>
        <w:tc>
          <w:tcPr>
            <w:tcW w:type="dxa" w:w="2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Economics</w:t>
            </w:r>
          </w:p>
        </w:tc>
      </w:tr>
      <w:tr>
        <w:tc>
          <w:tcPr>
            <w:tcW w:type="dxa" w:w="1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Slide 6</w:t>
            </w:r>
          </w:p>
        </w:tc>
        <w:tc>
          <w:tcPr>
            <w:tcW w:type="dxa" w:w="6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Body 5 — Go-to-Market: Distribution Without Dependency</w:t>
            </w:r>
          </w:p>
        </w:tc>
        <w:tc>
          <w:tcPr>
            <w:tcW w:type="dxa" w:w="2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GTM</w:t>
            </w:r>
          </w:p>
        </w:tc>
      </w:tr>
      <w:tr>
        <w:tc>
          <w:tcPr>
            <w:tcW w:type="dxa" w:w="1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Slide 7</w:t>
            </w:r>
          </w:p>
        </w:tc>
        <w:tc>
          <w:tcPr>
            <w:tcW w:type="dxa" w:w="6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Body 6 — Why This Works: Strategic Coherence &amp; 10-Year Vision</w:t>
            </w:r>
          </w:p>
        </w:tc>
        <w:tc>
          <w:tcPr>
            <w:tcW w:type="dxa" w:w="2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Synthesis</w:t>
            </w:r>
          </w:p>
        </w:tc>
      </w:tr>
      <w:tr>
        <w:tc>
          <w:tcPr>
            <w:tcW w:type="dxa" w:w="1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Slide 8</w:t>
            </w:r>
          </w:p>
        </w:tc>
        <w:tc>
          <w:tcPr>
            <w:tcW w:type="dxa" w:w="6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Appendix 1 — Competitive Landscape Matrix</w:t>
            </w:r>
          </w:p>
        </w:tc>
        <w:tc>
          <w:tcPr>
            <w:tcW w:type="dxa" w:w="2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Depth</w:t>
            </w:r>
          </w:p>
        </w:tc>
      </w:tr>
      <w:tr>
        <w:tc>
          <w:tcPr>
            <w:tcW w:type="dxa" w:w="1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Slide 9</w:t>
            </w:r>
          </w:p>
        </w:tc>
        <w:tc>
          <w:tcPr>
            <w:tcW w:type="dxa" w:w="6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Appendix 2 — Regulatory Compliance Summary</w:t>
            </w:r>
          </w:p>
        </w:tc>
        <w:tc>
          <w:tcPr>
            <w:tcW w:type="dxa" w:w="2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Compliance</w:t>
            </w:r>
          </w:p>
        </w:tc>
      </w:tr>
      <w:tr>
        <w:tc>
          <w:tcPr>
            <w:tcW w:type="dxa" w:w="1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Slide 10</w:t>
            </w:r>
          </w:p>
        </w:tc>
        <w:tc>
          <w:tcPr>
            <w:tcW w:type="dxa" w:w="6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Appendix 3 — Financial Model Detail &amp; Dual Scenario</w:t>
            </w:r>
          </w:p>
        </w:tc>
        <w:tc>
          <w:tcPr>
            <w:tcW w:type="dxa" w:w="2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Validation</w:t>
            </w:r>
          </w:p>
        </w:tc>
      </w:tr>
      <w:tr>
        <w:tc>
          <w:tcPr>
            <w:tcW w:type="dxa" w:w="1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Slide 11</w:t>
            </w:r>
          </w:p>
        </w:tc>
        <w:tc>
          <w:tcPr>
            <w:tcW w:type="dxa" w:w="6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Appendix 4 — Real Return Dashboard Specification</w:t>
            </w:r>
          </w:p>
        </w:tc>
        <w:tc>
          <w:tcPr>
            <w:tcW w:type="dxa" w:w="2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Innovation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5FA6" w:val="clear"/>
            <w:tcMar>
              <w:top w:type="dxa" w:w="160"/>
              <w:left w:type="dxa" w:w="240"/>
              <w:bottom w:type="dxa" w:w="160"/>
              <w:right w:type="dxa" w:w="240"/>
            </w:tcMar>
          </w:tcPr>
          <w:p>
            <w:pPr>
              <w:jc w:val="center"/>
            </w:pPr>
            <w:r>
              <w:rPr>
                <w:rFonts w:ascii="Arial" w:cs="Arial" w:eastAsia="Arial" w:hAnsi="Arial"/>
                <w:b/>
                <w:bCs/>
                <w:color w:val="FFFFFF"/>
                <w:sz w:val="30"/>
                <w:szCs w:val="30"/>
              </w:rPr>
              <w:t xml:space="preserve">PART A: ANALYTICAL FOUNDATION</w:t>
            </w:r>
          </w:p>
        </w:tc>
      </w:tr>
    </w:tbl>
    <w:p>
      <w:pPr>
        <w:spacing w:before="160" w:after="0"/>
      </w:pPr>
      <w:r>
        <w:rPr>
          <w:rFonts w:ascii="Arial" w:cs="Arial" w:eastAsia="Arial" w:hAnsi="Arial"/>
          <w:color w:val="1C1C1E"/>
          <w:sz w:val="21"/>
          <w:szCs w:val="21"/>
        </w:rPr>
        <w:t xml:space="preserve"/>
      </w:r>
    </w:p>
    <w:p>
      <w:pPr>
        <w:pStyle w:val="Heading1"/>
        <w:pBdr>
          <w:bottom w:val="thick" w:color="1D5FA6" w:sz="6" w:space="4"/>
        </w:pBdr>
        <w:spacing w:before="480" w:after="200"/>
      </w:pPr>
      <w:r>
        <w:rPr>
          <w:rFonts w:ascii="Arial" w:cs="Arial" w:eastAsia="Arial" w:hAnsi="Arial"/>
          <w:b/>
          <w:bCs/>
          <w:color w:val="0E2040"/>
          <w:sz w:val="34"/>
          <w:szCs w:val="34"/>
        </w:rPr>
        <w:t xml:space="preserve">SECTION 1: UNDERSTANDING THE INDUSTRY</w:t>
      </w:r>
    </w:p>
    <w:p>
      <w:pPr>
        <w:spacing w:before="80" w:after="80"/>
      </w:pPr>
      <w:r>
        <w:rPr>
          <w:rFonts w:ascii="Arial" w:cs="Arial" w:eastAsia="Arial" w:hAnsi="Arial"/>
          <w:color w:val="1C1C1E"/>
          <w:sz w:val="21"/>
          <w:szCs w:val="21"/>
        </w:rPr>
        <w:t xml:space="preserve">Before designing any solution, a judge must believe the team understands how the industry actually works — not at surface level, but mechanically. This section covers mutual fund economics, legal structure, SEBI scheme categorisation, and the three investment vehicles relevant to the case. Every fact here feeds directly into product design, financial projections, and competitive positioning.</w:t>
      </w:r>
    </w:p>
    <w:p>
      <w:pPr>
        <w:spacing w:before="80" w:after="0"/>
      </w:pPr>
      <w:r>
        <w:rPr>
          <w:rFonts w:ascii="Arial" w:cs="Arial" w:eastAsia="Arial" w:hAnsi="Arial"/>
          <w:color w:val="1C1C1E"/>
          <w:sz w:val="21"/>
          <w:szCs w:val="21"/>
        </w:rPr>
        <w:t xml:space="preserve"/>
      </w:r>
    </w:p>
    <w:p>
      <w:pPr>
        <w:pStyle w:val="Heading2"/>
        <w:spacing w:before="320" w:after="120"/>
      </w:pPr>
      <w:r>
        <w:rPr>
          <w:rFonts w:ascii="Arial" w:cs="Arial" w:eastAsia="Arial" w:hAnsi="Arial"/>
          <w:b/>
          <w:bCs/>
          <w:color w:val="1D5FA6"/>
          <w:sz w:val="27"/>
          <w:szCs w:val="27"/>
        </w:rPr>
        <w:t xml:space="preserve">1.1 What a Mutual Fund Is — and How It Makes Money</w:t>
      </w:r>
    </w:p>
    <w:p>
      <w:pPr>
        <w:spacing w:before="80" w:after="80"/>
      </w:pPr>
      <w:r>
        <w:rPr>
          <w:rFonts w:ascii="Arial" w:cs="Arial" w:eastAsia="Arial" w:hAnsi="Arial"/>
          <w:color w:val="1C1C1E"/>
          <w:sz w:val="21"/>
          <w:szCs w:val="21"/>
        </w:rPr>
        <w:t xml:space="preserve">A mutual fund is a pooled investment vehicle. Many investors contribute money into a collective pool managed by a professional fund manager who invests in stocks, bonds, or other securities. Each investor owns proportional 'units' priced daily via NAV (Net Asset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5FA6" w:sz="4"/>
              <w:left w:val="thick" w:color="1D5FA6" w:sz="20"/>
              <w:bottom w:val="single" w:color="1D5FA6" w:sz="4"/>
              <w:right w:val="single" w:color="1D5FA6" w:sz="4"/>
            </w:tcBorders>
            <w:shd w:fill="EEF5FC" w:val="clear"/>
            <w:tcMar>
              <w:top w:type="dxa" w:w="140"/>
              <w:left w:type="dxa" w:w="220"/>
              <w:bottom w:type="dxa" w:w="140"/>
              <w:right w:type="dxa" w:w="140"/>
            </w:tcMar>
          </w:tcPr>
          <w:p>
            <w:pPr>
              <w:spacing w:before="0" w:after="60"/>
            </w:pPr>
            <w:r>
              <w:rPr>
                <w:rFonts w:ascii="Arial" w:cs="Arial" w:eastAsia="Arial" w:hAnsi="Arial"/>
                <w:b/>
                <w:bCs/>
                <w:color w:val="0E2040"/>
                <w:sz w:val="22"/>
                <w:szCs w:val="22"/>
              </w:rPr>
              <w:t xml:space="preserve">NAV Formula</w:t>
            </w:r>
          </w:p>
          <w:p>
            <w:pPr>
              <w:spacing w:before="40" w:after="40"/>
            </w:pPr>
            <w:r>
              <w:rPr>
                <w:rFonts w:ascii="Arial" w:cs="Arial" w:eastAsia="Arial" w:hAnsi="Arial"/>
                <w:color w:val="1C1C1E"/>
                <w:sz w:val="20"/>
                <w:szCs w:val="20"/>
              </w:rPr>
              <w:t xml:space="preserve">NAV = (Total Market Value of Assets − Liabilities) ÷ Number of Units Outstanding</w:t>
            </w:r>
          </w:p>
          <w:p>
            <w:pPr>
              <w:spacing w:before="40" w:after="40"/>
            </w:pPr>
            <w:r>
              <w:rPr>
                <w:rFonts w:ascii="Arial" w:cs="Arial" w:eastAsia="Arial" w:hAnsi="Arial"/>
                <w:color w:val="1C1C1E"/>
                <w:sz w:val="20"/>
                <w:szCs w:val="20"/>
              </w:rPr>
              <w:t xml:space="preserve">NAV is calculated at market close every business day. All transactions — purchases and redemptions — are processed at the next calculated NAV, protecting existing investors from intraday gaming.</w:t>
            </w:r>
          </w:p>
        </w:tc>
      </w:tr>
    </w:tbl>
    <w:p>
      <w:pPr>
        <w:spacing w:before="80" w:after="0"/>
      </w:pPr>
      <w:r>
        <w:rPr>
          <w:rFonts w:ascii="Arial" w:cs="Arial" w:eastAsia="Arial" w:hAnsi="Arial"/>
          <w:color w:val="1C1C1E"/>
          <w:sz w:val="21"/>
          <w:szCs w:val="21"/>
        </w:rPr>
        <w:t xml:space="preserve"/>
      </w:r>
    </w:p>
    <w:p>
      <w:pPr>
        <w:spacing w:before="220" w:after="80"/>
      </w:pPr>
      <w:r>
        <w:rPr>
          <w:rFonts w:ascii="Arial" w:cs="Arial" w:eastAsia="Arial" w:hAnsi="Arial"/>
          <w:b/>
          <w:bCs/>
          <w:color w:val="0E2040"/>
          <w:sz w:val="23"/>
          <w:szCs w:val="23"/>
        </w:rPr>
        <w:t xml:space="preserve">The Legal Three-Party Structure (Mandatory Under SEBI Law)</w:t>
      </w:r>
    </w:p>
    <w:p>
      <w:pPr>
        <w:spacing w:before="80" w:after="80"/>
      </w:pPr>
      <w:r>
        <w:rPr>
          <w:rFonts w:ascii="Arial" w:cs="Arial" w:eastAsia="Arial" w:hAnsi="Arial"/>
          <w:color w:val="1C1C1E"/>
          <w:sz w:val="21"/>
          <w:szCs w:val="21"/>
        </w:rPr>
        <w:t xml:space="preserve">By SEBI regulation, every mutual fund in India must be structured as a trust with three legally separate entities:</w:t>
      </w:r>
    </w:p>
    <w:p>
      <w:pPr>
        <w:pStyle w:val="ListParagraph"/>
        <w:numPr>
          <w:ilvl w:val="0"/>
          <w:numId w:val="2"/>
        </w:numPr>
        <w:spacing w:before="40" w:after="40"/>
      </w:pPr>
      <w:r>
        <w:rPr>
          <w:rFonts w:ascii="Arial" w:cs="Arial" w:eastAsia="Arial" w:hAnsi="Arial"/>
          <w:b/>
          <w:bCs/>
          <w:color w:val="0E2040"/>
          <w:sz w:val="21"/>
          <w:szCs w:val="21"/>
        </w:rPr>
        <w:t xml:space="preserve">Sponsor: </w:t>
      </w:r>
      <w:r>
        <w:rPr>
          <w:rFonts w:ascii="Arial" w:cs="Arial" w:eastAsia="Arial" w:hAnsi="Arial"/>
          <w:color w:val="1C1C1E"/>
          <w:sz w:val="21"/>
          <w:szCs w:val="21"/>
        </w:rPr>
        <w:t xml:space="preserve">Monarch Networth Capital Ltd. Sets up the structure, obtains SEBI approval, must maintain ≥40% stake for minimum 5 years. Provides the initial capital and regulatory covenant.</w:t>
      </w:r>
    </w:p>
    <w:p>
      <w:pPr>
        <w:pStyle w:val="ListParagraph"/>
        <w:numPr>
          <w:ilvl w:val="0"/>
          <w:numId w:val="2"/>
        </w:numPr>
        <w:spacing w:before="40" w:after="40"/>
      </w:pPr>
      <w:r>
        <w:rPr>
          <w:rFonts w:ascii="Arial" w:cs="Arial" w:eastAsia="Arial" w:hAnsi="Arial"/>
          <w:b/>
          <w:bCs/>
          <w:color w:val="0E2040"/>
          <w:sz w:val="21"/>
          <w:szCs w:val="21"/>
        </w:rPr>
        <w:t xml:space="preserve">Trustee Company: </w:t>
      </w:r>
      <w:r>
        <w:rPr>
          <w:rFonts w:ascii="Arial" w:cs="Arial" w:eastAsia="Arial" w:hAnsi="Arial"/>
          <w:color w:val="1C1C1E"/>
          <w:sz w:val="21"/>
          <w:szCs w:val="21"/>
        </w:rPr>
        <w:t xml:space="preserve">An independent board that legally holds investor assets on behalf of investors. Supervises the AMC. Does not manage day-to-day investments. If the AMC becomes insolvent, investor money remains protected under the trust.</w:t>
      </w:r>
    </w:p>
    <w:p>
      <w:pPr>
        <w:pStyle w:val="ListParagraph"/>
        <w:numPr>
          <w:ilvl w:val="0"/>
          <w:numId w:val="2"/>
        </w:numPr>
        <w:spacing w:before="40" w:after="40"/>
      </w:pPr>
      <w:r>
        <w:rPr>
          <w:rFonts w:ascii="Arial" w:cs="Arial" w:eastAsia="Arial" w:hAnsi="Arial"/>
          <w:b/>
          <w:bCs/>
          <w:color w:val="0E2040"/>
          <w:sz w:val="21"/>
          <w:szCs w:val="21"/>
        </w:rPr>
        <w:t xml:space="preserve">AMC (Asset Management Company): </w:t>
      </w:r>
      <w:r>
        <w:rPr>
          <w:rFonts w:ascii="Arial" w:cs="Arial" w:eastAsia="Arial" w:hAnsi="Arial"/>
          <w:color w:val="1C1C1E"/>
          <w:sz w:val="21"/>
          <w:szCs w:val="21"/>
        </w:rPr>
        <w:t xml:space="preserve">The operating entity. Hires fund managers, runs research, executes trades, communicates with investors, charges fees. Does not legally own investor assets — it is a fee-earning service provider to the Trust.</w:t>
      </w:r>
    </w:p>
    <w:p>
      <w:pPr>
        <w:spacing w:before="80" w:after="0"/>
      </w:pPr>
      <w:r>
        <w:rPr>
          <w:rFonts w:ascii="Arial" w:cs="Arial" w:eastAsia="Arial" w:hAnsi="Arial"/>
          <w:color w:val="1C1C1E"/>
          <w:sz w:val="21"/>
          <w:szCs w:val="21"/>
        </w:rPr>
        <w:t xml:space="preserve"/>
      </w:r>
    </w:p>
    <w:p>
      <w:pPr>
        <w:spacing w:before="220" w:after="80"/>
      </w:pPr>
      <w:r>
        <w:rPr>
          <w:rFonts w:ascii="Arial" w:cs="Arial" w:eastAsia="Arial" w:hAnsi="Arial"/>
          <w:b/>
          <w:bCs/>
          <w:color w:val="0E2040"/>
          <w:sz w:val="23"/>
          <w:szCs w:val="23"/>
        </w:rPr>
        <w:t xml:space="preserve">How an AMC Makes Money: BER Economics</w:t>
      </w:r>
    </w:p>
    <w:p>
      <w:pPr>
        <w:spacing w:before="80" w:after="80"/>
      </w:pPr>
      <w:r>
        <w:rPr>
          <w:rFonts w:ascii="Arial" w:cs="Arial" w:eastAsia="Arial" w:hAnsi="Arial"/>
          <w:color w:val="1C1C1E"/>
          <w:sz w:val="21"/>
          <w:szCs w:val="21"/>
        </w:rPr>
        <w:t xml:space="preserve">The AMC earns a Base Expense Ratio (BER) — an annual fee expressed as a percentage of daily AUM, deducted daily from fund NAV. BER replaced TER under SEBI's revised Mutual Funds Regulations effective December 2025, and now excludes statutory levies (GST, STT, brokerage) charged separately.</w:t>
      </w:r>
    </w:p>
    <w:p>
      <w:pPr>
        <w:spacing w:before="8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AUM Slab</w:t>
            </w:r>
          </w:p>
        </w:tc>
        <w:tc>
          <w:tcPr>
            <w:tcW w:type="dxa" w:w="22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Max BER (Active Equity)</w:t>
            </w:r>
          </w:p>
        </w:tc>
        <w:tc>
          <w:tcPr>
            <w:tcW w:type="dxa" w:w="39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Implication for Monarch</w:t>
            </w:r>
          </w:p>
        </w:tc>
      </w:tr>
      <w:tr>
        <w:tc>
          <w:tcPr>
            <w:tcW w:type="dxa" w:w="3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Up to ₹500 crore</w:t>
            </w:r>
          </w:p>
        </w:tc>
        <w:tc>
          <w:tcPr>
            <w:tcW w:type="dxa" w:w="2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2.10%</w:t>
            </w:r>
          </w:p>
        </w:tc>
        <w:tc>
          <w:tcPr>
            <w:tcW w:type="dxa" w:w="39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Full pricing power in early AUM phase</w:t>
            </w:r>
          </w:p>
        </w:tc>
      </w:tr>
      <w:tr>
        <w:tc>
          <w:tcPr>
            <w:tcW w:type="dxa" w:w="3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₹500–₹750 crore</w:t>
            </w:r>
          </w:p>
        </w:tc>
        <w:tc>
          <w:tcPr>
            <w:tcW w:type="dxa" w:w="2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~1.90%</w:t>
            </w:r>
          </w:p>
        </w:tc>
        <w:tc>
          <w:tcPr>
            <w:tcW w:type="dxa" w:w="39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NFO ramp phase — still high headroom vs. our 0.80%</w:t>
            </w:r>
          </w:p>
        </w:tc>
      </w:tr>
      <w:tr>
        <w:tc>
          <w:tcPr>
            <w:tcW w:type="dxa" w:w="3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₹750–₹2,000 crore</w:t>
            </w:r>
          </w:p>
        </w:tc>
        <w:tc>
          <w:tcPr>
            <w:tcW w:type="dxa" w:w="2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~1.70%</w:t>
            </w:r>
          </w:p>
        </w:tc>
        <w:tc>
          <w:tcPr>
            <w:tcW w:type="dxa" w:w="39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Growth phase — large regulatory buffer</w:t>
            </w:r>
          </w:p>
        </w:tc>
      </w:tr>
      <w:tr>
        <w:tc>
          <w:tcPr>
            <w:tcW w:type="dxa" w:w="3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₹2,000–₹5,000 crore</w:t>
            </w:r>
          </w:p>
        </w:tc>
        <w:tc>
          <w:tcPr>
            <w:tcW w:type="dxa" w:w="2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~1.60%</w:t>
            </w:r>
          </w:p>
        </w:tc>
        <w:tc>
          <w:tcPr>
            <w:tcW w:type="dxa" w:w="39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Year 3–5 target range</w:t>
            </w:r>
          </w:p>
        </w:tc>
      </w:tr>
      <w:tr>
        <w:tc>
          <w:tcPr>
            <w:tcW w:type="dxa" w:w="3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₹5,000–₹10,000 crore</w:t>
            </w:r>
          </w:p>
        </w:tc>
        <w:tc>
          <w:tcPr>
            <w:tcW w:type="dxa" w:w="2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~1.50%</w:t>
            </w:r>
          </w:p>
        </w:tc>
        <w:tc>
          <w:tcPr>
            <w:tcW w:type="dxa" w:w="39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Year 5+ scale phase</w:t>
            </w:r>
          </w:p>
        </w:tc>
      </w:tr>
      <w:tr>
        <w:tc>
          <w:tcPr>
            <w:tcW w:type="dxa" w:w="3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Above ₹50,000 crore</w:t>
            </w:r>
          </w:p>
        </w:tc>
        <w:tc>
          <w:tcPr>
            <w:tcW w:type="dxa" w:w="2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0.95%</w:t>
            </w:r>
          </w:p>
        </w:tc>
        <w:tc>
          <w:tcPr>
            <w:tcW w:type="dxa" w:w="39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Incumbent constraint we will never face</w:t>
            </w:r>
          </w:p>
        </w:tc>
      </w:tr>
    </w:tbl>
    <w:p>
      <w:pPr>
        <w:spacing w:before="80" w:after="80"/>
      </w:pPr>
      <w:r>
        <w:rPr>
          <w:rFonts w:ascii="Arial" w:cs="Arial" w:eastAsia="Arial" w:hAnsi="Arial"/>
          <w:i/>
          <w:iCs/>
          <w:color w:val="4A4A4A"/>
          <w:sz w:val="21"/>
          <w:szCs w:val="21"/>
        </w:rPr>
        <w:t xml:space="preserve">Source: SEBI (Mutual Funds) Regulations, 2026 — Base Expense Ratio caps for active equity funds</w:t>
      </w:r>
    </w:p>
    <w:p>
      <w:pPr>
        <w:spacing w:before="220" w:after="80"/>
      </w:pPr>
      <w:r>
        <w:rPr>
          <w:rFonts w:ascii="Arial" w:cs="Arial" w:eastAsia="Arial" w:hAnsi="Arial"/>
          <w:b/>
          <w:bCs/>
          <w:color w:val="0E2040"/>
          <w:sz w:val="23"/>
          <w:szCs w:val="23"/>
        </w:rPr>
        <w:t xml:space="preserve">How Fee Revenue Flows: Illustrative at ₹1,000 Crore AUM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spacing w:before="160" w:after="60"/>
            </w:pPr>
            <w:r>
              <w:rPr>
                <w:rFonts w:ascii="Arial" w:cs="Arial" w:eastAsia="Arial" w:hAnsi="Arial"/>
                <w:b/>
                <w:bCs/>
                <w:i/>
                <w:iCs/>
                <w:color w:val="4A4A4A"/>
                <w:sz w:val="21"/>
                <w:szCs w:val="21"/>
              </w:rPr>
              <w:t xml:space="preserve">Regular Plan (BER: ~1.65%)</w:t>
            </w:r>
          </w:p>
          <w:p>
            <w:pPr>
              <w:pStyle w:val="ListParagraph"/>
              <w:numPr>
                <w:ilvl w:val="0"/>
                <w:numId w:val="2"/>
              </w:numPr>
              <w:spacing w:before="40" w:after="40"/>
            </w:pPr>
            <w:r>
              <w:rPr>
                <w:rFonts w:ascii="Arial" w:cs="Arial" w:eastAsia="Arial" w:hAnsi="Arial"/>
                <w:color w:val="1C1C1E"/>
                <w:sz w:val="21"/>
                <w:szCs w:val="21"/>
              </w:rPr>
              <w:t xml:space="preserve">~0.65–0.75% → Distributor (annual trail commission)</w:t>
            </w:r>
          </w:p>
          <w:p>
            <w:pPr>
              <w:pStyle w:val="ListParagraph"/>
              <w:numPr>
                <w:ilvl w:val="0"/>
                <w:numId w:val="2"/>
              </w:numPr>
              <w:spacing w:before="40" w:after="40"/>
            </w:pPr>
            <w:r>
              <w:rPr>
                <w:rFonts w:ascii="Arial" w:cs="Arial" w:eastAsia="Arial" w:hAnsi="Arial"/>
                <w:color w:val="1C1C1E"/>
                <w:sz w:val="21"/>
                <w:szCs w:val="21"/>
              </w:rPr>
              <w:t xml:space="preserve">~0.10–0.15% → Fund accounting, custody, R&amp;T</w:t>
            </w:r>
          </w:p>
          <w:p>
            <w:pPr>
              <w:pStyle w:val="ListParagraph"/>
              <w:numPr>
                <w:ilvl w:val="0"/>
                <w:numId w:val="2"/>
              </w:numPr>
              <w:spacing w:before="40" w:after="40"/>
            </w:pPr>
            <w:r>
              <w:rPr>
                <w:rFonts w:ascii="Arial" w:cs="Arial" w:eastAsia="Arial" w:hAnsi="Arial"/>
                <w:color w:val="1C1C1E"/>
                <w:sz w:val="21"/>
                <w:szCs w:val="21"/>
              </w:rPr>
              <w:t xml:space="preserve">~0.75–0.90% → AMC retained</w:t>
            </w:r>
          </w:p>
          <w:p>
            <w:pPr>
              <w:spacing w:before="80" w:after="0"/>
            </w:pPr>
            <w:r>
              <w:rPr>
                <w:rFonts w:ascii="Arial" w:cs="Arial" w:eastAsia="Arial" w:hAnsi="Arial"/>
                <w:color w:val="1C1C1E"/>
                <w:sz w:val="21"/>
                <w:szCs w:val="21"/>
              </w:rPr>
              <w:t xml:space="preserve"/>
            </w:r>
          </w:p>
          <w:p>
            <w:pPr>
              <w:spacing w:before="80" w:after="80"/>
            </w:pPr>
            <w:r>
              <w:rPr>
                <w:rFonts w:ascii="Arial" w:cs="Arial" w:eastAsia="Arial" w:hAnsi="Arial"/>
                <w:i/>
                <w:iCs/>
                <w:color w:val="4A4A4A"/>
                <w:sz w:val="21"/>
                <w:szCs w:val="21"/>
              </w:rPr>
              <w:t xml:space="preserve">65–70% of industry AUM still in regular plans. Distributor dependency is structural for incumbents.</w:t>
            </w:r>
          </w:p>
        </w:tc>
        <w:tc>
          <w:tcPr>
            <w:tcW w:type="dxa" w:w="360"/>
            <w:tcBorders>
              <w:top w:val="none" w:color="FFFFFF" w:sz="0"/>
              <w:left w:val="none" w:color="FFFFFF" w:sz="0"/>
              <w:bottom w:val="none" w:color="FFFFFF" w:sz="0"/>
              <w:right w:val="none" w:color="FFFFFF" w:sz="0"/>
            </w:tcBorders>
          </w:tcPr>
          <w:p>
            <w:pPr>
              <w:spacing w:before="80" w:after="0"/>
            </w:pPr>
            <w:r>
              <w:rPr>
                <w:rFonts w:ascii="Arial" w:cs="Arial" w:eastAsia="Arial" w:hAnsi="Arial"/>
                <w:color w:val="1C1C1E"/>
                <w:sz w:val="21"/>
                <w:szCs w:val="21"/>
              </w:rPr>
              <w:t xml:space="preserve"/>
            </w:r>
          </w:p>
        </w:tc>
        <w:tc>
          <w:tcPr>
            <w:tcW w:type="dxa" w:w="4500"/>
            <w:tcBorders>
              <w:top w:val="none" w:color="FFFFFF" w:sz="0"/>
              <w:left w:val="none" w:color="FFFFFF" w:sz="0"/>
              <w:bottom w:val="none" w:color="FFFFFF" w:sz="0"/>
              <w:right w:val="none" w:color="FFFFFF" w:sz="0"/>
            </w:tcBorders>
          </w:tcPr>
          <w:p>
            <w:pPr>
              <w:spacing w:before="160" w:after="60"/>
            </w:pPr>
            <w:r>
              <w:rPr>
                <w:rFonts w:ascii="Arial" w:cs="Arial" w:eastAsia="Arial" w:hAnsi="Arial"/>
                <w:b/>
                <w:bCs/>
                <w:i/>
                <w:iCs/>
                <w:color w:val="4A4A4A"/>
                <w:sz w:val="21"/>
                <w:szCs w:val="21"/>
              </w:rPr>
              <w:t xml:space="preserve">Direct Plan (BER: ~0.80%)</w:t>
            </w:r>
          </w:p>
          <w:p>
            <w:pPr>
              <w:pStyle w:val="ListParagraph"/>
              <w:numPr>
                <w:ilvl w:val="0"/>
                <w:numId w:val="2"/>
              </w:numPr>
              <w:spacing w:before="40" w:after="40"/>
            </w:pPr>
            <w:r>
              <w:rPr>
                <w:rFonts w:ascii="Arial" w:cs="Arial" w:eastAsia="Arial" w:hAnsi="Arial"/>
                <w:color w:val="1C1C1E"/>
                <w:sz w:val="21"/>
                <w:szCs w:val="21"/>
              </w:rPr>
              <w:t xml:space="preserve">~0.08–0.12% → Fund accounting, custody, R&amp;T</w:t>
            </w:r>
          </w:p>
          <w:p>
            <w:pPr>
              <w:pStyle w:val="ListParagraph"/>
              <w:numPr>
                <w:ilvl w:val="0"/>
                <w:numId w:val="2"/>
              </w:numPr>
              <w:spacing w:before="40" w:after="40"/>
            </w:pPr>
            <w:r>
              <w:rPr>
                <w:rFonts w:ascii="Arial" w:cs="Arial" w:eastAsia="Arial" w:hAnsi="Arial"/>
                <w:color w:val="1C1C1E"/>
                <w:sz w:val="21"/>
                <w:szCs w:val="21"/>
              </w:rPr>
              <w:t xml:space="preserve">~0.68–0.72% → AMC retained (nearly all of it)</w:t>
            </w:r>
          </w:p>
          <w:p>
            <w:pPr>
              <w:spacing w:before="80" w:after="0"/>
            </w:pPr>
            <w:r>
              <w:rPr>
                <w:rFonts w:ascii="Arial" w:cs="Arial" w:eastAsia="Arial" w:hAnsi="Arial"/>
                <w:color w:val="1C1C1E"/>
                <w:sz w:val="21"/>
                <w:szCs w:val="21"/>
              </w:rPr>
              <w:t xml:space="preserve"/>
            </w:r>
          </w:p>
          <w:p>
            <w:pPr>
              <w:spacing w:before="80" w:after="80"/>
            </w:pPr>
            <w:r>
              <w:rPr>
                <w:rFonts w:ascii="Arial" w:cs="Arial" w:eastAsia="Arial" w:hAnsi="Arial"/>
                <w:i/>
                <w:iCs/>
                <w:color w:val="4A4A4A"/>
                <w:sz w:val="21"/>
                <w:szCs w:val="21"/>
              </w:rPr>
              <w:t xml:space="preserve">Our target: 65% direct by Year 3. Lower headline fee, better investor outcome, sustainable AMC economics.</w:t>
            </w:r>
          </w:p>
        </w:tc>
      </w:tr>
    </w:tbl>
    <w:p>
      <w:pPr>
        <w:spacing w:before="80" w:after="0"/>
      </w:pPr>
      <w:r>
        <w:rPr>
          <w:rFonts w:ascii="Arial" w:cs="Arial" w:eastAsia="Arial" w:hAnsi="Arial"/>
          <w:color w:val="1C1C1E"/>
          <w:sz w:val="21"/>
          <w:szCs w:val="21"/>
        </w:rPr>
        <w:t xml:space="preserve"/>
      </w:r>
    </w:p>
    <w:p>
      <w:pPr>
        <w:pStyle w:val="Heading2"/>
        <w:spacing w:before="320" w:after="120"/>
      </w:pPr>
      <w:r>
        <w:rPr>
          <w:rFonts w:ascii="Arial" w:cs="Arial" w:eastAsia="Arial" w:hAnsi="Arial"/>
          <w:b/>
          <w:bCs/>
          <w:color w:val="1D5FA6"/>
          <w:sz w:val="27"/>
          <w:szCs w:val="27"/>
        </w:rPr>
        <w:t xml:space="preserve">1.2 SEBI Scheme Categorisation — Rules That Govern Product Design</w:t>
      </w:r>
    </w:p>
    <w:p>
      <w:pPr>
        <w:spacing w:before="80" w:after="80"/>
      </w:pPr>
      <w:r>
        <w:rPr>
          <w:rFonts w:ascii="Arial" w:cs="Arial" w:eastAsia="Arial" w:hAnsi="Arial"/>
          <w:color w:val="1C1C1E"/>
          <w:sz w:val="21"/>
          <w:szCs w:val="21"/>
        </w:rPr>
        <w:t xml:space="preserve">SEBI mandates that each AMC can offer only ONE fund per category (with exceptions for thematic funds). This means every category we enter is a permanent strategic commitment — we cannot easily exit or reposition. The categories relevant to this case:</w:t>
      </w:r>
    </w:p>
    <w:p>
      <w:pPr>
        <w:spacing w:before="8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c>
          <w:tcPr>
            <w:tcW w:type="dxa" w:w="32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SEBI Rules</w:t>
            </w:r>
          </w:p>
        </w:tc>
        <w:tc>
          <w:tcPr>
            <w:tcW w:type="dxa" w:w="39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Why Relevant to Monarch</w:t>
            </w:r>
          </w:p>
        </w:tc>
      </w:tr>
      <w:tr>
        <w:tc>
          <w:tcPr>
            <w:tcW w:type="dxa" w:w="2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Focused Fund</w:t>
            </w:r>
          </w:p>
        </w:tc>
        <w:tc>
          <w:tcPr>
            <w:tcW w:type="dxa" w:w="3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Max 30 stocks. Min 65% equity. Must hold entire AUM in this concentrated universe.</w:t>
            </w:r>
          </w:p>
        </w:tc>
        <w:tc>
          <w:tcPr>
            <w:tcW w:type="dxa" w:w="39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Only category where SEBI legally forces concentration — cannot closet-index even if we wanted to. Perfect for conviction mandate.</w:t>
            </w:r>
          </w:p>
        </w:tc>
      </w:tr>
      <w:tr>
        <w:tc>
          <w:tcPr>
            <w:tcW w:type="dxa" w:w="2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Flexi Cap Fund</w:t>
            </w:r>
          </w:p>
        </w:tc>
        <w:tc>
          <w:tcPr>
            <w:tcW w:type="dxa" w:w="3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Min 65% equity. Complete freedom across large/mid/small cap with no mandate. Fund manager chooses allocation entirely on merit.</w:t>
            </w:r>
          </w:p>
        </w:tc>
        <w:tc>
          <w:tcPr>
            <w:tcW w:type="dxa" w:w="39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True bottom-up stock picking. No forced cap-size allocation. Allows following quality compounders wherever they are.</w:t>
            </w:r>
          </w:p>
        </w:tc>
      </w:tr>
      <w:tr>
        <w:tc>
          <w:tcPr>
            <w:tcW w:type="dxa" w:w="2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Thematic / Sectoral</w:t>
            </w:r>
          </w:p>
        </w:tc>
        <w:tc>
          <w:tcPr>
            <w:tcW w:type="dxa" w:w="3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Min 80% in defined theme. Multiple thematic funds allowed per AMC (different themes).</w:t>
            </w:r>
          </w:p>
        </w:tc>
        <w:tc>
          <w:tcPr>
            <w:tcW w:type="dxa" w:w="39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Allows a third distinct fund without violating one-per-category rule. India Transition theme fills this slot.</w:t>
            </w:r>
          </w:p>
        </w:tc>
      </w:tr>
      <w:tr>
        <w:tc>
          <w:tcPr>
            <w:tcW w:type="dxa" w:w="2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Large Cap</w:t>
            </w:r>
          </w:p>
        </w:tc>
        <w:tc>
          <w:tcPr>
            <w:tcW w:type="dxa" w:w="3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Minimum 80% in top 100 stocks by market cap (AMFI list).</w:t>
            </w:r>
          </w:p>
        </w:tc>
        <w:tc>
          <w:tcPr>
            <w:tcW w:type="dxa" w:w="39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Deliberately avoided. No differentiation possible. Closet indexing is almost mathematically guaranteed.</w:t>
            </w:r>
          </w:p>
        </w:tc>
      </w:tr>
      <w:tr>
        <w:tc>
          <w:tcPr>
            <w:tcW w:type="dxa" w:w="2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Small Cap</w:t>
            </w:r>
          </w:p>
        </w:tc>
        <w:tc>
          <w:tcPr>
            <w:tcW w:type="dxa" w:w="3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Minimum 65% in companies ranked 251+ by market cap.</w:t>
            </w:r>
          </w:p>
        </w:tc>
        <w:tc>
          <w:tcPr>
            <w:tcW w:type="dxa" w:w="39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Deliberately avoided. Liquidity risk at small AUM sizes is unacceptable for a new AMC.</w:t>
            </w:r>
          </w:p>
        </w:tc>
      </w:tr>
      <w:tr>
        <w:tc>
          <w:tcPr>
            <w:tcW w:type="dxa" w:w="2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Index Funds</w:t>
            </w:r>
          </w:p>
        </w:tc>
        <w:tc>
          <w:tcPr>
            <w:tcW w:type="dxa" w:w="3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Must track a declared benchmark. Very low BER.</w:t>
            </w:r>
          </w:p>
        </w:tc>
        <w:tc>
          <w:tcPr>
            <w:tcW w:type="dxa" w:w="39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Zerodha Fund House's core domain. No competitive advantage for us.</w:t>
            </w:r>
          </w:p>
        </w:tc>
      </w:tr>
      <w:tr>
        <w:tc>
          <w:tcPr>
            <w:tcW w:type="dxa" w:w="2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ELSS (Tax Saver)</w:t>
            </w:r>
          </w:p>
        </w:tc>
        <w:tc>
          <w:tcPr>
            <w:tcW w:type="dxa" w:w="3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3-year mandatory lock-in. Section 80C benefit up to ₹1.5 lakh.</w:t>
            </w:r>
          </w:p>
        </w:tc>
        <w:tc>
          <w:tcPr>
            <w:tcW w:type="dxa" w:w="39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Attracts transactional investors seeking tax benefits, not conviction investors. Contradicts our philosophy.</w:t>
            </w:r>
          </w:p>
        </w:tc>
      </w:tr>
    </w:tbl>
    <w:p>
      <w:pPr>
        <w:spacing w:before="80" w:after="0"/>
      </w:pPr>
      <w:r>
        <w:rPr>
          <w:rFonts w:ascii="Arial" w:cs="Arial" w:eastAsia="Arial" w:hAnsi="Arial"/>
          <w:color w:val="1C1C1E"/>
          <w:sz w:val="21"/>
          <w:szCs w:val="21"/>
        </w:rPr>
        <w:t xml:space="preserve"/>
      </w:r>
    </w:p>
    <w:p>
      <w:pPr>
        <w:pStyle w:val="Heading2"/>
        <w:spacing w:before="320" w:after="120"/>
      </w:pPr>
      <w:r>
        <w:rPr>
          <w:rFonts w:ascii="Arial" w:cs="Arial" w:eastAsia="Arial" w:hAnsi="Arial"/>
          <w:b/>
          <w:bCs/>
          <w:color w:val="1D5FA6"/>
          <w:sz w:val="27"/>
          <w:szCs w:val="27"/>
        </w:rPr>
        <w:t xml:space="preserve">1.3 The Three Investment Vehicles — How This Case's Architecture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80"/>
        <w:gridCol w:w="2280"/>
      </w:tblGrid>
      <w:tr>
        <w:trPr>
          <w:tblHeader/>
        </w:trPr>
        <w:tc>
          <w:tcPr>
            <w:tcW w:type="dxa" w:w="26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Parameter</w:t>
            </w:r>
          </w:p>
        </w:tc>
        <w:tc>
          <w:tcPr>
            <w:tcW w:type="dxa" w:w="22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Mutual Fund (MF)</w:t>
            </w:r>
          </w:p>
        </w:tc>
        <w:tc>
          <w:tcPr>
            <w:tcW w:type="dxa" w:w="228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Specialized Investment Fund (SIF)</w:t>
            </w:r>
          </w:p>
        </w:tc>
        <w:tc>
          <w:tcPr>
            <w:tcW w:type="dxa" w:w="228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Alternative Investment Fund (AIF) — Reference Only</w:t>
            </w:r>
          </w:p>
        </w:tc>
      </w:tr>
      <w:tr>
        <w:tc>
          <w:tcPr>
            <w:tcW w:type="dxa" w:w="26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Minimum Investment</w:t>
            </w:r>
          </w:p>
        </w:tc>
        <w:tc>
          <w:tcPr>
            <w:tcW w:type="dxa" w:w="2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₹500</w:t>
            </w:r>
          </w:p>
        </w:tc>
        <w:tc>
          <w:tcPr>
            <w:tcW w:type="dxa" w:w="228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₹10 lakh per investor per PAN</w:t>
            </w:r>
          </w:p>
        </w:tc>
        <w:tc>
          <w:tcPr>
            <w:tcW w:type="dxa" w:w="228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 crore</w:t>
            </w:r>
          </w:p>
        </w:tc>
      </w:tr>
      <w:tr>
        <w:tc>
          <w:tcPr>
            <w:tcW w:type="dxa" w:w="26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Maximum Investors</w:t>
            </w:r>
          </w:p>
        </w:tc>
        <w:tc>
          <w:tcPr>
            <w:tcW w:type="dxa" w:w="2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Unlimited</w:t>
            </w:r>
          </w:p>
        </w:tc>
        <w:tc>
          <w:tcPr>
            <w:tcW w:type="dxa" w:w="228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20,000 per AMC across all SIF strategies</w:t>
            </w:r>
          </w:p>
        </w:tc>
        <w:tc>
          <w:tcPr>
            <w:tcW w:type="dxa" w:w="228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1,000 per scheme</w:t>
            </w:r>
          </w:p>
        </w:tc>
      </w:tr>
      <w:tr>
        <w:tc>
          <w:tcPr>
            <w:tcW w:type="dxa" w:w="26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Liquidity</w:t>
            </w:r>
          </w:p>
        </w:tc>
        <w:tc>
          <w:tcPr>
            <w:tcW w:type="dxa" w:w="2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Daily NAV-based</w:t>
            </w:r>
          </w:p>
        </w:tc>
        <w:tc>
          <w:tcPr>
            <w:tcW w:type="dxa" w:w="228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Quarterly / Semi-annual redemption windows</w:t>
            </w:r>
          </w:p>
        </w:tc>
        <w:tc>
          <w:tcPr>
            <w:tcW w:type="dxa" w:w="228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Lock-in period or open (Cat III)</w:t>
            </w:r>
          </w:p>
        </w:tc>
      </w:tr>
      <w:tr>
        <w:tc>
          <w:tcPr>
            <w:tcW w:type="dxa" w:w="26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Portfolio Concentration</w:t>
            </w:r>
          </w:p>
        </w:tc>
        <w:tc>
          <w:tcPr>
            <w:tcW w:type="dxa" w:w="2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Single issuer cap: 10% of NAV</w:t>
            </w:r>
          </w:p>
        </w:tc>
        <w:tc>
          <w:tcPr>
            <w:tcW w:type="dxa" w:w="228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More flexible — up to ~15% per issuer</w:t>
            </w:r>
          </w:p>
        </w:tc>
        <w:tc>
          <w:tcPr>
            <w:tcW w:type="dxa" w:w="228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Uncapped — up to 100% in one stock legally</w:t>
            </w:r>
          </w:p>
        </w:tc>
      </w:tr>
      <w:tr>
        <w:tc>
          <w:tcPr>
            <w:tcW w:type="dxa" w:w="26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Fee Caps</w:t>
            </w:r>
          </w:p>
        </w:tc>
        <w:tc>
          <w:tcPr>
            <w:tcW w:type="dxa" w:w="2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SEBI BER caps strictly apply</w:t>
            </w:r>
          </w:p>
        </w:tc>
        <w:tc>
          <w:tcPr>
            <w:tcW w:type="dxa" w:w="228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BER caps apply but additional performance fees possible</w:t>
            </w:r>
          </w:p>
        </w:tc>
        <w:tc>
          <w:tcPr>
            <w:tcW w:type="dxa" w:w="228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No caps — market rate (typically 2% + 20%)</w:t>
            </w:r>
          </w:p>
        </w:tc>
      </w:tr>
      <w:tr>
        <w:tc>
          <w:tcPr>
            <w:tcW w:type="dxa" w:w="26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Tax Treatment</w:t>
            </w:r>
          </w:p>
        </w:tc>
        <w:tc>
          <w:tcPr>
            <w:tcW w:type="dxa" w:w="2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Standard MF equity rules (LTCG 12.5%, STCG 20%)</w:t>
            </w:r>
          </w:p>
        </w:tc>
        <w:tc>
          <w:tcPr>
            <w:tcW w:type="dxa" w:w="228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Same as MF if equity-oriented (&gt;65%)</w:t>
            </w:r>
          </w:p>
        </w:tc>
        <w:tc>
          <w:tcPr>
            <w:tcW w:type="dxa" w:w="228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Pass-through taxation (different from MF)</w:t>
            </w:r>
          </w:p>
        </w:tc>
      </w:tr>
      <w:tr>
        <w:tc>
          <w:tcPr>
            <w:tcW w:type="dxa" w:w="26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Disclosure</w:t>
            </w:r>
          </w:p>
        </w:tc>
        <w:tc>
          <w:tcPr>
            <w:tcW w:type="dxa" w:w="2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Monthly portfolio + factsheet, publicly available</w:t>
            </w:r>
          </w:p>
        </w:tc>
        <w:tc>
          <w:tcPr>
            <w:tcW w:type="dxa" w:w="228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Quarterly, to registered investors</w:t>
            </w:r>
          </w:p>
        </w:tc>
        <w:tc>
          <w:tcPr>
            <w:tcW w:type="dxa" w:w="228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Quarterly, to investors only</w:t>
            </w:r>
          </w:p>
        </w:tc>
      </w:tr>
      <w:tr>
        <w:tc>
          <w:tcPr>
            <w:tcW w:type="dxa" w:w="26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License Needed</w:t>
            </w:r>
          </w:p>
        </w:tc>
        <w:tc>
          <w:tcPr>
            <w:tcW w:type="dxa" w:w="2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SEBI MF registration</w:t>
            </w:r>
          </w:p>
        </w:tc>
        <w:tc>
          <w:tcPr>
            <w:tcW w:type="dxa" w:w="228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Additional SIF registration on top of MF license</w:t>
            </w:r>
          </w:p>
        </w:tc>
        <w:tc>
          <w:tcPr>
            <w:tcW w:type="dxa" w:w="228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Separate AIF registration (entirely different)</w:t>
            </w:r>
          </w:p>
        </w:tc>
      </w:tr>
      <w:tr>
        <w:tc>
          <w:tcPr>
            <w:tcW w:type="dxa" w:w="26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Monarch Status</w:t>
            </w:r>
          </w:p>
        </w:tc>
        <w:tc>
          <w:tcPr>
            <w:tcW w:type="dxa" w:w="2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Setting up now (in-principle approval Jul 2025)</w:t>
            </w:r>
          </w:p>
        </w:tc>
        <w:tc>
          <w:tcPr>
            <w:tcW w:type="dxa" w:w="228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Year 2 launch — SIF CIO hired Month 1</w:t>
            </w:r>
          </w:p>
        </w:tc>
        <w:tc>
          <w:tcPr>
            <w:tcW w:type="dxa" w:w="228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Already operational — MNCL Capital Compounder</w:t>
            </w:r>
          </w:p>
        </w:tc>
      </w:tr>
    </w:tbl>
    <w:p>
      <w:pPr>
        <w:spacing w:before="8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5FA6" w:sz="4"/>
              <w:left w:val="thick" w:color="1D5FA6" w:sz="20"/>
              <w:bottom w:val="single" w:color="1D5FA6" w:sz="4"/>
              <w:right w:val="single" w:color="1D5FA6" w:sz="4"/>
            </w:tcBorders>
            <w:shd w:fill="D9E8F7" w:val="clear"/>
            <w:tcMar>
              <w:top w:type="dxa" w:w="140"/>
              <w:left w:type="dxa" w:w="220"/>
              <w:bottom w:type="dxa" w:w="140"/>
              <w:right w:type="dxa" w:w="140"/>
            </w:tcMar>
          </w:tcPr>
          <w:p>
            <w:pPr>
              <w:spacing w:before="0" w:after="60"/>
            </w:pPr>
            <w:r>
              <w:rPr>
                <w:rFonts w:ascii="Arial" w:cs="Arial" w:eastAsia="Arial" w:hAnsi="Arial"/>
                <w:b/>
                <w:bCs/>
                <w:color w:val="0E2040"/>
                <w:sz w:val="22"/>
                <w:szCs w:val="22"/>
              </w:rPr>
              <w:t xml:space="preserve">SIF — The Critical New Framework (SEBI February 2025)</w:t>
            </w:r>
          </w:p>
          <w:p>
            <w:pPr>
              <w:spacing w:before="40" w:after="40"/>
            </w:pPr>
            <w:r>
              <w:rPr>
                <w:rFonts w:ascii="Arial" w:cs="Arial" w:eastAsia="Arial" w:hAnsi="Arial"/>
                <w:color w:val="1C1C1E"/>
                <w:sz w:val="20"/>
                <w:szCs w:val="20"/>
              </w:rPr>
              <w:t xml:space="preserve">SIF is the legal infrastructure that makes Monarch's three-tier architecture possible. It operates under the AMC's existing MF license with an additional SEBI registration — it is NOT an AIF and NOT a PMS. Crucially, it receives MF-equivalent equity tax treatment. This is the 'missing middle' product that SEBI itself created, validating that the gap exists. No AMC has yet built a genuinely conviction-based SIF offering.</w:t>
            </w:r>
          </w:p>
          <w:p>
            <w:pPr>
              <w:spacing w:before="40" w:after="40"/>
            </w:pPr>
            <w:r>
              <w:rPr>
                <w:rFonts w:ascii="Arial" w:cs="Arial" w:eastAsia="Arial" w:hAnsi="Arial"/>
                <w:color w:val="1C1C1E"/>
                <w:sz w:val="20"/>
                <w:szCs w:val="20"/>
              </w:rPr>
              <w:t xml:space="preserve">SIF Route 2 Eligibility (for new AMCs without 3-year operational history): Hire a Chief Investment Officer with minimum 10 years fund management experience and average AUM of ₹5,000 crore managed in the last 3 years, plus one additional SIF fund manager with ≥3 years and ≥₹500 crore track record. Cost: ₹3–5 crore/year — approximately 2% of Monarch's annual PBT. The credibility return vastly exceeds the cost.</w:t>
            </w:r>
          </w:p>
        </w:tc>
      </w:tr>
    </w:tbl>
    <w:p>
      <w:pPr>
        <w:pStyle w:val="Heading2"/>
        <w:spacing w:before="320" w:after="120"/>
      </w:pPr>
      <w:r>
        <w:rPr>
          <w:rFonts w:ascii="Arial" w:cs="Arial" w:eastAsia="Arial" w:hAnsi="Arial"/>
          <w:b/>
          <w:bCs/>
          <w:color w:val="1D5FA6"/>
          <w:sz w:val="27"/>
          <w:szCs w:val="27"/>
        </w:rPr>
        <w:t xml:space="preserve">1.4 Industry Numbers — Current as of Late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Metric</w:t>
            </w:r>
          </w:p>
        </w:tc>
        <w:tc>
          <w:tcPr>
            <w:tcW w:type="dxa" w:w="48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Value (2025)</w:t>
            </w:r>
          </w:p>
        </w:tc>
      </w:tr>
      <w:tr>
        <w:tc>
          <w:tcPr>
            <w:tcW w:type="dxa" w:w="4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Total MF AUM</w:t>
            </w:r>
          </w:p>
        </w:tc>
        <w:tc>
          <w:tcPr>
            <w:tcW w:type="dxa" w:w="48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₹75.61 lakh crore</w:t>
            </w:r>
          </w:p>
        </w:tc>
      </w:tr>
      <w:tr>
        <w:tc>
          <w:tcPr>
            <w:tcW w:type="dxa" w:w="4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Monthly SIP inflows (record)</w:t>
            </w:r>
          </w:p>
        </w:tc>
        <w:tc>
          <w:tcPr>
            <w:tcW w:type="dxa" w:w="48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₹29,361 crore (September 2025)</w:t>
            </w:r>
          </w:p>
        </w:tc>
      </w:tr>
      <w:tr>
        <w:tc>
          <w:tcPr>
            <w:tcW w:type="dxa" w:w="4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Total SIP accounts</w:t>
            </w:r>
          </w:p>
        </w:tc>
        <w:tc>
          <w:tcPr>
            <w:tcW w:type="dxa" w:w="48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9.25 crore</w:t>
            </w:r>
          </w:p>
        </w:tc>
      </w:tr>
      <w:tr>
        <w:tc>
          <w:tcPr>
            <w:tcW w:type="dxa" w:w="4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Total unique investors</w:t>
            </w:r>
          </w:p>
        </w:tc>
        <w:tc>
          <w:tcPr>
            <w:tcW w:type="dxa" w:w="48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~5.5 crore (3.6% of India's population)</w:t>
            </w:r>
          </w:p>
        </w:tc>
      </w:tr>
      <w:tr>
        <w:tc>
          <w:tcPr>
            <w:tcW w:type="dxa" w:w="4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Passive AUM share</w:t>
            </w:r>
          </w:p>
        </w:tc>
        <w:tc>
          <w:tcPr>
            <w:tcW w:type="dxa" w:w="48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₹12.65 lakh crore (~17% of total)</w:t>
            </w:r>
          </w:p>
        </w:tc>
      </w:tr>
      <w:tr>
        <w:tc>
          <w:tcPr>
            <w:tcW w:type="dxa" w:w="4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SEBI-registered AMCs</w:t>
            </w:r>
          </w:p>
        </w:tc>
        <w:tc>
          <w:tcPr>
            <w:tcW w:type="dxa" w:w="48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40+</w:t>
            </w:r>
          </w:p>
        </w:tc>
      </w:tr>
      <w:tr>
        <w:tc>
          <w:tcPr>
            <w:tcW w:type="dxa" w:w="4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Direct plan share of new flows</w:t>
            </w:r>
          </w:p>
        </w:tc>
        <w:tc>
          <w:tcPr>
            <w:tcW w:type="dxa" w:w="48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~30–35% and growing</w:t>
            </w:r>
          </w:p>
        </w:tc>
      </w:tr>
      <w:tr>
        <w:tc>
          <w:tcPr>
            <w:tcW w:type="dxa" w:w="4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AUM/GDP ratio</w:t>
            </w:r>
          </w:p>
        </w:tc>
        <w:tc>
          <w:tcPr>
            <w:tcW w:type="dxa" w:w="48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~20% (vs. US 120%+, massive runway)</w:t>
            </w:r>
          </w:p>
        </w:tc>
      </w:tr>
      <w:tr>
        <w:tc>
          <w:tcPr>
            <w:tcW w:type="dxa" w:w="4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PPFAS MF AUM</w:t>
            </w:r>
          </w:p>
        </w:tc>
        <w:tc>
          <w:tcPr>
            <w:tcW w:type="dxa" w:w="48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₹1,32,181 crore (Sep 2025) — our primary trajectory benchmark</w:t>
            </w:r>
          </w:p>
        </w:tc>
      </w:tr>
      <w:tr>
        <w:tc>
          <w:tcPr>
            <w:tcW w:type="dxa" w:w="4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WhiteOak Capital Group AUM</w:t>
            </w:r>
          </w:p>
        </w:tc>
        <w:tc>
          <w:tcPr>
            <w:tcW w:type="dxa" w:w="48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₹78,556 crore (Jan 2025)</w:t>
            </w:r>
          </w:p>
        </w:tc>
      </w:tr>
      <w:tr>
        <w:tc>
          <w:tcPr>
            <w:tcW w:type="dxa" w:w="4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Helios MF AUM</w:t>
            </w:r>
          </w:p>
        </w:tc>
        <w:tc>
          <w:tcPr>
            <w:tcW w:type="dxa" w:w="48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~₹1,500 crore (2025)</w:t>
            </w:r>
          </w:p>
        </w:tc>
      </w:tr>
    </w:tbl>
    <w:p>
      <w:pPr>
        <w:spacing w:before="8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0E2040" w:sz="4"/>
              <w:left w:val="single" w:color="0E2040" w:sz="4"/>
              <w:bottom w:val="single" w:color="0E2040" w:sz="4"/>
              <w:right w:val="single" w:color="0E2040" w:sz="4"/>
            </w:tcBorders>
            <w:shd w:fill="1A6B3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Monarch Networth Capital — Key Metrics</w:t>
            </w:r>
          </w:p>
        </w:tc>
        <w:tc>
          <w:tcPr>
            <w:tcW w:type="dxa" w:w="4360"/>
            <w:tcBorders>
              <w:top w:val="single" w:color="0E2040" w:sz="4"/>
              <w:left w:val="single" w:color="0E2040" w:sz="4"/>
              <w:bottom w:val="single" w:color="0E2040" w:sz="4"/>
              <w:right w:val="single" w:color="0E2040" w:sz="4"/>
            </w:tcBorders>
            <w:shd w:fill="1A6B3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Value</w:t>
            </w:r>
          </w:p>
        </w:tc>
      </w:tr>
      <w:tr>
        <w:tc>
          <w:tcPr>
            <w:tcW w:type="dxa" w:w="5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Total Operating Revenue FY2025</w:t>
            </w:r>
          </w:p>
        </w:tc>
        <w:tc>
          <w:tcPr>
            <w:tcW w:type="dxa" w:w="4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₹328 crore</w:t>
            </w:r>
          </w:p>
        </w:tc>
      </w:tr>
      <w:tr>
        <w:tc>
          <w:tcPr>
            <w:tcW w:type="dxa" w:w="5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Net Profit (PBT) FY2025</w:t>
            </w:r>
          </w:p>
        </w:tc>
        <w:tc>
          <w:tcPr>
            <w:tcW w:type="dxa" w:w="4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₹149 crore</w:t>
            </w:r>
          </w:p>
        </w:tc>
      </w:tr>
      <w:tr>
        <w:tc>
          <w:tcPr>
            <w:tcW w:type="dxa" w:w="5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Operating Profit Margin</w:t>
            </w:r>
          </w:p>
        </w:tc>
        <w:tc>
          <w:tcPr>
            <w:tcW w:type="dxa" w:w="4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66%</w:t>
            </w:r>
          </w:p>
        </w:tc>
      </w:tr>
      <w:tr>
        <w:tc>
          <w:tcPr>
            <w:tcW w:type="dxa" w:w="5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Total Networth</w:t>
            </w:r>
          </w:p>
        </w:tc>
        <w:tc>
          <w:tcPr>
            <w:tcW w:type="dxa" w:w="4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₹796 crore</w:t>
            </w:r>
          </w:p>
        </w:tc>
      </w:tr>
      <w:tr>
        <w:tc>
          <w:tcPr>
            <w:tcW w:type="dxa" w:w="5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Branches / Sub-brokers / Clients</w:t>
            </w:r>
          </w:p>
        </w:tc>
        <w:tc>
          <w:tcPr>
            <w:tcW w:type="dxa" w:w="4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57 / 958 / 300,000+</w:t>
            </w:r>
          </w:p>
        </w:tc>
      </w:tr>
      <w:tr>
        <w:tc>
          <w:tcPr>
            <w:tcW w:type="dxa" w:w="5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AIF AUM (MNCL Capital Compounder — Cat III)</w:t>
            </w:r>
          </w:p>
        </w:tc>
        <w:tc>
          <w:tcPr>
            <w:tcW w:type="dxa" w:w="4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~₹1,000 crore</w:t>
            </w:r>
          </w:p>
        </w:tc>
      </w:tr>
      <w:tr>
        <w:tc>
          <w:tcPr>
            <w:tcW w:type="dxa" w:w="5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SEBI In-principle MF Approval</w:t>
            </w:r>
          </w:p>
        </w:tc>
        <w:tc>
          <w:tcPr>
            <w:tcW w:type="dxa" w:w="4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Received July 2025</w:t>
            </w:r>
          </w:p>
        </w:tc>
      </w:tr>
    </w:tbl>
    <w:p>
      <w:r>
        <w:br w:type="page"/>
      </w:r>
    </w:p>
    <w:p>
      <w:pPr>
        <w:pStyle w:val="Heading1"/>
        <w:pBdr>
          <w:bottom w:val="thick" w:color="1D5FA6" w:sz="6" w:space="4"/>
        </w:pBdr>
        <w:spacing w:before="480" w:after="200"/>
      </w:pPr>
      <w:r>
        <w:rPr>
          <w:rFonts w:ascii="Arial" w:cs="Arial" w:eastAsia="Arial" w:hAnsi="Arial"/>
          <w:b/>
          <w:bCs/>
          <w:color w:val="0E2040"/>
          <w:sz w:val="34"/>
          <w:szCs w:val="34"/>
        </w:rPr>
        <w:t xml:space="preserve">SECTION 2: THE FOUR STRUCTURAL PROBLEMS WE ARE SOLVING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25B0A" w:sz="4"/>
              <w:left w:val="thick" w:color="C25B0A" w:sz="20"/>
              <w:bottom w:val="single" w:color="C25B0A" w:sz="4"/>
              <w:right w:val="single" w:color="C25B0A" w:sz="4"/>
            </w:tcBorders>
            <w:shd w:fill="FEF0E6" w:val="clear"/>
            <w:tcMar>
              <w:top w:type="dxa" w:w="140"/>
              <w:left w:type="dxa" w:w="220"/>
              <w:bottom w:type="dxa" w:w="140"/>
              <w:right w:type="dxa" w:w="140"/>
            </w:tcMar>
          </w:tcPr>
          <w:p>
            <w:pPr>
              <w:spacing w:before="0" w:after="60"/>
            </w:pPr>
            <w:r>
              <w:rPr>
                <w:rFonts w:ascii="Arial" w:cs="Arial" w:eastAsia="Arial" w:hAnsi="Arial"/>
                <w:b/>
                <w:bCs/>
                <w:color w:val="C25B0A"/>
                <w:sz w:val="22"/>
                <w:szCs w:val="22"/>
              </w:rPr>
              <w:t xml:space="preserve">Why Four Problems, Not Three</w:t>
            </w:r>
          </w:p>
          <w:p>
            <w:pPr>
              <w:spacing w:before="40" w:after="40"/>
            </w:pPr>
            <w:r>
              <w:rPr>
                <w:rFonts w:ascii="Arial" w:cs="Arial" w:eastAsia="Arial" w:hAnsi="Arial"/>
                <w:color w:val="1C1C1E"/>
                <w:sz w:val="20"/>
                <w:szCs w:val="20"/>
              </w:rPr>
              <w:t xml:space="preserve">The original solution identified three structural problems. The revised version adds a fourth — the Post-Tax Transparency Void — which is the most original insight in this solution and the one most judges at IIM Ahmedabad will not have seen before. It is also the problem that unlocks our signature differentiator: the Monarch Real Return Dashboard.</w:t>
            </w:r>
          </w:p>
          <w:p>
            <w:pPr>
              <w:spacing w:before="40" w:after="40"/>
            </w:pPr>
            <w:r>
              <w:rPr>
                <w:rFonts w:ascii="Arial" w:cs="Arial" w:eastAsia="Arial" w:hAnsi="Arial"/>
                <w:color w:val="1C1C1E"/>
                <w:sz w:val="20"/>
                <w:szCs w:val="20"/>
              </w:rPr>
              <w:t xml:space="preserve">Critical instruction: Generic answers like 'investors need financial literacy' or 'AMCs need more transparency' will not win this competition. The problems below are structural, self-reinforcing, and — most importantly — not fixable by incumbents due to scale, incentive, or competitive constraints.</w:t>
            </w:r>
          </w:p>
        </w:tc>
      </w:tr>
    </w:tbl>
    <w:p>
      <w:pPr>
        <w:spacing w:before="80" w:after="0"/>
      </w:pPr>
      <w:r>
        <w:rPr>
          <w:rFonts w:ascii="Arial" w:cs="Arial" w:eastAsia="Arial" w:hAnsi="Arial"/>
          <w:color w:val="1C1C1E"/>
          <w:sz w:val="21"/>
          <w:szCs w:val="21"/>
        </w:rPr>
        <w:t xml:space="preserve"/>
      </w:r>
    </w:p>
    <w:p>
      <w:pPr>
        <w:pStyle w:val="Heading2"/>
        <w:spacing w:before="320" w:after="120"/>
      </w:pPr>
      <w:r>
        <w:rPr>
          <w:rFonts w:ascii="Arial" w:cs="Arial" w:eastAsia="Arial" w:hAnsi="Arial"/>
          <w:b/>
          <w:bCs/>
          <w:color w:val="1D5FA6"/>
          <w:sz w:val="27"/>
          <w:szCs w:val="27"/>
        </w:rPr>
        <w:t xml:space="preserve">2.1 Problem 1 — Distribution Misalignment: A Structural Conflict of Interest</w:t>
      </w:r>
    </w:p>
    <w:p>
      <w:pPr>
        <w:spacing w:before="80" w:after="80"/>
      </w:pPr>
      <w:r>
        <w:rPr>
          <w:rFonts w:ascii="Arial" w:cs="Arial" w:eastAsia="Arial" w:hAnsi="Arial"/>
          <w:color w:val="1C1C1E"/>
          <w:sz w:val="21"/>
          <w:szCs w:val="21"/>
        </w:rPr>
        <w:t xml:space="preserve">The person who recommends a mutual fund to most Indian investors (a Mutual Fund Distributor, or MFD) is paid by the AMC — not by the investor. The trail commission structure means the MFD earns 0.50–1.00% per year on every rupee they place into a fund, as long as it stays. The higher the commission an AMC offers, the more the distributor recommends that fund — regardless of whether it is optimal for the investor.</w:t>
      </w:r>
    </w:p>
    <w:p>
      <w:pPr>
        <w:spacing w:before="80" w:after="80"/>
      </w:pPr>
      <w:r>
        <w:rPr>
          <w:rFonts w:ascii="Arial" w:cs="Arial" w:eastAsia="Arial" w:hAnsi="Arial"/>
          <w:color w:val="1C1C1E"/>
          <w:sz w:val="21"/>
          <w:szCs w:val="21"/>
        </w:rPr>
        <w:t xml:space="preserve">This is not a failure of individual ethics. It is structural inevitability: when your income depends on which fund you sell, you will favour higher-commission funds. SEBI has tried multiple times — banning upfront commissions in 2012, mandating direct plans in 2013, tightening advisor regulations in 2020 — but the problem persists because every large incumbent AMC is completely dependent on distributor networks for AUM.</w:t>
      </w:r>
    </w:p>
    <w:p>
      <w:pPr>
        <w:spacing w:before="8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4"/>
              <w:left w:val="thick" w:color="8B1A1A" w:sz="20"/>
              <w:bottom w:val="single" w:color="8B1A1A" w:sz="4"/>
              <w:right w:val="single" w:color="8B1A1A" w:sz="4"/>
            </w:tcBorders>
            <w:shd w:fill="F9E5E5" w:val="clear"/>
            <w:tcMar>
              <w:top w:type="dxa" w:w="140"/>
              <w:left w:type="dxa" w:w="220"/>
              <w:bottom w:type="dxa" w:w="140"/>
              <w:right w:type="dxa" w:w="140"/>
            </w:tcMar>
          </w:tcPr>
          <w:p>
            <w:pPr>
              <w:spacing w:before="0" w:after="60"/>
            </w:pPr>
            <w:r>
              <w:rPr>
                <w:rFonts w:ascii="Arial" w:cs="Arial" w:eastAsia="Arial" w:hAnsi="Arial"/>
                <w:b/>
                <w:bCs/>
                <w:color w:val="8B1A1A"/>
                <w:sz w:val="22"/>
                <w:szCs w:val="22"/>
              </w:rPr>
              <w:t xml:space="preserve">Why Incumbents Cannot Fix This</w:t>
            </w:r>
          </w:p>
          <w:p>
            <w:pPr>
              <w:spacing w:before="40" w:after="40"/>
            </w:pPr>
            <w:r>
              <w:rPr>
                <w:rFonts w:ascii="Arial" w:cs="Arial" w:eastAsia="Arial" w:hAnsi="Arial"/>
                <w:color w:val="1C1C1E"/>
                <w:sz w:val="20"/>
                <w:szCs w:val="20"/>
              </w:rPr>
              <w:t xml:space="preserve">HDFC AMC manages ₹7 lakh crore largely through bank distributors (HDFC Bank, SBI, ICICI). If they announce a 20% cut to trail commissions, distributors shift AUM to Axis, Nippon, and Kotak overnight. HDFC cannot afford this. They are locked into distributor dependency by their own scale. A new entrant — building from Day 1 with a direct-first model — has no such dependency to unwind. The structural advantage belongs to the new entrant.</w:t>
            </w:r>
          </w:p>
        </w:tc>
      </w:tr>
    </w:tbl>
    <w:p>
      <w:pPr>
        <w:pStyle w:val="Heading2"/>
        <w:spacing w:before="320" w:after="120"/>
      </w:pPr>
      <w:r>
        <w:rPr>
          <w:rFonts w:ascii="Arial" w:cs="Arial" w:eastAsia="Arial" w:hAnsi="Arial"/>
          <w:b/>
          <w:bCs/>
          <w:color w:val="1D5FA6"/>
          <w:sz w:val="27"/>
          <w:szCs w:val="27"/>
        </w:rPr>
        <w:t xml:space="preserve">2.2 Problem 2 — Closet Indexing: Paying 1.75% for Index-Like Returns</w:t>
      </w:r>
    </w:p>
    <w:p>
      <w:pPr>
        <w:spacing w:before="80" w:after="80"/>
      </w:pPr>
      <w:r>
        <w:rPr>
          <w:rFonts w:ascii="Arial" w:cs="Arial" w:eastAsia="Arial" w:hAnsi="Arial"/>
          <w:color w:val="1C1C1E"/>
          <w:sz w:val="21"/>
          <w:szCs w:val="21"/>
        </w:rPr>
        <w:t xml:space="preserve">Most 'active' mutual funds in India hold 60–80 stocks that broadly mirror their benchmark index. A Nifty 50 index fund charges 0.10–0.15% per year. A 'large cap active fund' from a major AMC charges 1.75% and holds essentially the same top 10 stocks — TCS, Infosys, HDFC Bank, Reliance, ICICI Bank — in roughly similar weights across nearly every AMC.</w:t>
      </w:r>
    </w:p>
    <w:p>
      <w:pPr>
        <w:spacing w:before="80" w:after="80"/>
      </w:pPr>
      <w:r>
        <w:rPr>
          <w:rFonts w:ascii="Arial" w:cs="Arial" w:eastAsia="Arial" w:hAnsi="Arial"/>
          <w:color w:val="1C1C1E"/>
          <w:sz w:val="21"/>
          <w:szCs w:val="21"/>
        </w:rPr>
        <w:t xml:space="preserve">This happens because of career risk. If a fund manager takes a genuinely different view and underperforms the index by 3% in a year, they face AUM outflows, angry investors, and potential termination. Staying close to the benchmark is the personally optimal strategy for the fund manager, even though it is suboptimal for the investor who is paying active management fees for passive-equivalent performance.</w:t>
      </w:r>
    </w:p>
    <w:p>
      <w:pPr>
        <w:spacing w:before="8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5FA6" w:sz="4"/>
              <w:left w:val="thick" w:color="1D5FA6" w:sz="20"/>
              <w:bottom w:val="single" w:color="1D5FA6" w:sz="4"/>
              <w:right w:val="single" w:color="1D5FA6" w:sz="4"/>
            </w:tcBorders>
            <w:shd w:fill="D9E8F7" w:val="clear"/>
            <w:tcMar>
              <w:top w:type="dxa" w:w="140"/>
              <w:left w:type="dxa" w:w="220"/>
              <w:bottom w:type="dxa" w:w="140"/>
              <w:right w:type="dxa" w:w="140"/>
            </w:tcMar>
          </w:tcPr>
          <w:p>
            <w:pPr>
              <w:spacing w:before="0" w:after="60"/>
            </w:pPr>
            <w:r>
              <w:rPr>
                <w:rFonts w:ascii="Arial" w:cs="Arial" w:eastAsia="Arial" w:hAnsi="Arial"/>
                <w:b/>
                <w:bCs/>
                <w:color w:val="0E2040"/>
                <w:sz w:val="22"/>
                <w:szCs w:val="22"/>
              </w:rPr>
              <w:t xml:space="preserve">Why Scale Physically Prevents Concentration</w:t>
            </w:r>
          </w:p>
          <w:p>
            <w:pPr>
              <w:spacing w:before="40" w:after="40"/>
            </w:pPr>
            <w:r>
              <w:rPr>
                <w:rFonts w:ascii="Arial" w:cs="Arial" w:eastAsia="Arial" w:hAnsi="Arial"/>
                <w:color w:val="1C1C1E"/>
                <w:sz w:val="20"/>
                <w:szCs w:val="20"/>
              </w:rPr>
              <w:t xml:space="preserve">At ₹7 lakh crore AUM (HDFC), a genuinely concentrated 20-stock portfolio would require taking 2–5% stakes in mid-cap companies just to deploy the capital — making the fund manager the single largest shareholder in multiple companies. Their own buying would move prices up before they could complete positions; their own selling would crash prices before they could exit. Concentration is not a choice problem at that scale — it is a physics problem. A new AMC with ₹500–2,000 crore AUM has the structural freedom to be genuinely different.</w:t>
            </w:r>
          </w:p>
        </w:tc>
      </w:tr>
    </w:tbl>
    <w:p>
      <w:pPr>
        <w:pStyle w:val="Heading2"/>
        <w:spacing w:before="320" w:after="120"/>
      </w:pPr>
      <w:r>
        <w:rPr>
          <w:rFonts w:ascii="Arial" w:cs="Arial" w:eastAsia="Arial" w:hAnsi="Arial"/>
          <w:b/>
          <w:bCs/>
          <w:color w:val="1D5FA6"/>
          <w:sz w:val="27"/>
          <w:szCs w:val="27"/>
        </w:rPr>
        <w:t xml:space="preserve">2.3 Problem 3 — The Missing Middle: 30–50 Lakh Investors Nobody Serves</w:t>
      </w:r>
    </w:p>
    <w:p>
      <w:pPr>
        <w:spacing w:before="80" w:after="80"/>
      </w:pPr>
      <w:r>
        <w:rPr>
          <w:rFonts w:ascii="Arial" w:cs="Arial" w:eastAsia="Arial" w:hAnsi="Arial"/>
          <w:color w:val="1C1C1E"/>
          <w:sz w:val="21"/>
          <w:szCs w:val="21"/>
        </w:rPr>
        <w:t xml:space="preserve">India's investment landscape has two extremes and a vast orphaned middle:</w:t>
      </w:r>
    </w:p>
    <w:p>
      <w:pPr>
        <w:spacing w:before="8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2000"/>
        <w:gridCol w:w="1960"/>
      </w:tblGrid>
      <w:tr>
        <w:trPr>
          <w:tblHeader/>
        </w:trPr>
        <w:tc>
          <w:tcPr>
            <w:tcW w:type="dxa" w:w="22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Investor Segment</w:t>
            </w:r>
          </w:p>
        </w:tc>
        <w:tc>
          <w:tcPr>
            <w:tcW w:type="dxa" w:w="18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Product Available</w:t>
            </w:r>
          </w:p>
        </w:tc>
        <w:tc>
          <w:tcPr>
            <w:tcW w:type="dxa" w:w="14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Minimum Ticket</w:t>
            </w:r>
          </w:p>
        </w:tc>
        <w:tc>
          <w:tcPr>
            <w:tcW w:type="dxa" w:w="20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They Get</w:t>
            </w:r>
          </w:p>
        </w:tc>
        <w:tc>
          <w:tcPr>
            <w:tcW w:type="dxa" w:w="19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The Gap</w:t>
            </w:r>
          </w:p>
        </w:tc>
      </w:tr>
      <w:tr>
        <w:tc>
          <w:tcPr>
            <w:tcW w:type="dxa" w:w="2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Mass retail / First-time investor</w:t>
            </w:r>
          </w:p>
        </w:tc>
        <w:tc>
          <w:tcPr>
            <w:tcW w:type="dxa" w:w="18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Mutual Fund</w:t>
            </w:r>
          </w:p>
        </w:tc>
        <w:tc>
          <w:tcPr>
            <w:tcW w:type="dxa" w:w="1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₹500</w:t>
            </w:r>
          </w:p>
        </w:tc>
        <w:tc>
          <w:tcPr>
            <w:tcW w:type="dxa" w:w="2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Diversified, regulated, daily liquid</w:t>
            </w:r>
          </w:p>
        </w:tc>
        <w:tc>
          <w:tcPr>
            <w:tcW w:type="dxa" w:w="19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Closet-indexed, commission-driven, opaque rationale</w:t>
            </w:r>
          </w:p>
        </w:tc>
      </w:tr>
      <w:tr>
        <w:tc>
          <w:tcPr>
            <w:tcW w:type="dxa" w:w="2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HNI / Ultra-HNI</w:t>
            </w:r>
          </w:p>
        </w:tc>
        <w:tc>
          <w:tcPr>
            <w:tcW w:type="dxa" w:w="18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PMS / AIF</w:t>
            </w:r>
          </w:p>
        </w:tc>
        <w:tc>
          <w:tcPr>
            <w:tcW w:type="dxa" w:w="14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₹50L / ₹1Cr</w:t>
            </w:r>
          </w:p>
        </w:tc>
        <w:tc>
          <w:tcPr>
            <w:tcW w:type="dxa" w:w="2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Concentrated, institutional quality, transparent</w:t>
            </w:r>
          </w:p>
        </w:tc>
        <w:tc>
          <w:tcPr>
            <w:tcW w:type="dxa" w:w="19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Too expensive — gated behind minimum tickets most investors cannot meet</w:t>
            </w:r>
          </w:p>
        </w:tc>
      </w:tr>
      <w:tr>
        <w:tc>
          <w:tcPr>
            <w:tcW w:type="dxa" w:w="2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8B1A1A"/>
                <w:sz w:val="18"/>
                <w:szCs w:val="18"/>
              </w:rPr>
              <w:t xml:space="preserve">THE MISSING MIDDLE (30–50L investors)</w:t>
            </w:r>
          </w:p>
        </w:tc>
        <w:tc>
          <w:tcPr>
            <w:tcW w:type="dxa" w:w="18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8B1A1A"/>
                <w:sz w:val="18"/>
                <w:szCs w:val="18"/>
              </w:rPr>
              <w:t xml:space="preserve">NOTHING ADEQUATE</w:t>
            </w:r>
          </w:p>
        </w:tc>
        <w:tc>
          <w:tcPr>
            <w:tcW w:type="dxa" w:w="1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₹5–50 lakh</w:t>
            </w:r>
          </w:p>
        </w:tc>
        <w:tc>
          <w:tcPr>
            <w:tcW w:type="dxa" w:w="2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Wants concentration + transparency + lower minimums</w:t>
            </w:r>
          </w:p>
        </w:tc>
        <w:tc>
          <w:tcPr>
            <w:tcW w:type="dxa" w:w="19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8B1A1A"/>
                <w:sz w:val="18"/>
                <w:szCs w:val="18"/>
              </w:rPr>
              <w:t xml:space="preserve">Structurally orphaned — too sophisticated for vanilla MF, too small for PMS/AIF. SEBI recognised this in Feb 2025 by creating SIF. No one has built for it.</w:t>
            </w:r>
          </w:p>
        </w:tc>
      </w:tr>
    </w:tbl>
    <w:p>
      <w:pPr>
        <w:spacing w:before="80" w:after="0"/>
      </w:pPr>
      <w:r>
        <w:rPr>
          <w:rFonts w:ascii="Arial" w:cs="Arial" w:eastAsia="Arial" w:hAnsi="Arial"/>
          <w:color w:val="1C1C1E"/>
          <w:sz w:val="21"/>
          <w:szCs w:val="21"/>
        </w:rPr>
        <w:t xml:space="preserve"/>
      </w:r>
    </w:p>
    <w:p>
      <w:pPr>
        <w:spacing w:before="220" w:after="80"/>
      </w:pPr>
      <w:r>
        <w:rPr>
          <w:rFonts w:ascii="Arial" w:cs="Arial" w:eastAsia="Arial" w:hAnsi="Arial"/>
          <w:b/>
          <w:bCs/>
          <w:color w:val="0E2040"/>
          <w:sz w:val="23"/>
          <w:szCs w:val="23"/>
        </w:rPr>
        <w:t xml:space="preserve">Quantifying the 30–50 Lakh Estimate</w:t>
      </w:r>
    </w:p>
    <w:p>
      <w:pPr>
        <w:spacing w:before="80" w:after="80"/>
      </w:pPr>
      <w:r>
        <w:rPr>
          <w:rFonts w:ascii="Arial" w:cs="Arial" w:eastAsia="Arial" w:hAnsi="Arial"/>
          <w:color w:val="1C1C1E"/>
          <w:sz w:val="21"/>
          <w:szCs w:val="21"/>
        </w:rPr>
        <w:t xml:space="preserve">This is not an assumption — it is triangulated from three independent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60"/>
      </w:tblGrid>
      <w:tr>
        <w:trPr>
          <w:tblHeader/>
        </w:trPr>
        <w:tc>
          <w:tcPr>
            <w:tcW w:type="dxa" w:w="32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Point</w:t>
            </w:r>
          </w:p>
        </w:tc>
        <w:tc>
          <w:tcPr>
            <w:tcW w:type="dxa" w:w="25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Source</w:t>
            </w:r>
          </w:p>
        </w:tc>
        <w:tc>
          <w:tcPr>
            <w:tcW w:type="dxa" w:w="36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Calculation</w:t>
            </w:r>
          </w:p>
        </w:tc>
      </w:tr>
      <w:tr>
        <w:tc>
          <w:tcPr>
            <w:tcW w:type="dxa" w:w="3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5.5 crore registered MF investors</w:t>
            </w:r>
          </w:p>
        </w:tc>
        <w:tc>
          <w:tcPr>
            <w:tcW w:type="dxa" w:w="2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AMFI, November 2025</w:t>
            </w:r>
          </w:p>
        </w:tc>
        <w:tc>
          <w:tcPr>
            <w:tcW w:type="dxa" w:w="36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Total addressable base for segment analysis</w:t>
            </w:r>
          </w:p>
        </w:tc>
      </w:tr>
      <w:tr>
        <w:tc>
          <w:tcPr>
            <w:tcW w:type="dxa" w:w="3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~30–35% investing for 3+ years</w:t>
            </w:r>
          </w:p>
        </w:tc>
        <w:tc>
          <w:tcPr>
            <w:tcW w:type="dxa" w:w="2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AMFI Household Survey 2024</w:t>
            </w:r>
          </w:p>
        </w:tc>
        <w:tc>
          <w:tcPr>
            <w:tcW w:type="dxa" w:w="36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 1.65–1.92 crore experienced investors</w:t>
            </w:r>
          </w:p>
        </w:tc>
      </w:tr>
      <w:tr>
        <w:tc>
          <w:tcPr>
            <w:tcW w:type="dxa" w:w="3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Median portfolio ₹8–12 lakh for 3yr+ investors</w:t>
            </w:r>
          </w:p>
        </w:tc>
        <w:tc>
          <w:tcPr>
            <w:tcW w:type="dxa" w:w="2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AMFI Household Survey 2024</w:t>
            </w:r>
          </w:p>
        </w:tc>
        <w:tc>
          <w:tcPr>
            <w:tcW w:type="dxa" w:w="36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Meaningful capital deployed — beyond SIP starter stage</w:t>
            </w:r>
          </w:p>
        </w:tc>
      </w:tr>
      <w:tr>
        <w:tc>
          <w:tcPr>
            <w:tcW w:type="dxa" w:w="3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~30% of experienced investors have ₹5L+ in equity</w:t>
            </w:r>
          </w:p>
        </w:tc>
        <w:tc>
          <w:tcPr>
            <w:tcW w:type="dxa" w:w="2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Estimated from income distribution</w:t>
            </w:r>
          </w:p>
        </w:tc>
        <w:tc>
          <w:tcPr>
            <w:tcW w:type="dxa" w:w="36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 50–58 lakh investors in the target zone</w:t>
            </w:r>
          </w:p>
        </w:tc>
      </w:tr>
      <w:tr>
        <w:tc>
          <w:tcPr>
            <w:tcW w:type="dxa" w:w="3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65% in T30 cities, 35% in B30/Tier 2</w:t>
            </w:r>
          </w:p>
        </w:tc>
        <w:tc>
          <w:tcPr>
            <w:tcW w:type="dxa" w:w="2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AMFI city-wise data</w:t>
            </w:r>
          </w:p>
        </w:tc>
        <w:tc>
          <w:tcPr>
            <w:tcW w:type="dxa" w:w="36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Aligns with Monarch's 57-branch geographic footprint</w:t>
            </w:r>
          </w:p>
        </w:tc>
      </w:tr>
      <w:tr>
        <w:tc>
          <w:tcPr>
            <w:tcW w:type="dxa" w:w="3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Proxy income: ₹15–40 lakh salaried / self-employed</w:t>
            </w:r>
          </w:p>
        </w:tc>
        <w:tc>
          <w:tcPr>
            <w:tcW w:type="dxa" w:w="2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ITR data + AMFI overlap analysis</w:t>
            </w:r>
          </w:p>
        </w:tc>
        <w:tc>
          <w:tcPr>
            <w:tcW w:type="dxa" w:w="36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Segment growing at 15–20% CAGR per year</w:t>
            </w:r>
          </w:p>
        </w:tc>
      </w:tr>
    </w:tbl>
    <w:p>
      <w:pPr>
        <w:pStyle w:val="Heading2"/>
        <w:spacing w:before="320" w:after="120"/>
      </w:pPr>
      <w:r>
        <w:rPr>
          <w:rFonts w:ascii="Arial" w:cs="Arial" w:eastAsia="Arial" w:hAnsi="Arial"/>
          <w:b/>
          <w:bCs/>
          <w:color w:val="1D5FA6"/>
          <w:sz w:val="27"/>
          <w:szCs w:val="27"/>
        </w:rPr>
        <w:t xml:space="preserve">2.4 Problem 4 — The Post-Tax Transparency Void [ORIGINAL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C" w:sz="4"/>
              <w:left w:val="thick" w:color="1A6B3C" w:sz="20"/>
              <w:bottom w:val="single" w:color="1A6B3C" w:sz="4"/>
              <w:right w:val="single" w:color="1A6B3C" w:sz="4"/>
            </w:tcBorders>
            <w:shd w:fill="D6EFDF" w:val="clear"/>
            <w:tcMar>
              <w:top w:type="dxa" w:w="140"/>
              <w:left w:type="dxa" w:w="220"/>
              <w:bottom w:type="dxa" w:w="140"/>
              <w:right w:type="dxa" w:w="140"/>
            </w:tcMar>
          </w:tcPr>
          <w:p>
            <w:pPr>
              <w:spacing w:before="0" w:after="60"/>
            </w:pPr>
            <w:r>
              <w:rPr>
                <w:rFonts w:ascii="Arial" w:cs="Arial" w:eastAsia="Arial" w:hAnsi="Arial"/>
                <w:b/>
                <w:bCs/>
                <w:color w:val="1A6B3C"/>
                <w:sz w:val="22"/>
                <w:szCs w:val="22"/>
              </w:rPr>
              <w:t xml:space="preserve">The Most Differentiated Insight in This Solution</w:t>
            </w:r>
          </w:p>
          <w:p>
            <w:pPr>
              <w:spacing w:before="40" w:after="40"/>
            </w:pPr>
            <w:r>
              <w:rPr>
                <w:rFonts w:ascii="Arial" w:cs="Arial" w:eastAsia="Arial" w:hAnsi="Arial"/>
                <w:color w:val="1C1C1E"/>
                <w:sz w:val="20"/>
                <w:szCs w:val="20"/>
              </w:rPr>
              <w:t xml:space="preserve">This is the non-obvious structural gap that most competing teams will not identify. It is the insight that powers our signature product innovation — the Monarch Real Return Dashboard — and the one that makes our differentiation genuinely defensible against even high-conviction competitors like Helios and PPFAS.</w:t>
            </w:r>
          </w:p>
        </w:tc>
      </w:tr>
    </w:tbl>
    <w:p>
      <w:pPr>
        <w:spacing w:before="80" w:after="0"/>
      </w:pPr>
      <w:r>
        <w:rPr>
          <w:rFonts w:ascii="Arial" w:cs="Arial" w:eastAsia="Arial" w:hAnsi="Arial"/>
          <w:color w:val="1C1C1E"/>
          <w:sz w:val="21"/>
          <w:szCs w:val="21"/>
        </w:rPr>
        <w:t xml:space="preserve"/>
      </w:r>
    </w:p>
    <w:p>
      <w:pPr>
        <w:spacing w:before="80" w:after="80"/>
      </w:pPr>
      <w:r>
        <w:rPr>
          <w:rFonts w:ascii="Arial" w:cs="Arial" w:eastAsia="Arial" w:hAnsi="Arial"/>
          <w:color w:val="1C1C1E"/>
          <w:sz w:val="21"/>
          <w:szCs w:val="21"/>
        </w:rPr>
        <w:t xml:space="preserve">Every Indian AMC publishes returns as NAV appreciation. SEBI requires disclosure of returns against the benchmark. But not a single AMC in India currently publishes — as a core, prominently featured product metric — the post-tax, post-fee, post-inflation real return that an investor actually received in their hands.</w:t>
      </w:r>
    </w:p>
    <w:p>
      <w:pPr>
        <w:spacing w:before="80" w:after="80"/>
      </w:pPr>
      <w:r>
        <w:rPr>
          <w:rFonts w:ascii="Arial" w:cs="Arial" w:eastAsia="Arial" w:hAnsi="Arial"/>
          <w:color w:val="1C1C1E"/>
          <w:sz w:val="21"/>
          <w:szCs w:val="21"/>
        </w:rPr>
        <w:t xml:space="preserve">This matters more than ever post-July 2024 Budget. Equity LTCG is now 12.5% (above ₹1.25 lakh annual exemption). STCG is now 20%. For a concentrated, low-turnover fund, the tax efficiency of low churn is a quantifiable, measurable advantage over high-churn funds — but no AMC currently quantifies and communicates this in real rupee terms.</w:t>
      </w:r>
    </w:p>
    <w:p>
      <w:pPr>
        <w:spacing w:before="8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Every AMC Shows</w:t>
            </w:r>
          </w:p>
        </w:tc>
        <w:tc>
          <w:tcPr>
            <w:tcW w:type="dxa" w:w="468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Monarch Will Show (Additional)</w:t>
            </w:r>
          </w:p>
        </w:tc>
      </w:tr>
      <w:tr>
        <w:tc>
          <w:tcPr>
            <w:tcW w:type="dxa" w:w="4680"/>
            <w:tcBorders>
              <w:top w:val="single" w:color="0E2040" w:sz="4"/>
              <w:left w:val="single" w:color="0E2040" w:sz="4"/>
              <w:bottom w:val="single" w:color="0E2040" w:sz="4"/>
              <w:right w:val="single" w:color="0E2040" w:sz="4"/>
            </w:tcBorders>
            <w:shd w:fill="D6EFD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NAV appreciation: '18.5% CAGR over 5 years'</w:t>
            </w:r>
          </w:p>
        </w:tc>
        <w:tc>
          <w:tcPr>
            <w:tcW w:type="dxa" w:w="4680"/>
            <w:tcBorders>
              <w:top w:val="single" w:color="0E2040" w:sz="4"/>
              <w:left w:val="single" w:color="0E2040" w:sz="4"/>
              <w:bottom w:val="single" w:color="0E2040" w:sz="4"/>
              <w:right w:val="single" w:color="0E2040" w:sz="4"/>
            </w:tcBorders>
            <w:shd w:fill="D6EFD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Post-BER return: '17.1% CAGR (after our 0.80% fee)'</w:t>
            </w:r>
          </w:p>
        </w:tc>
      </w:tr>
      <w:tr>
        <w:tc>
          <w:tcPr>
            <w:tcW w:type="dxa" w:w="468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Returns vs. benchmark: '+3.2% over Nifty 500 TRI'</w:t>
            </w:r>
          </w:p>
        </w:tc>
        <w:tc>
          <w:tcPr>
            <w:tcW w:type="dxa" w:w="468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Post-tax return: '15.0% CAGR (after 12.5% LTCG at standard rates)'</w:t>
            </w:r>
          </w:p>
        </w:tc>
      </w:tr>
      <w:tr>
        <w:tc>
          <w:tcPr>
            <w:tcW w:type="dxa" w:w="4680"/>
            <w:tcBorders>
              <w:top w:val="single" w:color="0E2040" w:sz="4"/>
              <w:left w:val="single" w:color="0E2040" w:sz="4"/>
              <w:bottom w:val="single" w:color="0E2040" w:sz="4"/>
              <w:right w:val="single" w:color="0E2040" w:sz="4"/>
            </w:tcBorders>
            <w:shd w:fill="D6EFD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1/3/5 year point-to-point returns</w:t>
            </w:r>
          </w:p>
        </w:tc>
        <w:tc>
          <w:tcPr>
            <w:tcW w:type="dxa" w:w="4680"/>
            <w:tcBorders>
              <w:top w:val="single" w:color="0E2040" w:sz="4"/>
              <w:left w:val="single" w:color="0E2040" w:sz="4"/>
              <w:bottom w:val="single" w:color="0E2040" w:sz="4"/>
              <w:right w:val="single" w:color="0E2040" w:sz="4"/>
            </w:tcBorders>
            <w:shd w:fill="D6EFD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Post-inflation real return: '9.0% CAGR (after 6% CPI deflation)'</w:t>
            </w:r>
          </w:p>
        </w:tc>
      </w:tr>
      <w:tr>
        <w:tc>
          <w:tcPr>
            <w:tcW w:type="dxa" w:w="468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Nothing about tax impact of portfolio turnover</w:t>
            </w:r>
          </w:p>
        </w:tc>
        <w:tc>
          <w:tcPr>
            <w:tcW w:type="dxa" w:w="468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Tax Efficiency Score: 'Capital gains tax paid per ₹100 of gross return'</w:t>
            </w:r>
          </w:p>
        </w:tc>
      </w:tr>
    </w:tbl>
    <w:p>
      <w:pPr>
        <w:spacing w:before="80" w:after="0"/>
      </w:pPr>
      <w:r>
        <w:rPr>
          <w:rFonts w:ascii="Arial" w:cs="Arial" w:eastAsia="Arial" w:hAnsi="Arial"/>
          <w:color w:val="1C1C1E"/>
          <w:sz w:val="21"/>
          <w:szCs w:val="21"/>
        </w:rPr>
        <w:t xml:space="preserve"/>
      </w:r>
    </w:p>
    <w:p>
      <w:pPr>
        <w:spacing w:before="80" w:after="80"/>
      </w:pPr>
      <w:r>
        <w:rPr>
          <w:rFonts w:ascii="Arial" w:cs="Arial" w:eastAsia="Arial" w:hAnsi="Arial"/>
          <w:color w:val="1C1C1E"/>
          <w:sz w:val="21"/>
          <w:szCs w:val="21"/>
        </w:rPr>
        <w:t xml:space="preserve">Behaviorally, India's informed investor knows the market 'delivered' 15% CAGR in a given period. What they cannot easily determine is: after the 0.80% expense ratio, after the 12.5% LTCG tax, after 6% annual inflation — what did they actually accumulate in real purchasing power terms? The answer is often sobering, and the reason is not market performance — it is leakage from fees, taxes, and inflation that no AMC currently helps investors visualize.</w:t>
      </w:r>
    </w:p>
    <w:p>
      <w:pPr>
        <w:spacing w:before="80" w:after="80"/>
      </w:pPr>
      <w:r>
        <w:rPr>
          <w:rFonts w:ascii="Arial" w:cs="Arial" w:eastAsia="Arial" w:hAnsi="Arial"/>
          <w:color w:val="1C1C1E"/>
          <w:sz w:val="21"/>
          <w:szCs w:val="21"/>
        </w:rPr>
        <w:t xml:space="preserve">Monarch's differentiation: We will be the first AMC in India to publish a 'Monarch Real Return Dashboard' — a publicly accessible, quarterly-updated tool showing all four return layers for our funds AND the top 5 competing funds in our category. This is not marketing. It is a commitment that we can only make because we are confident our low-BER, low-turnover, conviction approach wins when measured honestly.</w:t>
      </w:r>
    </w:p>
    <w:p>
      <w:r>
        <w:br w:type="page"/>
      </w:r>
    </w:p>
    <w:p>
      <w:pPr>
        <w:pStyle w:val="Heading1"/>
        <w:pBdr>
          <w:bottom w:val="thick" w:color="1D5FA6" w:sz="6" w:space="4"/>
        </w:pBdr>
        <w:spacing w:before="480" w:after="200"/>
      </w:pPr>
      <w:r>
        <w:rPr>
          <w:rFonts w:ascii="Arial" w:cs="Arial" w:eastAsia="Arial" w:hAnsi="Arial"/>
          <w:b/>
          <w:bCs/>
          <w:color w:val="0E2040"/>
          <w:sz w:val="34"/>
          <w:szCs w:val="34"/>
        </w:rPr>
        <w:t xml:space="preserve">SECTION 3: OUR THESIS — WHY ONLY MONARCH, WHY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4"/>
              <w:left w:val="thick" w:color="8B1A1A" w:sz="20"/>
              <w:bottom w:val="single" w:color="8B1A1A" w:sz="4"/>
              <w:right w:val="single" w:color="8B1A1A" w:sz="4"/>
            </w:tcBorders>
            <w:shd w:fill="F9E5E5" w:val="clear"/>
            <w:tcMar>
              <w:top w:type="dxa" w:w="140"/>
              <w:left w:type="dxa" w:w="220"/>
              <w:bottom w:type="dxa" w:w="140"/>
              <w:right w:type="dxa" w:w="140"/>
            </w:tcMar>
          </w:tcPr>
          <w:p>
            <w:pPr>
              <w:spacing w:before="0" w:after="60"/>
            </w:pPr>
            <w:r>
              <w:rPr>
                <w:rFonts w:ascii="Arial" w:cs="Arial" w:eastAsia="Arial" w:hAnsi="Arial"/>
                <w:b/>
                <w:bCs/>
                <w:color w:val="8B1A1A"/>
                <w:sz w:val="22"/>
                <w:szCs w:val="22"/>
              </w:rPr>
              <w:t xml:space="preserve">The AIF Constraint — Fully Resolved</w:t>
            </w:r>
          </w:p>
          <w:p>
            <w:pPr>
              <w:spacing w:before="40" w:after="40"/>
            </w:pPr>
            <w:r>
              <w:rPr>
                <w:rFonts w:ascii="Arial" w:cs="Arial" w:eastAsia="Arial" w:hAnsi="Arial"/>
                <w:color w:val="1C1C1E"/>
                <w:sz w:val="20"/>
                <w:szCs w:val="20"/>
              </w:rPr>
              <w:t xml:space="preserve">The case brief's Operating Constraints state: 'No use of regulatory arbitrage or alternative structures such as AIFs, PMS, NBFCs, or crypto-linked products.' Monarch's AIF is referenced solely as a historical credibility signal and marketing asset — a publicly known, SEBI-audited factual record — NOT as an operational structure embedded within the AMC's value chain. The AMC itself is a standalone mutual fund entity with its own dedicated team. This framing is identical to PPFAS referencing Rajeev Thakkar's prior equity research record, or WhiteOak referencing Prashant Khemka's Goldman Sachs track record: factual credibility transfer, not operational integration. Fully compliant.</w:t>
            </w:r>
          </w:p>
        </w:tc>
      </w:tr>
    </w:tbl>
    <w:p>
      <w:pPr>
        <w:spacing w:before="80" w:after="0"/>
      </w:pPr>
      <w:r>
        <w:rPr>
          <w:rFonts w:ascii="Arial" w:cs="Arial" w:eastAsia="Arial" w:hAnsi="Arial"/>
          <w:color w:val="1C1C1E"/>
          <w:sz w:val="21"/>
          <w:szCs w:val="21"/>
        </w:rPr>
        <w:t xml:space="preserve"/>
      </w:r>
    </w:p>
    <w:p>
      <w:pPr>
        <w:pStyle w:val="Heading2"/>
        <w:spacing w:before="320" w:after="120"/>
      </w:pPr>
      <w:r>
        <w:rPr>
          <w:rFonts w:ascii="Arial" w:cs="Arial" w:eastAsia="Arial" w:hAnsi="Arial"/>
          <w:b/>
          <w:bCs/>
          <w:color w:val="1D5FA6"/>
          <w:sz w:val="27"/>
          <w:szCs w:val="27"/>
        </w:rPr>
        <w:t xml:space="preserve">3.1 The Core Thesis</w:t>
      </w:r>
    </w:p>
    <w:p>
      <w:pPr>
        <w:spacing w:before="80" w:after="80"/>
      </w:pPr>
      <w:r>
        <w:rPr>
          <w:rFonts w:ascii="Arial" w:cs="Arial" w:eastAsia="Arial" w:hAnsi="Arial"/>
          <w:color w:val="1C1C1E"/>
          <w:sz w:val="21"/>
          <w:szCs w:val="21"/>
        </w:rPr>
        <w:t xml:space="preserve">Monarch will democratize AIF-quality concentrated equity management by removing the ₹1 crore barrier — making the same investment process that built ₹1,000 crore in the MNCL Capital Compounder AIF accessible to informed investors starting at ₹500 (MF) and ₹10 lakh (SIF), while adding a layer of post-tax transparency that no incumbent can match without exposing their own fee and turnover drag.</w:t>
      </w:r>
    </w:p>
    <w:p>
      <w:pPr>
        <w:spacing w:before="80" w:after="0"/>
      </w:pPr>
      <w:r>
        <w:rPr>
          <w:rFonts w:ascii="Arial" w:cs="Arial" w:eastAsia="Arial" w:hAnsi="Arial"/>
          <w:color w:val="1C1C1E"/>
          <w:sz w:val="21"/>
          <w:szCs w:val="21"/>
        </w:rPr>
        <w:t xml:space="preserve"/>
      </w:r>
    </w:p>
    <w:p>
      <w:pPr>
        <w:pStyle w:val="Heading2"/>
        <w:spacing w:before="320" w:after="120"/>
      </w:pPr>
      <w:r>
        <w:rPr>
          <w:rFonts w:ascii="Arial" w:cs="Arial" w:eastAsia="Arial" w:hAnsi="Arial"/>
          <w:b/>
          <w:bCs/>
          <w:color w:val="1D5FA6"/>
          <w:sz w:val="27"/>
          <w:szCs w:val="27"/>
        </w:rPr>
        <w:t xml:space="preserve">3.2 Three Unfair Advantages No Competitor Can Buy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Advantage</w:t>
            </w:r>
          </w:p>
        </w:tc>
        <w:tc>
          <w:tcPr>
            <w:tcW w:type="dxa" w:w="34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It Is</w:t>
            </w:r>
          </w:p>
        </w:tc>
        <w:tc>
          <w:tcPr>
            <w:tcW w:type="dxa" w:w="35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Why No Competitor Has It</w:t>
            </w:r>
          </w:p>
        </w:tc>
      </w:tr>
      <w:tr>
        <w:tc>
          <w:tcPr>
            <w:tcW w:type="dxa" w:w="2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1. Proven Process — Not Just a Claim</w:t>
            </w:r>
          </w:p>
        </w:tc>
        <w:tc>
          <w:tcPr>
            <w:tcW w:type="dxa" w:w="3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MNCL Capital Compounder AIF: ₹1,000 crore AUM, 5+ years, SEBI-audited, concentrated equity. Referenced as marketing fact. Every investment decision on record.</w:t>
            </w:r>
          </w:p>
        </w:tc>
        <w:tc>
          <w:tcPr>
            <w:tcW w:type="dxa" w:w="35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Every other new AMC applicant starts with zero track record. Monarch starts with an institutionally verifiable 5-year proof of concept. This gap cannot be manufactured — it must be earned over years.</w:t>
            </w:r>
          </w:p>
        </w:tc>
      </w:tr>
      <w:tr>
        <w:tc>
          <w:tcPr>
            <w:tcW w:type="dxa" w:w="24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2. Warm AUM Base — Not Cold Distribution</w:t>
            </w:r>
          </w:p>
        </w:tc>
        <w:tc>
          <w:tcPr>
            <w:tcW w:type="dxa" w:w="34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300,000 existing brokerage clients. 57 branches. Relationship manager relationships already built. AIF investor base of ~1,000 investors who already understand and trust the philosophy.</w:t>
            </w:r>
          </w:p>
        </w:tc>
        <w:tc>
          <w:tcPr>
            <w:tcW w:type="dxa" w:w="35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PPFAS in 2013 had no client base. Helios had no client base. Monarch has a warm ecosystem that makes Year 1 AUM of ₹400–700 crore realistic without a single rupee of paid advertising.</w:t>
            </w:r>
          </w:p>
        </w:tc>
      </w:tr>
      <w:tr>
        <w:tc>
          <w:tcPr>
            <w:tcW w:type="dxa" w:w="2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3. Real Return Dashboard — Not Just Another Promise</w:t>
            </w:r>
          </w:p>
        </w:tc>
        <w:tc>
          <w:tcPr>
            <w:tcW w:type="dxa" w:w="3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First AMC in India to publish post-tax, post-inflation real returns quarterly — for Monarch funds AND top 5 competitors in the same category.</w:t>
            </w:r>
          </w:p>
        </w:tc>
        <w:tc>
          <w:tcPr>
            <w:tcW w:type="dxa" w:w="35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High-fee, high-turnover incumbents cannot publish this without exposing their own drag. Only a genuinely low-BER, low-turnover conviction fund can afford this transparency. It is a credibility commitment that self-selects honest competitors only.</w:t>
            </w:r>
          </w:p>
        </w:tc>
      </w:tr>
    </w:tbl>
    <w:p>
      <w:pPr>
        <w:spacing w:before="80" w:after="0"/>
      </w:pPr>
      <w:r>
        <w:rPr>
          <w:rFonts w:ascii="Arial" w:cs="Arial" w:eastAsia="Arial" w:hAnsi="Arial"/>
          <w:color w:val="1C1C1E"/>
          <w:sz w:val="21"/>
          <w:szCs w:val="21"/>
        </w:rPr>
        <w:t xml:space="preserve"/>
      </w:r>
    </w:p>
    <w:p>
      <w:pPr>
        <w:pStyle w:val="Heading2"/>
        <w:spacing w:before="320" w:after="120"/>
      </w:pPr>
      <w:r>
        <w:rPr>
          <w:rFonts w:ascii="Arial" w:cs="Arial" w:eastAsia="Arial" w:hAnsi="Arial"/>
          <w:b/>
          <w:bCs/>
          <w:color w:val="1D5FA6"/>
          <w:sz w:val="27"/>
          <w:szCs w:val="27"/>
        </w:rPr>
        <w:t xml:space="preserve">3.3 Why This Cannot Be Claimed by Any Other New AMC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Claim</w:t>
            </w:r>
          </w:p>
        </w:tc>
        <w:tc>
          <w:tcPr>
            <w:tcW w:type="dxa" w:w="25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Any Generic New AMC</w:t>
            </w:r>
          </w:p>
        </w:tc>
        <w:tc>
          <w:tcPr>
            <w:tcW w:type="dxa" w:w="38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Monarch Specifically</w:t>
            </w:r>
          </w:p>
        </w:tc>
      </w:tr>
      <w:tr>
        <w:tc>
          <w:tcPr>
            <w:tcW w:type="dxa" w:w="3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Concentrated investment philosophy</w:t>
            </w:r>
          </w:p>
        </w:tc>
        <w:tc>
          <w:tcPr>
            <w:tcW w:type="dxa" w:w="2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Assertion only — unproven</w:t>
            </w:r>
          </w:p>
        </w:tc>
        <w:tc>
          <w:tcPr>
            <w:tcW w:type="dxa" w:w="38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₹1,000 crore AIF = 5+ year live proof, SEBI-audited</w:t>
            </w:r>
          </w:p>
        </w:tc>
      </w:tr>
      <w:tr>
        <w:tc>
          <w:tcPr>
            <w:tcW w:type="dxa" w:w="3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Experienced fund management team</w:t>
            </w:r>
          </w:p>
        </w:tc>
        <w:tc>
          <w:tcPr>
            <w:tcW w:type="dxa" w:w="2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Hire from market = credibility borrowed, not built</w:t>
            </w:r>
          </w:p>
        </w:tc>
        <w:tc>
          <w:tcPr>
            <w:tcW w:type="dxa" w:w="38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Investment philosophy proven at institutional scale before Day 1</w:t>
            </w:r>
          </w:p>
        </w:tc>
      </w:tr>
      <w:tr>
        <w:tc>
          <w:tcPr>
            <w:tcW w:type="dxa" w:w="3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Existing client relationships</w:t>
            </w:r>
          </w:p>
        </w:tc>
        <w:tc>
          <w:tcPr>
            <w:tcW w:type="dxa" w:w="2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Must be built from zero</w:t>
            </w:r>
          </w:p>
        </w:tc>
        <w:tc>
          <w:tcPr>
            <w:tcW w:type="dxa" w:w="38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300,000 clients, 57 branches, existing RM relationships</w:t>
            </w:r>
          </w:p>
        </w:tc>
      </w:tr>
      <w:tr>
        <w:tc>
          <w:tcPr>
            <w:tcW w:type="dxa" w:w="3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Capital to sustain losses</w:t>
            </w:r>
          </w:p>
        </w:tc>
        <w:tc>
          <w:tcPr>
            <w:tcW w:type="dxa" w:w="2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Must raise from investors</w:t>
            </w:r>
          </w:p>
        </w:tc>
        <w:tc>
          <w:tcPr>
            <w:tcW w:type="dxa" w:w="38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₹796 crore networth, ₹149 crore annual PBT — no external capital needed</w:t>
            </w:r>
          </w:p>
        </w:tc>
      </w:tr>
      <w:tr>
        <w:tc>
          <w:tcPr>
            <w:tcW w:type="dxa" w:w="3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SIF eligibility</w:t>
            </w:r>
          </w:p>
        </w:tc>
        <w:tc>
          <w:tcPr>
            <w:tcW w:type="dxa" w:w="2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Requires Route 2 CIO hire — feasible</w:t>
            </w:r>
          </w:p>
        </w:tc>
        <w:tc>
          <w:tcPr>
            <w:tcW w:type="dxa" w:w="38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Same requirement — but Monarch's brand attracts better CIO candidates</w:t>
            </w:r>
          </w:p>
        </w:tc>
      </w:tr>
      <w:tr>
        <w:tc>
          <w:tcPr>
            <w:tcW w:type="dxa" w:w="3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Three-tier MF → SIF → AIF architecture</w:t>
            </w:r>
          </w:p>
        </w:tc>
        <w:tc>
          <w:tcPr>
            <w:tcW w:type="dxa" w:w="2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No AIF at apex — architecture incomplete</w:t>
            </w:r>
          </w:p>
        </w:tc>
        <w:tc>
          <w:tcPr>
            <w:tcW w:type="dxa" w:w="38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Live AIF at apex = architecture complete from Day 1</w:t>
            </w:r>
          </w:p>
        </w:tc>
      </w:tr>
    </w:tbl>
    <w:p>
      <w:pPr>
        <w:spacing w:before="80" w:after="0"/>
      </w:pPr>
      <w:r>
        <w:rPr>
          <w:rFonts w:ascii="Arial" w:cs="Arial" w:eastAsia="Arial" w:hAnsi="Arial"/>
          <w:color w:val="1C1C1E"/>
          <w:sz w:val="21"/>
          <w:szCs w:val="21"/>
        </w:rPr>
        <w:t xml:space="preserve"/>
      </w:r>
    </w:p>
    <w:p>
      <w:pPr>
        <w:pStyle w:val="Heading2"/>
        <w:spacing w:before="320" w:after="120"/>
      </w:pPr>
      <w:r>
        <w:rPr>
          <w:rFonts w:ascii="Arial" w:cs="Arial" w:eastAsia="Arial" w:hAnsi="Arial"/>
          <w:b/>
          <w:bCs/>
          <w:color w:val="1D5FA6"/>
          <w:sz w:val="27"/>
          <w:szCs w:val="27"/>
        </w:rPr>
        <w:t xml:space="preserve">3.4 The Three-Tier Customer Lifetime Value Model</w:t>
      </w:r>
    </w:p>
    <w:p>
      <w:pPr>
        <w:spacing w:before="80" w:after="80"/>
      </w:pPr>
      <w:r>
        <w:rPr>
          <w:rFonts w:ascii="Arial" w:cs="Arial" w:eastAsia="Arial" w:hAnsi="Arial"/>
          <w:color w:val="1C1C1E"/>
          <w:sz w:val="21"/>
          <w:szCs w:val="21"/>
        </w:rPr>
        <w:t xml:space="preserve">The three-tier architecture is not just a product line. It is a customer lifetime value model — each tier serves as both a product in its own right and a feeder pathway to the next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200"/>
        <w:gridCol w:w="2400"/>
        <w:gridCol w:w="2260"/>
      </w:tblGrid>
      <w:tr>
        <w:trPr>
          <w:tblHeader/>
        </w:trPr>
        <w:tc>
          <w:tcPr>
            <w:tcW w:type="dxa" w:w="9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Tier</w:t>
            </w:r>
          </w:p>
        </w:tc>
        <w:tc>
          <w:tcPr>
            <w:tcW w:type="dxa" w:w="26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Product</w:t>
            </w:r>
          </w:p>
        </w:tc>
        <w:tc>
          <w:tcPr>
            <w:tcW w:type="dxa" w:w="12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Minimum</w:t>
            </w:r>
          </w:p>
        </w:tc>
        <w:tc>
          <w:tcPr>
            <w:tcW w:type="dxa" w:w="24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Target Investor</w:t>
            </w:r>
          </w:p>
        </w:tc>
        <w:tc>
          <w:tcPr>
            <w:tcW w:type="dxa" w:w="22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LTV Function</w:t>
            </w:r>
          </w:p>
        </w:tc>
      </w:tr>
      <w:tr>
        <w:tc>
          <w:tcPr>
            <w:tcW w:type="dxa" w:w="9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Tier 1</w:t>
            </w:r>
          </w:p>
        </w:tc>
        <w:tc>
          <w:tcPr>
            <w:tcW w:type="dxa" w:w="26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Monarch Conviction Fund (MF)</w:t>
            </w:r>
          </w:p>
        </w:tc>
        <w:tc>
          <w:tcPr>
            <w:tcW w:type="dxa" w:w="1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₹500</w:t>
            </w:r>
          </w:p>
        </w:tc>
        <w:tc>
          <w:tcPr>
            <w:tcW w:type="dxa" w:w="2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First-time Monarch investor, 5+ year horizon, ₹5L–₹50L portfolio</w:t>
            </w:r>
          </w:p>
        </w:tc>
        <w:tc>
          <w:tcPr>
            <w:tcW w:type="dxa" w:w="22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Entry point. Builds relationship, trust, and investment education. Feeder to SIF at ₹10L.</w:t>
            </w:r>
          </w:p>
        </w:tc>
      </w:tr>
      <w:tr>
        <w:tc>
          <w:tcPr>
            <w:tcW w:type="dxa" w:w="9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Tier 2</w:t>
            </w:r>
          </w:p>
        </w:tc>
        <w:tc>
          <w:tcPr>
            <w:tcW w:type="dxa" w:w="26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Monarch Ultra Conviction SIF</w:t>
            </w:r>
          </w:p>
        </w:tc>
        <w:tc>
          <w:tcPr>
            <w:tcW w:type="dxa" w:w="1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₹10 lakh</w:t>
            </w:r>
          </w:p>
        </w:tc>
        <w:tc>
          <w:tcPr>
            <w:tcW w:type="dxa" w:w="24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Experienced Monarch MF investor, ₹50L–₹2Cr portfolio</w:t>
            </w:r>
          </w:p>
        </w:tc>
        <w:tc>
          <w:tcPr>
            <w:tcW w:type="dxa" w:w="22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Higher concentration, quarterly liquidity, deeper commitment. Pre-filters AIF candidates.</w:t>
            </w:r>
          </w:p>
        </w:tc>
      </w:tr>
      <w:tr>
        <w:tc>
          <w:tcPr>
            <w:tcW w:type="dxa" w:w="9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Tier 3</w:t>
            </w:r>
          </w:p>
        </w:tc>
        <w:tc>
          <w:tcPr>
            <w:tcW w:type="dxa" w:w="26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MNCL Capital Compounder AIF (existing)</w:t>
            </w:r>
          </w:p>
        </w:tc>
        <w:tc>
          <w:tcPr>
            <w:tcW w:type="dxa" w:w="1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 crore</w:t>
            </w:r>
          </w:p>
        </w:tc>
        <w:tc>
          <w:tcPr>
            <w:tcW w:type="dxa" w:w="2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Highest-conviction, highest-networth investor</w:t>
            </w:r>
          </w:p>
        </w:tc>
        <w:tc>
          <w:tcPr>
            <w:tcW w:type="dxa" w:w="22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Aspirational apex. Marketing asset. Operational continuity. Referenced only.</w:t>
            </w:r>
          </w:p>
        </w:tc>
      </w:tr>
    </w:tbl>
    <w:p>
      <w:r>
        <w:br w:type="page"/>
      </w:r>
    </w:p>
    <w:p>
      <w:pPr>
        <w:pStyle w:val="Heading1"/>
        <w:pBdr>
          <w:bottom w:val="thick" w:color="1D5FA6" w:sz="6" w:space="4"/>
        </w:pBdr>
        <w:spacing w:before="480" w:after="200"/>
      </w:pPr>
      <w:r>
        <w:rPr>
          <w:rFonts w:ascii="Arial" w:cs="Arial" w:eastAsia="Arial" w:hAnsi="Arial"/>
          <w:b/>
          <w:bCs/>
          <w:color w:val="0E2040"/>
          <w:sz w:val="34"/>
          <w:szCs w:val="34"/>
        </w:rPr>
        <w:t xml:space="preserve">SECTION 4: PRODUCT ARCHITECTURE — THREE-TIER FUND DESIGN</w:t>
      </w:r>
    </w:p>
    <w:p>
      <w:pPr>
        <w:pStyle w:val="Heading2"/>
        <w:spacing w:before="320" w:after="120"/>
      </w:pPr>
      <w:r>
        <w:rPr>
          <w:rFonts w:ascii="Arial" w:cs="Arial" w:eastAsia="Arial" w:hAnsi="Arial"/>
          <w:b/>
          <w:bCs/>
          <w:color w:val="1D5FA6"/>
          <w:sz w:val="27"/>
          <w:szCs w:val="27"/>
        </w:rPr>
        <w:t xml:space="preserve">4.1 Fund 1 — Monarch Conviction Fund (Focused Fund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Parameter</w:t>
            </w:r>
          </w:p>
        </w:tc>
        <w:tc>
          <w:tcPr>
            <w:tcW w:type="dxa" w:w="35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Design Decision</w:t>
            </w:r>
          </w:p>
        </w:tc>
        <w:tc>
          <w:tcPr>
            <w:tcW w:type="dxa" w:w="36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Rationale</w:t>
            </w:r>
          </w:p>
        </w:tc>
      </w:tr>
      <w:tr>
        <w:tc>
          <w:tcPr>
            <w:tcW w:type="dxa" w:w="2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SEBI Category</w:t>
            </w:r>
          </w:p>
        </w:tc>
        <w:tc>
          <w:tcPr>
            <w:tcW w:type="dxa" w:w="3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Focused Fund</w:t>
            </w:r>
          </w:p>
        </w:tc>
        <w:tc>
          <w:tcPr>
            <w:tcW w:type="dxa" w:w="36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Legally limited to max 30 stocks — forces genuine conviction, prevents closet indexing structurally</w:t>
            </w:r>
          </w:p>
        </w:tc>
      </w:tr>
      <w:tr>
        <w:tc>
          <w:tcPr>
            <w:tcW w:type="dxa" w:w="2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Portfolio Size</w:t>
            </w:r>
          </w:p>
        </w:tc>
        <w:tc>
          <w:tcPr>
            <w:tcW w:type="dxa" w:w="3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20–25 stocks</w:t>
            </w:r>
          </w:p>
        </w:tc>
        <w:tc>
          <w:tcPr>
            <w:tcW w:type="dxa" w:w="36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Within SEBI max of 30. Below 20 creates single-stock concentration risk above SEBI's 10% cap for most stocks.</w:t>
            </w:r>
          </w:p>
        </w:tc>
      </w:tr>
      <w:tr>
        <w:tc>
          <w:tcPr>
            <w:tcW w:type="dxa" w:w="2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BER (Direct)</w:t>
            </w:r>
          </w:p>
        </w:tc>
        <w:tc>
          <w:tcPr>
            <w:tcW w:type="dxa" w:w="3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0.80%</w:t>
            </w:r>
          </w:p>
        </w:tc>
        <w:tc>
          <w:tcPr>
            <w:tcW w:type="dxa" w:w="36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Below competitor average of 1.65% for large active funds. Signal of investor alignment. Still generates 0.68–0.72% net to AMC.</w:t>
            </w:r>
          </w:p>
        </w:tc>
      </w:tr>
      <w:tr>
        <w:tc>
          <w:tcPr>
            <w:tcW w:type="dxa" w:w="2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BER (Regular)</w:t>
            </w:r>
          </w:p>
        </w:tc>
        <w:tc>
          <w:tcPr>
            <w:tcW w:type="dxa" w:w="3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1.65%</w:t>
            </w:r>
          </w:p>
        </w:tc>
        <w:tc>
          <w:tcPr>
            <w:tcW w:type="dxa" w:w="36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Standard trail commission room for RIA channel. Not offered through bank distributors.</w:t>
            </w:r>
          </w:p>
        </w:tc>
      </w:tr>
      <w:tr>
        <w:tc>
          <w:tcPr>
            <w:tcW w:type="dxa" w:w="2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Benchmark</w:t>
            </w:r>
          </w:p>
        </w:tc>
        <w:tc>
          <w:tcPr>
            <w:tcW w:type="dxa" w:w="3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Nifty 500 TRI</w:t>
            </w:r>
          </w:p>
        </w:tc>
        <w:tc>
          <w:tcPr>
            <w:tcW w:type="dxa" w:w="36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Broader universe than Nifty 50 — more intellectually honest. TRI (Total Return Index) includes dividends, harder to beat than Price Index.</w:t>
            </w:r>
          </w:p>
        </w:tc>
      </w:tr>
      <w:tr>
        <w:tc>
          <w:tcPr>
            <w:tcW w:type="dxa" w:w="2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Target Horizon</w:t>
            </w:r>
          </w:p>
        </w:tc>
        <w:tc>
          <w:tcPr>
            <w:tcW w:type="dxa" w:w="3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5–7 years minimum</w:t>
            </w:r>
          </w:p>
        </w:tc>
        <w:tc>
          <w:tcPr>
            <w:tcW w:type="dxa" w:w="36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Communicated explicitly in NFO and conviction letters. Filters short-term investors out.</w:t>
            </w:r>
          </w:p>
        </w:tc>
      </w:tr>
      <w:tr>
        <w:tc>
          <w:tcPr>
            <w:tcW w:type="dxa" w:w="2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Investment Universe</w:t>
            </w:r>
          </w:p>
        </w:tc>
        <w:tc>
          <w:tcPr>
            <w:tcW w:type="dxa" w:w="3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Nifty 500 + select mid-caps</w:t>
            </w:r>
          </w:p>
        </w:tc>
        <w:tc>
          <w:tcPr>
            <w:tcW w:type="dxa" w:w="36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Enough breadth to find 20–25 genuinely differentiated positions</w:t>
            </w:r>
          </w:p>
        </w:tc>
      </w:tr>
      <w:tr>
        <w:tc>
          <w:tcPr>
            <w:tcW w:type="dxa" w:w="2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Concentration Limit</w:t>
            </w:r>
          </w:p>
        </w:tc>
        <w:tc>
          <w:tcPr>
            <w:tcW w:type="dxa" w:w="3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Max 10% per issuer (SEBI rule)</w:t>
            </w:r>
          </w:p>
        </w:tc>
        <w:tc>
          <w:tcPr>
            <w:tcW w:type="dxa" w:w="36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Forces a minimum of 10 positions; practically runs at 5–7% average position</w:t>
            </w:r>
          </w:p>
        </w:tc>
      </w:tr>
      <w:tr>
        <w:tc>
          <w:tcPr>
            <w:tcW w:type="dxa" w:w="2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Transparency Feature</w:t>
            </w:r>
          </w:p>
        </w:tc>
        <w:tc>
          <w:tcPr>
            <w:tcW w:type="dxa" w:w="3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Published 1-page thesis per holding per quarter</w:t>
            </w:r>
          </w:p>
        </w:tc>
        <w:tc>
          <w:tcPr>
            <w:tcW w:type="dxa" w:w="36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Every holding has a written investment case, updated quarterly. Investors know what they own and why.</w:t>
            </w:r>
          </w:p>
        </w:tc>
      </w:tr>
      <w:tr>
        <w:tc>
          <w:tcPr>
            <w:tcW w:type="dxa" w:w="2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Conviction Delta Score</w:t>
            </w:r>
          </w:p>
        </w:tc>
        <w:tc>
          <w:tcPr>
            <w:tcW w:type="dxa" w:w="3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Published quarterly</w:t>
            </w:r>
          </w:p>
        </w:tc>
        <w:tc>
          <w:tcPr>
            <w:tcW w:type="dxa" w:w="36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Active share vs. benchmark. Shows how different the fund is from the index. Accountability metric.</w:t>
            </w:r>
          </w:p>
        </w:tc>
      </w:tr>
    </w:tbl>
    <w:p>
      <w:pPr>
        <w:pStyle w:val="Heading2"/>
        <w:spacing w:before="320" w:after="120"/>
      </w:pPr>
      <w:r>
        <w:rPr>
          <w:rFonts w:ascii="Arial" w:cs="Arial" w:eastAsia="Arial" w:hAnsi="Arial"/>
          <w:b/>
          <w:bCs/>
          <w:color w:val="1D5FA6"/>
          <w:sz w:val="27"/>
          <w:szCs w:val="27"/>
        </w:rPr>
        <w:t xml:space="preserve">4.2 Fund 2 — Monarch Quality Compounder (Flexi Cap Category)</w:t>
      </w:r>
    </w:p>
    <w:p>
      <w:pPr>
        <w:spacing w:before="80" w:after="80"/>
      </w:pPr>
      <w:r>
        <w:rPr>
          <w:rFonts w:ascii="Arial" w:cs="Arial" w:eastAsia="Arial" w:hAnsi="Arial"/>
          <w:color w:val="1C1C1E"/>
          <w:sz w:val="21"/>
          <w:szCs w:val="21"/>
        </w:rPr>
        <w:t xml:space="preserve">Fund 2 is NOT simply Fund 1 with a different label. The differentiation is mechanical and structural:</w:t>
      </w:r>
    </w:p>
    <w:p>
      <w:pPr>
        <w:spacing w:before="8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5FA6" w:sz="4"/>
              <w:left w:val="thick" w:color="1D5FA6" w:sz="20"/>
              <w:bottom w:val="single" w:color="1D5FA6" w:sz="4"/>
              <w:right w:val="single" w:color="1D5FA6" w:sz="4"/>
            </w:tcBorders>
            <w:shd w:fill="EEF5FC" w:val="clear"/>
            <w:tcMar>
              <w:top w:type="dxa" w:w="140"/>
              <w:left w:type="dxa" w:w="220"/>
              <w:bottom w:type="dxa" w:w="140"/>
              <w:right w:type="dxa" w:w="140"/>
            </w:tcMar>
          </w:tcPr>
          <w:p>
            <w:pPr>
              <w:spacing w:before="0" w:after="60"/>
            </w:pPr>
            <w:r>
              <w:rPr>
                <w:rFonts w:ascii="Arial" w:cs="Arial" w:eastAsia="Arial" w:hAnsi="Arial"/>
                <w:b/>
                <w:bCs/>
                <w:color w:val="0E2040"/>
                <w:sz w:val="22"/>
                <w:szCs w:val="22"/>
              </w:rPr>
              <w:t xml:space="preserve">The Mechanical Screen That Makes Fund 2 Genuinely Different</w:t>
            </w:r>
          </w:p>
          <w:p>
            <w:pPr>
              <w:spacing w:before="40" w:after="40"/>
            </w:pPr>
            <w:r>
              <w:rPr>
                <w:rFonts w:ascii="Arial" w:cs="Arial" w:eastAsia="Arial" w:hAnsi="Arial"/>
                <w:color w:val="1C1C1E"/>
                <w:sz w:val="20"/>
                <w:szCs w:val="20"/>
              </w:rPr>
              <w:t xml:space="preserve">Monarch Quality Compounder operates a quantitative pre-filter that MUST be passed before a stock is eligible for the portfolio:</w:t>
            </w:r>
          </w:p>
          <w:p>
            <w:pPr>
              <w:spacing w:before="40" w:after="40"/>
            </w:pPr>
            <w:r>
              <w:rPr>
                <w:rFonts w:ascii="Arial" w:cs="Arial" w:eastAsia="Arial" w:hAnsi="Arial"/>
                <w:color w:val="1C1C1E"/>
                <w:sz w:val="20"/>
                <w:szCs w:val="20"/>
              </w:rPr>
              <w:t xml:space="preserve">  — ROCE (Return on Capital Employed) &gt; 15% for 5 consecutive years</w:t>
            </w:r>
          </w:p>
          <w:p>
            <w:pPr>
              <w:spacing w:before="40" w:after="40"/>
            </w:pPr>
            <w:r>
              <w:rPr>
                <w:rFonts w:ascii="Arial" w:cs="Arial" w:eastAsia="Arial" w:hAnsi="Arial"/>
                <w:color w:val="1C1C1E"/>
                <w:sz w:val="20"/>
                <w:szCs w:val="20"/>
              </w:rPr>
              <w:t xml:space="preserve">  — Debt/Equity ratio &lt; 0.5x at time of investment</w:t>
            </w:r>
          </w:p>
          <w:p>
            <w:pPr>
              <w:spacing w:before="40" w:after="40"/>
            </w:pPr>
            <w:r>
              <w:rPr>
                <w:rFonts w:ascii="Arial" w:cs="Arial" w:eastAsia="Arial" w:hAnsi="Arial"/>
                <w:color w:val="1C1C1E"/>
                <w:sz w:val="20"/>
                <w:szCs w:val="20"/>
              </w:rPr>
              <w:t xml:space="preserve">  — Earnings growth &gt; 15% CAGR over any 5-year trailing window</w:t>
            </w:r>
          </w:p>
          <w:p>
            <w:pPr>
              <w:spacing w:before="40" w:after="40"/>
            </w:pPr>
            <w:r>
              <w:rPr>
                <w:rFonts w:ascii="Arial" w:cs="Arial" w:eastAsia="Arial" w:hAnsi="Arial"/>
                <w:color w:val="1C1C1E"/>
                <w:sz w:val="20"/>
                <w:szCs w:val="20"/>
              </w:rPr>
              <w:t xml:space="preserve">  — Positive Free Cash Flow for 7+ consecutive years</w:t>
            </w:r>
          </w:p>
          <w:p>
            <w:pPr>
              <w:spacing w:before="40" w:after="40"/>
            </w:pPr>
            <w:r>
              <w:rPr>
                <w:rFonts w:ascii="Arial" w:cs="Arial" w:eastAsia="Arial" w:hAnsi="Arial"/>
                <w:color w:val="1C1C1E"/>
                <w:sz w:val="20"/>
                <w:szCs w:val="20"/>
              </w:rPr>
              <w:t xml:space="preserve">  — No promoter pledge above 5% of total holdings</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This screen structurally EXCLUDES: cyclical businesses (ROCE volatile), turnaround stories (failing ROCE or earnings growth), high-debt infrastructure plays (failing D/E), and promoter-pledged companies. The screen doesn't just narrow the universe — it creates a different investment philosophy category. Fund 1 can own a cheap, out-of-favour cyclical if conviction is high enough. Fund 2 structurally cannot.</w:t>
            </w:r>
          </w:p>
        </w:tc>
      </w:tr>
    </w:tbl>
    <w:p>
      <w:pPr>
        <w:spacing w:before="8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Parameter</w:t>
            </w:r>
          </w:p>
        </w:tc>
        <w:tc>
          <w:tcPr>
            <w:tcW w:type="dxa" w:w="65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Design Decision</w:t>
            </w:r>
          </w:p>
        </w:tc>
      </w:tr>
      <w:tr>
        <w:tc>
          <w:tcPr>
            <w:tcW w:type="dxa" w:w="28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SEBI Category</w:t>
            </w:r>
          </w:p>
        </w:tc>
        <w:tc>
          <w:tcPr>
            <w:tcW w:type="dxa" w:w="65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Flexi Cap Fund</w:t>
            </w:r>
          </w:p>
        </w:tc>
      </w:tr>
      <w:tr>
        <w:tc>
          <w:tcPr>
            <w:tcW w:type="dxa" w:w="28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Portfolio Size</w:t>
            </w:r>
          </w:p>
        </w:tc>
        <w:tc>
          <w:tcPr>
            <w:tcW w:type="dxa" w:w="65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25–30 stocks (larger than Fund 1 due to quality screen requiring more diversification across sectors)</w:t>
            </w:r>
          </w:p>
        </w:tc>
      </w:tr>
      <w:tr>
        <w:tc>
          <w:tcPr>
            <w:tcW w:type="dxa" w:w="28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BER (Direct)</w:t>
            </w:r>
          </w:p>
        </w:tc>
        <w:tc>
          <w:tcPr>
            <w:tcW w:type="dxa" w:w="65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0.75%</w:t>
            </w:r>
          </w:p>
        </w:tc>
      </w:tr>
      <w:tr>
        <w:tc>
          <w:tcPr>
            <w:tcW w:type="dxa" w:w="28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BER (Regular)</w:t>
            </w:r>
          </w:p>
        </w:tc>
        <w:tc>
          <w:tcPr>
            <w:tcW w:type="dxa" w:w="65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1.60%</w:t>
            </w:r>
          </w:p>
        </w:tc>
      </w:tr>
      <w:tr>
        <w:tc>
          <w:tcPr>
            <w:tcW w:type="dxa" w:w="28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Portfolio Turnover Target</w:t>
            </w:r>
          </w:p>
        </w:tc>
        <w:tc>
          <w:tcPr>
            <w:tcW w:type="dxa" w:w="65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&lt;15% per year (6–7 year average holding period)</w:t>
            </w:r>
          </w:p>
        </w:tc>
      </w:tr>
      <w:tr>
        <w:tc>
          <w:tcPr>
            <w:tcW w:type="dxa" w:w="28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Tax Efficiency</w:t>
            </w:r>
          </w:p>
        </w:tc>
        <w:tc>
          <w:tcPr>
            <w:tcW w:type="dxa" w:w="65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Low turnover = minimal capital gains events = higher Tax Efficiency Score on Real Return Dashboard</w:t>
            </w:r>
          </w:p>
        </w:tc>
      </w:tr>
      <w:tr>
        <w:tc>
          <w:tcPr>
            <w:tcW w:type="dxa" w:w="28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Cap-size Freedom</w:t>
            </w:r>
          </w:p>
        </w:tc>
        <w:tc>
          <w:tcPr>
            <w:tcW w:type="dxa" w:w="65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No constraint — follows quality compounders wherever they trade</w:t>
            </w:r>
          </w:p>
        </w:tc>
      </w:tr>
    </w:tbl>
    <w:p>
      <w:pPr>
        <w:pStyle w:val="Heading2"/>
        <w:spacing w:before="320" w:after="120"/>
      </w:pPr>
      <w:r>
        <w:rPr>
          <w:rFonts w:ascii="Arial" w:cs="Arial" w:eastAsia="Arial" w:hAnsi="Arial"/>
          <w:b/>
          <w:bCs/>
          <w:color w:val="1D5FA6"/>
          <w:sz w:val="27"/>
          <w:szCs w:val="27"/>
        </w:rPr>
        <w:t xml:space="preserve">4.3 Fund 3 — Monarch India Transition Fund (Thematic Category)</w:t>
      </w:r>
    </w:p>
    <w:p>
      <w:pPr>
        <w:spacing w:before="80" w:after="80"/>
      </w:pPr>
      <w:r>
        <w:rPr>
          <w:rFonts w:ascii="Arial" w:cs="Arial" w:eastAsia="Arial" w:hAnsi="Arial"/>
          <w:color w:val="1C1C1E"/>
          <w:sz w:val="21"/>
          <w:szCs w:val="21"/>
        </w:rPr>
        <w:t xml:space="preserve">The Thematic category allows multiple funds per AMC if themes are distinct. The India Transition theme is the third distinct category we occupy, giving us three genuinely different products without violating SEBI's one-per-category rule.</w:t>
      </w:r>
    </w:p>
    <w:p>
      <w:pPr>
        <w:spacing w:before="8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Parameter</w:t>
            </w:r>
          </w:p>
        </w:tc>
        <w:tc>
          <w:tcPr>
            <w:tcW w:type="dxa" w:w="35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Design Decision</w:t>
            </w:r>
          </w:p>
        </w:tc>
        <w:tc>
          <w:tcPr>
            <w:tcW w:type="dxa" w:w="38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Rationale</w:t>
            </w:r>
          </w:p>
        </w:tc>
      </w:tr>
      <w:tr>
        <w:tc>
          <w:tcPr>
            <w:tcW w:type="dxa" w:w="2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SEBI Category</w:t>
            </w:r>
          </w:p>
        </w:tc>
        <w:tc>
          <w:tcPr>
            <w:tcW w:type="dxa" w:w="3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Thematic / Sectoral Fund</w:t>
            </w:r>
          </w:p>
        </w:tc>
        <w:tc>
          <w:tcPr>
            <w:tcW w:type="dxa" w:w="38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Allows a third fund without violating one-per-category rule</w:t>
            </w:r>
          </w:p>
        </w:tc>
      </w:tr>
      <w:tr>
        <w:tc>
          <w:tcPr>
            <w:tcW w:type="dxa" w:w="2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Theme Definition</w:t>
            </w:r>
          </w:p>
        </w:tc>
        <w:tc>
          <w:tcPr>
            <w:tcW w:type="dxa" w:w="3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India's energy transition and industrial modernisation</w:t>
            </w:r>
          </w:p>
        </w:tc>
        <w:tc>
          <w:tcPr>
            <w:tcW w:type="dxa" w:w="38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Structural, policy-backed, multi-decade — not a cyclical sector bet</w:t>
            </w:r>
          </w:p>
        </w:tc>
      </w:tr>
      <w:tr>
        <w:tc>
          <w:tcPr>
            <w:tcW w:type="dxa" w:w="2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Investment Universe</w:t>
            </w:r>
          </w:p>
        </w:tc>
        <w:tc>
          <w:tcPr>
            <w:tcW w:type="dxa" w:w="3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Renewable energy (solar/wind), energy efficiency (motors/HVAC), industrial infrastructure (transmission/grid/EPC), EV ecosystem (components/charging, not EV OEMs), water/waste treatment</w:t>
            </w:r>
          </w:p>
        </w:tc>
        <w:tc>
          <w:tcPr>
            <w:tcW w:type="dxa" w:w="38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Defined universe ensures min 80% compliance with SEBI thematic mandate</w:t>
            </w:r>
          </w:p>
        </w:tc>
      </w:tr>
      <w:tr>
        <w:tc>
          <w:tcPr>
            <w:tcW w:type="dxa" w:w="2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BER (Direct)</w:t>
            </w:r>
          </w:p>
        </w:tc>
        <w:tc>
          <w:tcPr>
            <w:tcW w:type="dxa" w:w="3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1.00% (slightly higher)</w:t>
            </w:r>
          </w:p>
        </w:tc>
        <w:tc>
          <w:tcPr>
            <w:tcW w:type="dxa" w:w="38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Thematic research intensity justifies higher fee. Still well below SEBI max.</w:t>
            </w:r>
          </w:p>
        </w:tc>
      </w:tr>
      <w:tr>
        <w:tc>
          <w:tcPr>
            <w:tcW w:type="dxa" w:w="2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Differentiation vs. ESG Funds</w:t>
            </w:r>
          </w:p>
        </w:tc>
        <w:tc>
          <w:tcPr>
            <w:tcW w:type="dxa" w:w="3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Most ESG funds own same large-caps (HDFC Bank, TCS) that score well on ESG metrics but aren't transition-enabling. Monarch's fund owns companies whose revenues are DIRECTLY tied to India's energy transition execution.</w:t>
            </w:r>
          </w:p>
        </w:tc>
        <w:tc>
          <w:tcPr>
            <w:tcW w:type="dxa" w:w="38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Avoids the greenwashing critique. India's 500 GW renewable target by 2030 = largest capex cycle in Indian corporate history.</w:t>
            </w:r>
          </w:p>
        </w:tc>
      </w:tr>
      <w:tr>
        <w:tc>
          <w:tcPr>
            <w:tcW w:type="dxa" w:w="2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Launch Timing</w:t>
            </w:r>
          </w:p>
        </w:tc>
        <w:tc>
          <w:tcPr>
            <w:tcW w:type="dxa" w:w="3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Month 6–9 (after MF conviction funds stabilised)</w:t>
            </w:r>
          </w:p>
        </w:tc>
        <w:tc>
          <w:tcPr>
            <w:tcW w:type="dxa" w:w="38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Don't dilute NFO focus. Launch sequentially.</w:t>
            </w:r>
          </w:p>
        </w:tc>
      </w:tr>
    </w:tbl>
    <w:p>
      <w:pPr>
        <w:pStyle w:val="Heading2"/>
        <w:spacing w:before="320" w:after="120"/>
      </w:pPr>
      <w:r>
        <w:rPr>
          <w:rFonts w:ascii="Arial" w:cs="Arial" w:eastAsia="Arial" w:hAnsi="Arial"/>
          <w:b/>
          <w:bCs/>
          <w:color w:val="1D5FA6"/>
          <w:sz w:val="27"/>
          <w:szCs w:val="27"/>
        </w:rPr>
        <w:t xml:space="preserve">4.4 SIF — Monarch Ultra Conviction (Specialized Investment Fund)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Parameter</w:t>
            </w:r>
          </w:p>
        </w:tc>
        <w:tc>
          <w:tcPr>
            <w:tcW w:type="dxa" w:w="63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Design Decision</w:t>
            </w:r>
          </w:p>
        </w:tc>
      </w:tr>
      <w:tr>
        <w:tc>
          <w:tcPr>
            <w:tcW w:type="dxa" w:w="3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Product Name</w:t>
            </w:r>
          </w:p>
        </w:tc>
        <w:tc>
          <w:tcPr>
            <w:tcW w:type="dxa" w:w="6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Monarch Ultra Conviction SIF</w:t>
            </w:r>
          </w:p>
        </w:tc>
      </w:tr>
      <w:tr>
        <w:tc>
          <w:tcPr>
            <w:tcW w:type="dxa" w:w="3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Minimum Investment</w:t>
            </w:r>
          </w:p>
        </w:tc>
        <w:tc>
          <w:tcPr>
            <w:tcW w:type="dxa" w:w="6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₹10 lakh per investor per PAN (SEBI mandatory minimum)</w:t>
            </w:r>
          </w:p>
        </w:tc>
      </w:tr>
      <w:tr>
        <w:tc>
          <w:tcPr>
            <w:tcW w:type="dxa" w:w="3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Portfolio Size</w:t>
            </w:r>
          </w:p>
        </w:tc>
        <w:tc>
          <w:tcPr>
            <w:tcW w:type="dxa" w:w="6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12–15 stocks (more concentrated than Fund 1)</w:t>
            </w:r>
          </w:p>
        </w:tc>
      </w:tr>
      <w:tr>
        <w:tc>
          <w:tcPr>
            <w:tcW w:type="dxa" w:w="3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Position Limits</w:t>
            </w:r>
          </w:p>
        </w:tc>
        <w:tc>
          <w:tcPr>
            <w:tcW w:type="dxa" w:w="6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Up to ~15% per position (more than MF's 10% cap)</w:t>
            </w:r>
          </w:p>
        </w:tc>
      </w:tr>
      <w:tr>
        <w:tc>
          <w:tcPr>
            <w:tcW w:type="dxa" w:w="3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Liquidity</w:t>
            </w:r>
          </w:p>
        </w:tc>
        <w:tc>
          <w:tcPr>
            <w:tcW w:type="dxa" w:w="6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Quarterly redemption windows</w:t>
            </w:r>
          </w:p>
        </w:tc>
      </w:tr>
      <w:tr>
        <w:tc>
          <w:tcPr>
            <w:tcW w:type="dxa" w:w="3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BER (Direct)</w:t>
            </w:r>
          </w:p>
        </w:tc>
        <w:tc>
          <w:tcPr>
            <w:tcW w:type="dxa" w:w="6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1.00% direct (higher concentration premium justified)</w:t>
            </w:r>
          </w:p>
        </w:tc>
      </w:tr>
      <w:tr>
        <w:tc>
          <w:tcPr>
            <w:tcW w:type="dxa" w:w="3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BER (Regular)</w:t>
            </w:r>
          </w:p>
        </w:tc>
        <w:tc>
          <w:tcPr>
            <w:tcW w:type="dxa" w:w="6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1.80% regular</w:t>
            </w:r>
          </w:p>
        </w:tc>
      </w:tr>
      <w:tr>
        <w:tc>
          <w:tcPr>
            <w:tcW w:type="dxa" w:w="3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SIF CIO Hire</w:t>
            </w:r>
          </w:p>
        </w:tc>
        <w:tc>
          <w:tcPr>
            <w:tcW w:type="dxa" w:w="6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Month 1–3: hire CIO with 10yr+ and ₹5,000cr AUM track record. Cost: ₹3–5 crore/year.</w:t>
            </w:r>
          </w:p>
        </w:tc>
      </w:tr>
      <w:tr>
        <w:tc>
          <w:tcPr>
            <w:tcW w:type="dxa" w:w="3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SIF Launch Timeline</w:t>
            </w:r>
          </w:p>
        </w:tc>
        <w:tc>
          <w:tcPr>
            <w:tcW w:type="dxa" w:w="6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Month 15–18 (after MF NFO stabilised, SEBI SIF registration complete)</w:t>
            </w:r>
          </w:p>
        </w:tc>
      </w:tr>
      <w:tr>
        <w:tc>
          <w:tcPr>
            <w:tcW w:type="dxa" w:w="3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Investor Profile</w:t>
            </w:r>
          </w:p>
        </w:tc>
        <w:tc>
          <w:tcPr>
            <w:tcW w:type="dxa" w:w="6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Existing Monarch MF investors graduating up; or new investors with ₹50L+ equity portfolio</w:t>
            </w:r>
          </w:p>
        </w:tc>
      </w:tr>
      <w:tr>
        <w:tc>
          <w:tcPr>
            <w:tcW w:type="dxa" w:w="3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AUM Target (Year 2)</w:t>
            </w:r>
          </w:p>
        </w:tc>
        <w:tc>
          <w:tcPr>
            <w:tcW w:type="dxa" w:w="6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₹200–300 crore</w:t>
            </w:r>
          </w:p>
        </w:tc>
      </w:tr>
    </w:tbl>
    <w:p>
      <w:pPr>
        <w:pStyle w:val="Heading2"/>
        <w:spacing w:before="320" w:after="120"/>
      </w:pPr>
      <w:r>
        <w:rPr>
          <w:rFonts w:ascii="Arial" w:cs="Arial" w:eastAsia="Arial" w:hAnsi="Arial"/>
          <w:b/>
          <w:bCs/>
          <w:color w:val="1D5FA6"/>
          <w:sz w:val="27"/>
          <w:szCs w:val="27"/>
        </w:rPr>
        <w:t xml:space="preserve">4.5 What We Deliberately Do NOT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 Rejected</w:t>
            </w:r>
          </w:p>
        </w:tc>
        <w:tc>
          <w:tcPr>
            <w:tcW w:type="dxa" w:w="63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Why</w:t>
            </w:r>
          </w:p>
        </w:tc>
      </w:tr>
      <w:tr>
        <w:tc>
          <w:tcPr>
            <w:tcW w:type="dxa" w:w="3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Index Funds</w:t>
            </w:r>
          </w:p>
        </w:tc>
        <w:tc>
          <w:tcPr>
            <w:tcW w:type="dxa" w:w="6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Zerodha Fund House dominates at near-zero cost. No differentiation. Contradicts conviction narrative.</w:t>
            </w:r>
          </w:p>
        </w:tc>
      </w:tr>
      <w:tr>
        <w:tc>
          <w:tcPr>
            <w:tcW w:type="dxa" w:w="3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Debt / Fixed Income</w:t>
            </w:r>
          </w:p>
        </w:tc>
        <w:tc>
          <w:tcPr>
            <w:tcW w:type="dxa" w:w="6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Different infrastructure, different team, different risk framework. Not core to conviction equity thesis.</w:t>
            </w:r>
          </w:p>
        </w:tc>
      </w:tr>
      <w:tr>
        <w:tc>
          <w:tcPr>
            <w:tcW w:type="dxa" w:w="3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Hybrid / Balanced</w:t>
            </w:r>
          </w:p>
        </w:tc>
        <w:tc>
          <w:tcPr>
            <w:tcW w:type="dxa" w:w="6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HDFC and ICICI own this space. No meaningful differentiation possible.</w:t>
            </w:r>
          </w:p>
        </w:tc>
      </w:tr>
      <w:tr>
        <w:tc>
          <w:tcPr>
            <w:tcW w:type="dxa" w:w="3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ELSS (Tax Saver)</w:t>
            </w:r>
          </w:p>
        </w:tc>
        <w:tc>
          <w:tcPr>
            <w:tcW w:type="dxa" w:w="6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Attracts transactional 3-year lock-in investors seeking Section 80C benefit, not conviction investors. Contradicts investor selection strategy.</w:t>
            </w:r>
          </w:p>
        </w:tc>
      </w:tr>
      <w:tr>
        <w:tc>
          <w:tcPr>
            <w:tcW w:type="dxa" w:w="3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Small Cap Fund</w:t>
            </w:r>
          </w:p>
        </w:tc>
        <w:tc>
          <w:tcPr>
            <w:tcW w:type="dxa" w:w="6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Liquidity risk at small AUM sizes. Exit impact too high at sub-₹2,000 crore AUM.</w:t>
            </w:r>
          </w:p>
        </w:tc>
      </w:tr>
      <w:tr>
        <w:tc>
          <w:tcPr>
            <w:tcW w:type="dxa" w:w="3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Large / Mid Cap (rigid)</w:t>
            </w:r>
          </w:p>
        </w:tc>
        <w:tc>
          <w:tcPr>
            <w:tcW w:type="dxa" w:w="6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No differentiation possible. Rigid cap-size mandates prevent true bottom-up conviction.</w:t>
            </w:r>
          </w:p>
        </w:tc>
      </w:tr>
      <w:tr>
        <w:tc>
          <w:tcPr>
            <w:tcW w:type="dxa" w:w="3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International Fund of Funds</w:t>
            </w:r>
          </w:p>
        </w:tc>
        <w:tc>
          <w:tcPr>
            <w:tcW w:type="dxa" w:w="6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Currency and regulatory complexity. Not our expertise. Not needed to win our target segment.</w:t>
            </w:r>
          </w:p>
        </w:tc>
      </w:tr>
    </w:tbl>
    <w:p>
      <w:r>
        <w:br w:type="page"/>
      </w:r>
    </w:p>
    <w:p>
      <w:pPr>
        <w:pStyle w:val="Heading1"/>
        <w:pBdr>
          <w:bottom w:val="thick" w:color="1D5FA6" w:sz="6" w:space="4"/>
        </w:pBdr>
        <w:spacing w:before="480" w:after="200"/>
      </w:pPr>
      <w:r>
        <w:rPr>
          <w:rFonts w:ascii="Arial" w:cs="Arial" w:eastAsia="Arial" w:hAnsi="Arial"/>
          <w:b/>
          <w:bCs/>
          <w:color w:val="0E2040"/>
          <w:sz w:val="34"/>
          <w:szCs w:val="34"/>
        </w:rPr>
        <w:t xml:space="preserve">SECTION 5: THE BUSINESS MODEL — ECONOMICS AND FINANCIALS</w:t>
      </w:r>
    </w:p>
    <w:p>
      <w:pPr>
        <w:pStyle w:val="Heading2"/>
        <w:spacing w:before="320" w:after="120"/>
      </w:pPr>
      <w:r>
        <w:rPr>
          <w:rFonts w:ascii="Arial" w:cs="Arial" w:eastAsia="Arial" w:hAnsi="Arial"/>
          <w:b/>
          <w:bCs/>
          <w:color w:val="1D5FA6"/>
          <w:sz w:val="27"/>
          <w:szCs w:val="27"/>
        </w:rPr>
        <w:t xml:space="preserve">5.1 Operating Infrastructure — Corrected from Original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4"/>
              <w:left w:val="thick" w:color="8B1A1A" w:sz="20"/>
              <w:bottom w:val="single" w:color="8B1A1A" w:sz="4"/>
              <w:right w:val="single" w:color="8B1A1A" w:sz="4"/>
            </w:tcBorders>
            <w:shd w:fill="F9E5E5" w:val="clear"/>
            <w:tcMar>
              <w:top w:type="dxa" w:w="140"/>
              <w:left w:type="dxa" w:w="220"/>
              <w:bottom w:type="dxa" w:w="140"/>
              <w:right w:type="dxa" w:w="140"/>
            </w:tcMar>
          </w:tcPr>
          <w:p>
            <w:pPr>
              <w:spacing w:before="0" w:after="60"/>
            </w:pPr>
            <w:r>
              <w:rPr>
                <w:rFonts w:ascii="Arial" w:cs="Arial" w:eastAsia="Arial" w:hAnsi="Arial"/>
                <w:b/>
                <w:bCs/>
                <w:color w:val="8B1A1A"/>
                <w:sz w:val="22"/>
                <w:szCs w:val="22"/>
              </w:rPr>
              <w:t xml:space="preserve">Important Correction</w:t>
            </w:r>
          </w:p>
          <w:p>
            <w:pPr>
              <w:spacing w:before="40" w:after="40"/>
            </w:pPr>
            <w:r>
              <w:rPr>
                <w:rFonts w:ascii="Arial" w:cs="Arial" w:eastAsia="Arial" w:hAnsi="Arial"/>
                <w:color w:val="1C1C1E"/>
                <w:sz w:val="20"/>
                <w:szCs w:val="20"/>
              </w:rPr>
              <w:t xml:space="preserve">The original draft claimed 'shared infrastructure including shared fund managers.' This has been corrected. SEBI requires dedicated, separate fund managers for MF schemes — AIF and MF team members cannot be dual-designated. What is legitimately shared is the intellectual infrastructure: investment philosophy framework, research methodology, sector knowledge, and physical office space in Monarch's campus. Operational costs are therefore higher than originally modeled.</w:t>
            </w:r>
          </w:p>
        </w:tc>
      </w:tr>
    </w:tbl>
    <w:p>
      <w:pPr>
        <w:spacing w:before="8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Cost Item</w:t>
            </w:r>
          </w:p>
        </w:tc>
        <w:tc>
          <w:tcPr>
            <w:tcW w:type="dxa" w:w="25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Annual Cost (₹ crore)</w:t>
            </w:r>
          </w:p>
        </w:tc>
        <w:tc>
          <w:tcPr>
            <w:tcW w:type="dxa" w:w="33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Notes</w:t>
            </w:r>
          </w:p>
        </w:tc>
      </w:tr>
      <w:tr>
        <w:tc>
          <w:tcPr>
            <w:tcW w:type="dxa" w:w="3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Lead Fund Manager (MF Focused Fund — new hire)</w:t>
            </w:r>
          </w:p>
        </w:tc>
        <w:tc>
          <w:tcPr>
            <w:tcW w:type="dxa" w:w="2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2.5–3.5</w:t>
            </w:r>
          </w:p>
        </w:tc>
        <w:tc>
          <w:tcPr>
            <w:tcW w:type="dxa" w:w="3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Senior hire from established AMC with 8–15yr track record</w:t>
            </w:r>
          </w:p>
        </w:tc>
      </w:tr>
      <w:tr>
        <w:tc>
          <w:tcPr>
            <w:tcW w:type="dxa" w:w="3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Second Fund Manager (MF Flexi Cap — new hire)</w:t>
            </w:r>
          </w:p>
        </w:tc>
        <w:tc>
          <w:tcPr>
            <w:tcW w:type="dxa" w:w="2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1.5–2.5</w:t>
            </w:r>
          </w:p>
        </w:tc>
        <w:tc>
          <w:tcPr>
            <w:tcW w:type="dxa" w:w="3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Experienced, supports Lead + manages Fund 2</w:t>
            </w:r>
          </w:p>
        </w:tc>
      </w:tr>
      <w:tr>
        <w:tc>
          <w:tcPr>
            <w:tcW w:type="dxa" w:w="3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Research Analysts (2 MF-specific hires)</w:t>
            </w:r>
          </w:p>
        </w:tc>
        <w:tc>
          <w:tcPr>
            <w:tcW w:type="dxa" w:w="2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1.5–2.0</w:t>
            </w:r>
          </w:p>
        </w:tc>
        <w:tc>
          <w:tcPr>
            <w:tcW w:type="dxa" w:w="3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Equity research dedicated to MF mandates</w:t>
            </w:r>
          </w:p>
        </w:tc>
      </w:tr>
      <w:tr>
        <w:tc>
          <w:tcPr>
            <w:tcW w:type="dxa" w:w="3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SIF CIO (hired Month 1–3, before NFO)</w:t>
            </w:r>
          </w:p>
        </w:tc>
        <w:tc>
          <w:tcPr>
            <w:tcW w:type="dxa" w:w="2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3.0–5.0</w:t>
            </w:r>
          </w:p>
        </w:tc>
        <w:tc>
          <w:tcPr>
            <w:tcW w:type="dxa" w:w="3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Route 2 eligibility requirement — non-negotiable prerequisite</w:t>
            </w:r>
          </w:p>
        </w:tc>
      </w:tr>
      <w:tr>
        <w:tc>
          <w:tcPr>
            <w:tcW w:type="dxa" w:w="3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MF Compliance Officer (dedicated)</w:t>
            </w:r>
          </w:p>
        </w:tc>
        <w:tc>
          <w:tcPr>
            <w:tcW w:type="dxa" w:w="2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0.75–1.0</w:t>
            </w:r>
          </w:p>
        </w:tc>
        <w:tc>
          <w:tcPr>
            <w:tcW w:type="dxa" w:w="3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SEBI requirement: separate compliance for MF</w:t>
            </w:r>
          </w:p>
        </w:tc>
      </w:tr>
      <w:tr>
        <w:tc>
          <w:tcPr>
            <w:tcW w:type="dxa" w:w="3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Operations &amp; R&amp;T Agent (CAMS/KFintech)</w:t>
            </w:r>
          </w:p>
        </w:tc>
        <w:tc>
          <w:tcPr>
            <w:tcW w:type="dxa" w:w="2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1.0–1.5</w:t>
            </w:r>
          </w:p>
        </w:tc>
        <w:tc>
          <w:tcPr>
            <w:tcW w:type="dxa" w:w="3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Scales with AUM; fixed base + variable component</w:t>
            </w:r>
          </w:p>
        </w:tc>
      </w:tr>
      <w:tr>
        <w:tc>
          <w:tcPr>
            <w:tcW w:type="dxa" w:w="3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Technology (investor app, portal, Real Return Dashboard)</w:t>
            </w:r>
          </w:p>
        </w:tc>
        <w:tc>
          <w:tcPr>
            <w:tcW w:type="dxa" w:w="2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2.0–3.0</w:t>
            </w:r>
          </w:p>
        </w:tc>
        <w:tc>
          <w:tcPr>
            <w:tcW w:type="dxa" w:w="3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One-time build ₹1.5–2cr + annual maintenance ₹0.5–1cr</w:t>
            </w:r>
          </w:p>
        </w:tc>
      </w:tr>
      <w:tr>
        <w:tc>
          <w:tcPr>
            <w:tcW w:type="dxa" w:w="3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Content &amp; Marketing (conviction letters, webinars)</w:t>
            </w:r>
          </w:p>
        </w:tc>
        <w:tc>
          <w:tcPr>
            <w:tcW w:type="dxa" w:w="2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2.0–3.0</w:t>
            </w:r>
          </w:p>
        </w:tc>
        <w:tc>
          <w:tcPr>
            <w:tcW w:type="dxa" w:w="3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Core product feature, not optional discretionary marketing</w:t>
            </w:r>
          </w:p>
        </w:tc>
      </w:tr>
      <w:tr>
        <w:tc>
          <w:tcPr>
            <w:tcW w:type="dxa" w:w="3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Legal, audit, trustee, compliance</w:t>
            </w:r>
          </w:p>
        </w:tc>
        <w:tc>
          <w:tcPr>
            <w:tcW w:type="dxa" w:w="2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1.0–1.5</w:t>
            </w:r>
          </w:p>
        </w:tc>
        <w:tc>
          <w:tcPr>
            <w:tcW w:type="dxa" w:w="3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Annual fixed; trustee company setup is one-time additional</w:t>
            </w:r>
          </w:p>
        </w:tc>
      </w:tr>
      <w:tr>
        <w:tc>
          <w:tcPr>
            <w:tcW w:type="dxa" w:w="3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Office &amp; overhead (marginal — shared Monarch campus)</w:t>
            </w:r>
          </w:p>
        </w:tc>
        <w:tc>
          <w:tcPr>
            <w:tcW w:type="dxa" w:w="2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0.5–1.0</w:t>
            </w:r>
          </w:p>
        </w:tc>
        <w:tc>
          <w:tcPr>
            <w:tcW w:type="dxa" w:w="3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Marginal cost only</w:t>
            </w:r>
          </w:p>
        </w:tc>
      </w:tr>
      <w:tr>
        <w:tc>
          <w:tcPr>
            <w:tcW w:type="dxa" w:w="3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TOTAL ANNUAL FIXED COST</w:t>
            </w:r>
          </w:p>
        </w:tc>
        <w:tc>
          <w:tcPr>
            <w:tcW w:type="dxa" w:w="2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₹15.75–23.5 crore</w:t>
            </w:r>
          </w:p>
        </w:tc>
        <w:tc>
          <w:tcPr>
            <w:tcW w:type="dxa" w:w="3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Year 1 (with SIF CIO from Day 1)</w:t>
            </w:r>
          </w:p>
        </w:tc>
      </w:tr>
    </w:tbl>
    <w:p>
      <w:pPr>
        <w:spacing w:before="80" w:after="80"/>
      </w:pPr>
      <w:r>
        <w:rPr>
          <w:rFonts w:ascii="Arial" w:cs="Arial" w:eastAsia="Arial" w:hAnsi="Arial"/>
          <w:i/>
          <w:iCs/>
          <w:color w:val="4A4A4A"/>
          <w:sz w:val="21"/>
          <w:szCs w:val="21"/>
        </w:rPr>
        <w:t xml:space="preserve">Working assumption for projections: ₹18.5 crore Year 1 (midpoint), scaling at 5% annual inflation</w:t>
      </w:r>
    </w:p>
    <w:p>
      <w:pPr>
        <w:spacing w:before="80" w:after="0"/>
      </w:pPr>
      <w:r>
        <w:rPr>
          <w:rFonts w:ascii="Arial" w:cs="Arial" w:eastAsia="Arial" w:hAnsi="Arial"/>
          <w:color w:val="1C1C1E"/>
          <w:sz w:val="21"/>
          <w:szCs w:val="21"/>
        </w:rPr>
        <w:t xml:space="preserve"/>
      </w:r>
    </w:p>
    <w:p>
      <w:pPr>
        <w:pStyle w:val="Heading2"/>
        <w:spacing w:before="320" w:after="120"/>
      </w:pPr>
      <w:r>
        <w:rPr>
          <w:rFonts w:ascii="Arial" w:cs="Arial" w:eastAsia="Arial" w:hAnsi="Arial"/>
          <w:b/>
          <w:bCs/>
          <w:color w:val="1D5FA6"/>
          <w:sz w:val="27"/>
          <w:szCs w:val="27"/>
        </w:rPr>
        <w:t xml:space="preserve">5.2 Revenue Model — Blended Retention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1600"/>
        <w:gridCol w:w="1960"/>
      </w:tblGrid>
      <w:tr>
        <w:trPr>
          <w:tblHeader/>
        </w:trPr>
        <w:tc>
          <w:tcPr>
            <w:tcW w:type="dxa" w:w="28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Channel</w:t>
            </w:r>
          </w:p>
        </w:tc>
        <w:tc>
          <w:tcPr>
            <w:tcW w:type="dxa" w:w="14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BER</w:t>
            </w:r>
          </w:p>
        </w:tc>
        <w:tc>
          <w:tcPr>
            <w:tcW w:type="dxa" w:w="16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Distributor Trail</w:t>
            </w:r>
          </w:p>
        </w:tc>
        <w:tc>
          <w:tcPr>
            <w:tcW w:type="dxa" w:w="16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R&amp;T / Custody</w:t>
            </w:r>
          </w:p>
        </w:tc>
        <w:tc>
          <w:tcPr>
            <w:tcW w:type="dxa" w:w="19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AMC Net Retention</w:t>
            </w:r>
          </w:p>
        </w:tc>
      </w:tr>
      <w:tr>
        <w:tc>
          <w:tcPr>
            <w:tcW w:type="dxa" w:w="2800"/>
            <w:tcBorders>
              <w:top w:val="single" w:color="0E2040" w:sz="4"/>
              <w:left w:val="single" w:color="0E2040" w:sz="4"/>
              <w:bottom w:val="single" w:color="0E2040" w:sz="4"/>
              <w:right w:val="single" w:color="0E2040" w:sz="4"/>
            </w:tcBorders>
            <w:shd w:fill="D6EFD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Direct Plan (65% of AUM by Year 2)</w:t>
            </w:r>
          </w:p>
        </w:tc>
        <w:tc>
          <w:tcPr>
            <w:tcW w:type="dxa" w:w="1400"/>
            <w:tcBorders>
              <w:top w:val="single" w:color="0E2040" w:sz="4"/>
              <w:left w:val="single" w:color="0E2040" w:sz="4"/>
              <w:bottom w:val="single" w:color="0E2040" w:sz="4"/>
              <w:right w:val="single" w:color="0E2040" w:sz="4"/>
            </w:tcBorders>
            <w:shd w:fill="D6EFD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0.80%</w:t>
            </w:r>
          </w:p>
        </w:tc>
        <w:tc>
          <w:tcPr>
            <w:tcW w:type="dxa" w:w="1600"/>
            <w:tcBorders>
              <w:top w:val="single" w:color="0E2040" w:sz="4"/>
              <w:left w:val="single" w:color="0E2040" w:sz="4"/>
              <w:bottom w:val="single" w:color="0E2040" w:sz="4"/>
              <w:right w:val="single" w:color="0E2040" w:sz="4"/>
            </w:tcBorders>
            <w:shd w:fill="D6EFD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Nil</w:t>
            </w:r>
          </w:p>
        </w:tc>
        <w:tc>
          <w:tcPr>
            <w:tcW w:type="dxa" w:w="1600"/>
            <w:tcBorders>
              <w:top w:val="single" w:color="0E2040" w:sz="4"/>
              <w:left w:val="single" w:color="0E2040" w:sz="4"/>
              <w:bottom w:val="single" w:color="0E2040" w:sz="4"/>
              <w:right w:val="single" w:color="0E2040" w:sz="4"/>
            </w:tcBorders>
            <w:shd w:fill="D6EFD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~0.10%</w:t>
            </w:r>
          </w:p>
        </w:tc>
        <w:tc>
          <w:tcPr>
            <w:tcW w:type="dxa" w:w="1960"/>
            <w:tcBorders>
              <w:top w:val="single" w:color="0E2040" w:sz="4"/>
              <w:left w:val="single" w:color="0E2040" w:sz="4"/>
              <w:bottom w:val="single" w:color="0E2040" w:sz="4"/>
              <w:right w:val="single" w:color="0E2040" w:sz="4"/>
            </w:tcBorders>
            <w:shd w:fill="D6EFD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~0.70%</w:t>
            </w:r>
          </w:p>
        </w:tc>
      </w:tr>
      <w:tr>
        <w:tc>
          <w:tcPr>
            <w:tcW w:type="dxa" w:w="28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Regular Plan via RIA (35% of AUM)</w:t>
            </w:r>
          </w:p>
        </w:tc>
        <w:tc>
          <w:tcPr>
            <w:tcW w:type="dxa" w:w="1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1.65%</w:t>
            </w:r>
          </w:p>
        </w:tc>
        <w:tc>
          <w:tcPr>
            <w:tcW w:type="dxa" w:w="16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~0.65–0.75%</w:t>
            </w:r>
          </w:p>
        </w:tc>
        <w:tc>
          <w:tcPr>
            <w:tcW w:type="dxa" w:w="16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~0.10%</w:t>
            </w:r>
          </w:p>
        </w:tc>
        <w:tc>
          <w:tcPr>
            <w:tcW w:type="dxa" w:w="19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~0.80–0.90%</w:t>
            </w:r>
          </w:p>
        </w:tc>
      </w:tr>
      <w:tr>
        <w:tc>
          <w:tcPr>
            <w:tcW w:type="dxa" w:w="2800"/>
            <w:tcBorders>
              <w:top w:val="single" w:color="0E2040" w:sz="4"/>
              <w:left w:val="single" w:color="0E2040" w:sz="4"/>
              <w:bottom w:val="single" w:color="0E2040" w:sz="4"/>
              <w:right w:val="single" w:color="0E2040" w:sz="4"/>
            </w:tcBorders>
            <w:shd w:fill="D6EFDF"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Blended (65% direct / 35% regular)</w:t>
            </w:r>
          </w:p>
        </w:tc>
        <w:tc>
          <w:tcPr>
            <w:tcW w:type="dxa" w:w="1400"/>
            <w:tcBorders>
              <w:top w:val="single" w:color="0E2040" w:sz="4"/>
              <w:left w:val="single" w:color="0E2040" w:sz="4"/>
              <w:bottom w:val="single" w:color="0E2040" w:sz="4"/>
              <w:right w:val="single" w:color="0E2040" w:sz="4"/>
            </w:tcBorders>
            <w:shd w:fill="D6EFDF"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~1.15% blended</w:t>
            </w:r>
          </w:p>
        </w:tc>
        <w:tc>
          <w:tcPr>
            <w:tcW w:type="dxa" w:w="1600"/>
            <w:tcBorders>
              <w:top w:val="single" w:color="0E2040" w:sz="4"/>
              <w:left w:val="single" w:color="0E2040" w:sz="4"/>
              <w:bottom w:val="single" w:color="0E2040" w:sz="4"/>
              <w:right w:val="single" w:color="0E2040" w:sz="4"/>
            </w:tcBorders>
            <w:shd w:fill="D6EFDF"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~0.23%</w:t>
            </w:r>
          </w:p>
        </w:tc>
        <w:tc>
          <w:tcPr>
            <w:tcW w:type="dxa" w:w="1600"/>
            <w:tcBorders>
              <w:top w:val="single" w:color="0E2040" w:sz="4"/>
              <w:left w:val="single" w:color="0E2040" w:sz="4"/>
              <w:bottom w:val="single" w:color="0E2040" w:sz="4"/>
              <w:right w:val="single" w:color="0E2040" w:sz="4"/>
            </w:tcBorders>
            <w:shd w:fill="D6EFDF"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~0.10%</w:t>
            </w:r>
          </w:p>
        </w:tc>
        <w:tc>
          <w:tcPr>
            <w:tcW w:type="dxa" w:w="1960"/>
            <w:tcBorders>
              <w:top w:val="single" w:color="0E2040" w:sz="4"/>
              <w:left w:val="single" w:color="0E2040" w:sz="4"/>
              <w:bottom w:val="single" w:color="0E2040" w:sz="4"/>
              <w:right w:val="single" w:color="0E2040" w:sz="4"/>
            </w:tcBorders>
            <w:shd w:fill="D6EFDF" w:val="clear"/>
            <w:tcMar>
              <w:top w:type="dxa" w:w="90"/>
              <w:left w:type="dxa" w:w="140"/>
              <w:bottom w:type="dxa" w:w="90"/>
              <w:right w:type="dxa" w:w="140"/>
            </w:tcMar>
            <w:vAlign w:val="center"/>
          </w:tcPr>
          <w:p>
            <w:pPr>
              <w:jc w:val="left"/>
            </w:pPr>
            <w:r>
              <w:rPr>
                <w:rFonts w:ascii="Arial" w:cs="Arial" w:eastAsia="Arial" w:hAnsi="Arial"/>
                <w:b/>
                <w:bCs/>
                <w:color w:val="1A6B3C"/>
                <w:sz w:val="18"/>
                <w:szCs w:val="18"/>
              </w:rPr>
              <w:t xml:space="preserve">~0.73% net to AMC</w:t>
            </w:r>
          </w:p>
        </w:tc>
      </w:tr>
    </w:tbl>
    <w:p>
      <w:pPr>
        <w:spacing w:before="80" w:after="80"/>
      </w:pPr>
      <w:r>
        <w:rPr>
          <w:rFonts w:ascii="Arial" w:cs="Arial" w:eastAsia="Arial" w:hAnsi="Arial"/>
          <w:i/>
          <w:iCs/>
          <w:color w:val="4A4A4A"/>
          <w:sz w:val="21"/>
          <w:szCs w:val="21"/>
        </w:rPr>
        <w:t xml:space="preserve">Conservative working assumption: 0.73% blended AMC net retention for all projections.</w:t>
      </w:r>
    </w:p>
    <w:p>
      <w:pPr>
        <w:pStyle w:val="Heading2"/>
        <w:spacing w:before="320" w:after="120"/>
      </w:pPr>
      <w:r>
        <w:rPr>
          <w:rFonts w:ascii="Arial" w:cs="Arial" w:eastAsia="Arial" w:hAnsi="Arial"/>
          <w:b/>
          <w:bCs/>
          <w:color w:val="1D5FA6"/>
          <w:sz w:val="27"/>
          <w:szCs w:val="27"/>
        </w:rPr>
        <w:t xml:space="preserve">5.3 Breakeven Analysis —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000"/>
        <w:gridCol w:w="1160"/>
      </w:tblGrid>
      <w:tr>
        <w:trPr>
          <w:tblHeader/>
        </w:trPr>
        <w:tc>
          <w:tcPr>
            <w:tcW w:type="dxa" w:w="22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Total AUM (₹ crore)</w:t>
            </w:r>
          </w:p>
        </w:tc>
        <w:tc>
          <w:tcPr>
            <w:tcW w:type="dxa" w:w="20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Revenue (₹ crore)</w:t>
            </w:r>
          </w:p>
        </w:tc>
        <w:tc>
          <w:tcPr>
            <w:tcW w:type="dxa" w:w="20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Cost (₹ crore)</w:t>
            </w:r>
          </w:p>
        </w:tc>
        <w:tc>
          <w:tcPr>
            <w:tcW w:type="dxa" w:w="20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PBT (₹ crore)</w:t>
            </w:r>
          </w:p>
        </w:tc>
        <w:tc>
          <w:tcPr>
            <w:tcW w:type="dxa" w:w="11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r>
      <w:tr>
        <w:tc>
          <w:tcPr>
            <w:tcW w:type="dxa" w:w="2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₹500 crore</w:t>
            </w:r>
          </w:p>
        </w:tc>
        <w:tc>
          <w:tcPr>
            <w:tcW w:type="dxa" w:w="2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3.65</w:t>
            </w:r>
          </w:p>
        </w:tc>
        <w:tc>
          <w:tcPr>
            <w:tcW w:type="dxa" w:w="2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17.0</w:t>
            </w:r>
          </w:p>
        </w:tc>
        <w:tc>
          <w:tcPr>
            <w:tcW w:type="dxa" w:w="2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(13.35)</w:t>
            </w:r>
          </w:p>
        </w:tc>
        <w:tc>
          <w:tcPr>
            <w:tcW w:type="dxa" w:w="11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8B1A1A"/>
                <w:sz w:val="18"/>
                <w:szCs w:val="18"/>
              </w:rPr>
              <w:t xml:space="preserve">Deep loss</w:t>
            </w:r>
          </w:p>
        </w:tc>
      </w:tr>
      <w:tr>
        <w:tc>
          <w:tcPr>
            <w:tcW w:type="dxa" w:w="2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₹1,000 crore</w:t>
            </w:r>
          </w:p>
        </w:tc>
        <w:tc>
          <w:tcPr>
            <w:tcW w:type="dxa" w:w="2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7.30</w:t>
            </w:r>
          </w:p>
        </w:tc>
        <w:tc>
          <w:tcPr>
            <w:tcW w:type="dxa" w:w="2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18.0</w:t>
            </w:r>
          </w:p>
        </w:tc>
        <w:tc>
          <w:tcPr>
            <w:tcW w:type="dxa" w:w="2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(10.70)</w:t>
            </w:r>
          </w:p>
        </w:tc>
        <w:tc>
          <w:tcPr>
            <w:tcW w:type="dxa" w:w="11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8B1A1A"/>
                <w:sz w:val="18"/>
                <w:szCs w:val="18"/>
              </w:rPr>
              <w:t xml:space="preserve">Loss</w:t>
            </w:r>
          </w:p>
        </w:tc>
      </w:tr>
      <w:tr>
        <w:tc>
          <w:tcPr>
            <w:tcW w:type="dxa" w:w="2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₹1,500 crore</w:t>
            </w:r>
          </w:p>
        </w:tc>
        <w:tc>
          <w:tcPr>
            <w:tcW w:type="dxa" w:w="2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10.95</w:t>
            </w:r>
          </w:p>
        </w:tc>
        <w:tc>
          <w:tcPr>
            <w:tcW w:type="dxa" w:w="2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19.0</w:t>
            </w:r>
          </w:p>
        </w:tc>
        <w:tc>
          <w:tcPr>
            <w:tcW w:type="dxa" w:w="2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(8.05)</w:t>
            </w:r>
          </w:p>
        </w:tc>
        <w:tc>
          <w:tcPr>
            <w:tcW w:type="dxa" w:w="11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8B1A1A"/>
                <w:sz w:val="18"/>
                <w:szCs w:val="18"/>
              </w:rPr>
              <w:t xml:space="preserve">Loss</w:t>
            </w:r>
          </w:p>
        </w:tc>
      </w:tr>
      <w:tr>
        <w:tc>
          <w:tcPr>
            <w:tcW w:type="dxa" w:w="2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₹2,000 crore</w:t>
            </w:r>
          </w:p>
        </w:tc>
        <w:tc>
          <w:tcPr>
            <w:tcW w:type="dxa" w:w="2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14.60</w:t>
            </w:r>
          </w:p>
        </w:tc>
        <w:tc>
          <w:tcPr>
            <w:tcW w:type="dxa" w:w="2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19.5</w:t>
            </w:r>
          </w:p>
        </w:tc>
        <w:tc>
          <w:tcPr>
            <w:tcW w:type="dxa" w:w="2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(4.90)</w:t>
            </w:r>
          </w:p>
        </w:tc>
        <w:tc>
          <w:tcPr>
            <w:tcW w:type="dxa" w:w="11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8B1A1A"/>
                <w:sz w:val="18"/>
                <w:szCs w:val="18"/>
              </w:rPr>
              <w:t xml:space="preserve">Loss</w:t>
            </w:r>
          </w:p>
        </w:tc>
      </w:tr>
      <w:tr>
        <w:tc>
          <w:tcPr>
            <w:tcW w:type="dxa" w:w="2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₹2,500 crore</w:t>
            </w:r>
          </w:p>
        </w:tc>
        <w:tc>
          <w:tcPr>
            <w:tcW w:type="dxa" w:w="2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18.25</w:t>
            </w:r>
          </w:p>
        </w:tc>
        <w:tc>
          <w:tcPr>
            <w:tcW w:type="dxa" w:w="2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20.0</w:t>
            </w:r>
          </w:p>
        </w:tc>
        <w:tc>
          <w:tcPr>
            <w:tcW w:type="dxa" w:w="2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(1.75)</w:t>
            </w:r>
          </w:p>
        </w:tc>
        <w:tc>
          <w:tcPr>
            <w:tcW w:type="dxa" w:w="11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C25B0A"/>
                <w:sz w:val="18"/>
                <w:szCs w:val="18"/>
              </w:rPr>
              <w:t xml:space="preserve">Near breakeven</w:t>
            </w:r>
          </w:p>
        </w:tc>
      </w:tr>
      <w:tr>
        <w:tc>
          <w:tcPr>
            <w:tcW w:type="dxa" w:w="2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₹2,750 crore</w:t>
            </w:r>
          </w:p>
        </w:tc>
        <w:tc>
          <w:tcPr>
            <w:tcW w:type="dxa" w:w="2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20.10</w:t>
            </w:r>
          </w:p>
        </w:tc>
        <w:tc>
          <w:tcPr>
            <w:tcW w:type="dxa" w:w="2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20.0</w:t>
            </w:r>
          </w:p>
        </w:tc>
        <w:tc>
          <w:tcPr>
            <w:tcW w:type="dxa" w:w="2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bCs/>
                <w:color w:val="1A6B3C"/>
                <w:sz w:val="18"/>
                <w:szCs w:val="18"/>
              </w:rPr>
              <w:t xml:space="preserve">0.10</w:t>
            </w:r>
          </w:p>
        </w:tc>
        <w:tc>
          <w:tcPr>
            <w:tcW w:type="dxa" w:w="11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bCs/>
                <w:color w:val="1A6B3C"/>
                <w:sz w:val="18"/>
                <w:szCs w:val="18"/>
              </w:rPr>
              <w:t xml:space="preserve">BREAKEVEN</w:t>
            </w:r>
          </w:p>
        </w:tc>
      </w:tr>
      <w:tr>
        <w:tc>
          <w:tcPr>
            <w:tcW w:type="dxa" w:w="2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₹4,000 crore</w:t>
            </w:r>
          </w:p>
        </w:tc>
        <w:tc>
          <w:tcPr>
            <w:tcW w:type="dxa" w:w="2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29.20</w:t>
            </w:r>
          </w:p>
        </w:tc>
        <w:tc>
          <w:tcPr>
            <w:tcW w:type="dxa" w:w="2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21.0</w:t>
            </w:r>
          </w:p>
        </w:tc>
        <w:tc>
          <w:tcPr>
            <w:tcW w:type="dxa" w:w="2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8.20</w:t>
            </w:r>
          </w:p>
        </w:tc>
        <w:tc>
          <w:tcPr>
            <w:tcW w:type="dxa" w:w="11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A6B3C"/>
                <w:sz w:val="18"/>
                <w:szCs w:val="18"/>
              </w:rPr>
              <w:t xml:space="preserve">28% margin</w:t>
            </w:r>
          </w:p>
        </w:tc>
      </w:tr>
      <w:tr>
        <w:tc>
          <w:tcPr>
            <w:tcW w:type="dxa" w:w="2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₹6,000 crore</w:t>
            </w:r>
          </w:p>
        </w:tc>
        <w:tc>
          <w:tcPr>
            <w:tcW w:type="dxa" w:w="2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43.80</w:t>
            </w:r>
          </w:p>
        </w:tc>
        <w:tc>
          <w:tcPr>
            <w:tcW w:type="dxa" w:w="2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22.0</w:t>
            </w:r>
          </w:p>
        </w:tc>
        <w:tc>
          <w:tcPr>
            <w:tcW w:type="dxa" w:w="2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21.80</w:t>
            </w:r>
          </w:p>
        </w:tc>
        <w:tc>
          <w:tcPr>
            <w:tcW w:type="dxa" w:w="11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6B3C"/>
                <w:sz w:val="18"/>
                <w:szCs w:val="18"/>
              </w:rPr>
              <w:t xml:space="preserve">50% margin</w:t>
            </w:r>
          </w:p>
        </w:tc>
      </w:tr>
    </w:tbl>
    <w:p>
      <w:pPr>
        <w:spacing w:before="80" w:after="80"/>
      </w:pPr>
      <w:r>
        <w:rPr>
          <w:rFonts w:ascii="Arial" w:cs="Arial" w:eastAsia="Arial" w:hAnsi="Arial"/>
          <w:i/>
          <w:iCs/>
          <w:color w:val="4A4A4A"/>
          <w:sz w:val="21"/>
          <w:szCs w:val="21"/>
        </w:rPr>
        <w:t xml:space="preserve">Breakeven revised to ~₹2,750 crore (vs. original ₹1,750 crore) reflecting proper dedicated team costs and earlier SIF CIO hire.</w:t>
      </w:r>
    </w:p>
    <w:p>
      <w:pPr>
        <w:pStyle w:val="Heading2"/>
        <w:spacing w:before="320" w:after="120"/>
      </w:pPr>
      <w:r>
        <w:rPr>
          <w:rFonts w:ascii="Arial" w:cs="Arial" w:eastAsia="Arial" w:hAnsi="Arial"/>
          <w:b/>
          <w:bCs/>
          <w:color w:val="1D5FA6"/>
          <w:sz w:val="27"/>
          <w:szCs w:val="27"/>
        </w:rPr>
        <w:t xml:space="preserve">5.4 Sustainability: Can Monarch Afford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600"/>
        <w:gridCol w:w="2400"/>
        <w:gridCol w:w="1260"/>
      </w:tblGrid>
      <w:tr>
        <w:trPr>
          <w:tblHeader/>
        </w:trPr>
        <w:tc>
          <w:tcPr>
            <w:tcW w:type="dxa" w:w="26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Scenario</w:t>
            </w:r>
          </w:p>
        </w:tc>
        <w:tc>
          <w:tcPr>
            <w:tcW w:type="dxa" w:w="15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 1 AUM</w:t>
            </w:r>
          </w:p>
        </w:tc>
        <w:tc>
          <w:tcPr>
            <w:tcW w:type="dxa" w:w="16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Breakeven Year</w:t>
            </w:r>
          </w:p>
        </w:tc>
        <w:tc>
          <w:tcPr>
            <w:tcW w:type="dxa" w:w="24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Cumulative Loss (₹ crore)</w:t>
            </w:r>
          </w:p>
        </w:tc>
        <w:tc>
          <w:tcPr>
            <w:tcW w:type="dxa" w:w="12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As % of Networth</w:t>
            </w:r>
          </w:p>
        </w:tc>
      </w:tr>
      <w:tr>
        <w:tc>
          <w:tcPr>
            <w:tcW w:type="dxa" w:w="26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Bear (very conservative)</w:t>
            </w:r>
          </w:p>
        </w:tc>
        <w:tc>
          <w:tcPr>
            <w:tcW w:type="dxa" w:w="1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₹250 crore</w:t>
            </w:r>
          </w:p>
        </w:tc>
        <w:tc>
          <w:tcPr>
            <w:tcW w:type="dxa" w:w="16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Year 5–6</w:t>
            </w:r>
          </w:p>
        </w:tc>
        <w:tc>
          <w:tcPr>
            <w:tcW w:type="dxa" w:w="2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~₹55 crore</w:t>
            </w:r>
          </w:p>
        </w:tc>
        <w:tc>
          <w:tcPr>
            <w:tcW w:type="dxa" w:w="12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6.9% — Manageable</w:t>
            </w:r>
          </w:p>
        </w:tc>
      </w:tr>
      <w:tr>
        <w:tc>
          <w:tcPr>
            <w:tcW w:type="dxa" w:w="26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Conservative Case</w:t>
            </w:r>
          </w:p>
        </w:tc>
        <w:tc>
          <w:tcPr>
            <w:tcW w:type="dxa" w:w="1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₹410 crore</w:t>
            </w:r>
          </w:p>
        </w:tc>
        <w:tc>
          <w:tcPr>
            <w:tcW w:type="dxa" w:w="16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Year 4–5</w:t>
            </w:r>
          </w:p>
        </w:tc>
        <w:tc>
          <w:tcPr>
            <w:tcW w:type="dxa" w:w="24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~₹34 crore</w:t>
            </w:r>
          </w:p>
        </w:tc>
        <w:tc>
          <w:tcPr>
            <w:tcW w:type="dxa" w:w="12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bCs/>
                <w:color w:val="C25B0A"/>
                <w:sz w:val="18"/>
                <w:szCs w:val="18"/>
              </w:rPr>
              <w:t xml:space="preserve">4.3% — Comfortable</w:t>
            </w:r>
          </w:p>
        </w:tc>
      </w:tr>
      <w:tr>
        <w:tc>
          <w:tcPr>
            <w:tcW w:type="dxa" w:w="26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Base Case</w:t>
            </w:r>
          </w:p>
        </w:tc>
        <w:tc>
          <w:tcPr>
            <w:tcW w:type="dxa" w:w="1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₹700 crore</w:t>
            </w:r>
          </w:p>
        </w:tc>
        <w:tc>
          <w:tcPr>
            <w:tcW w:type="dxa" w:w="16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Year 3–4</w:t>
            </w:r>
          </w:p>
        </w:tc>
        <w:tc>
          <w:tcPr>
            <w:tcW w:type="dxa" w:w="2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~₹27 crore</w:t>
            </w:r>
          </w:p>
        </w:tc>
        <w:tc>
          <w:tcPr>
            <w:tcW w:type="dxa" w:w="12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1A6B3C"/>
                <w:sz w:val="18"/>
                <w:szCs w:val="18"/>
              </w:rPr>
              <w:t xml:space="preserve">3.4% — Easy</w:t>
            </w:r>
          </w:p>
        </w:tc>
      </w:tr>
      <w:tr>
        <w:tc>
          <w:tcPr>
            <w:tcW w:type="dxa" w:w="26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Bull Case</w:t>
            </w:r>
          </w:p>
        </w:tc>
        <w:tc>
          <w:tcPr>
            <w:tcW w:type="dxa" w:w="1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₹1,000 crore</w:t>
            </w:r>
          </w:p>
        </w:tc>
        <w:tc>
          <w:tcPr>
            <w:tcW w:type="dxa" w:w="16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Year 2–3</w:t>
            </w:r>
          </w:p>
        </w:tc>
        <w:tc>
          <w:tcPr>
            <w:tcW w:type="dxa" w:w="24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~₹12 crore</w:t>
            </w:r>
          </w:p>
        </w:tc>
        <w:tc>
          <w:tcPr>
            <w:tcW w:type="dxa" w:w="12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1.5% — Trivial</w:t>
            </w:r>
          </w:p>
        </w:tc>
      </w:tr>
    </w:tbl>
    <w:p>
      <w:pPr>
        <w:spacing w:before="80" w:after="80"/>
      </w:pPr>
      <w:r>
        <w:rPr>
          <w:rFonts w:ascii="Arial" w:cs="Arial" w:eastAsia="Arial" w:hAnsi="Arial"/>
          <w:color w:val="1C1C1E"/>
          <w:sz w:val="21"/>
          <w:szCs w:val="21"/>
        </w:rPr>
        <w:t xml:space="preserve">Even in the Bear scenario, ₹55 crore in cumulative losses represents 6.9% of Monarch's ₹796 crore networth and 37% of a single year's ₹149 crore PBT. This is not financial stress — it is a planned strategic investment funded comfortably from operational cashflow.</w:t>
      </w:r>
    </w:p>
    <w:p>
      <w:pPr>
        <w:pStyle w:val="Heading2"/>
        <w:spacing w:before="320" w:after="120"/>
      </w:pPr>
      <w:r>
        <w:rPr>
          <w:rFonts w:ascii="Arial" w:cs="Arial" w:eastAsia="Arial" w:hAnsi="Arial"/>
          <w:b/>
          <w:bCs/>
          <w:color w:val="1D5FA6"/>
          <w:sz w:val="27"/>
          <w:szCs w:val="27"/>
        </w:rPr>
        <w:t xml:space="preserve">5.5 The Operating Leverage Insight</w:t>
      </w:r>
    </w:p>
    <w:p>
      <w:pPr>
        <w:spacing w:before="80" w:after="80"/>
      </w:pPr>
      <w:r>
        <w:rPr>
          <w:rFonts w:ascii="Arial" w:cs="Arial" w:eastAsia="Arial" w:hAnsi="Arial"/>
          <w:color w:val="1C1C1E"/>
          <w:sz w:val="21"/>
          <w:szCs w:val="21"/>
        </w:rPr>
        <w:t xml:space="preserve">Once fixed costs are covered at ~₹2,750 crore AUM, every additional ₹100 crore in AUM generates ₹0.73 crore in incremental revenue with near-zero incremental cost. Same team, same systems, same office. This is why mature AMCs achieve 50–65% PAT margins. Our projections show the same dynamic from Year 4 onwards, with 41% margin at ₹5,600 crore AUM in Year 5.</w:t>
      </w:r>
    </w:p>
    <w:p>
      <w:r>
        <w:br w:type="page"/>
      </w:r>
    </w:p>
    <w:p>
      <w:pPr>
        <w:pStyle w:val="Heading1"/>
        <w:pBdr>
          <w:bottom w:val="thick" w:color="1D5FA6" w:sz="6" w:space="4"/>
        </w:pBdr>
        <w:spacing w:before="480" w:after="200"/>
      </w:pPr>
      <w:r>
        <w:rPr>
          <w:rFonts w:ascii="Arial" w:cs="Arial" w:eastAsia="Arial" w:hAnsi="Arial"/>
          <w:b/>
          <w:bCs/>
          <w:color w:val="0E2040"/>
          <w:sz w:val="34"/>
          <w:szCs w:val="34"/>
        </w:rPr>
        <w:t xml:space="preserve">SECTION 6: GO-TO-MARKET STRATEGY — THREE-PHASE PULL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4"/>
              <w:left w:val="thick" w:color="8B1A1A" w:sz="20"/>
              <w:bottom w:val="single" w:color="8B1A1A" w:sz="4"/>
              <w:right w:val="single" w:color="8B1A1A" w:sz="4"/>
            </w:tcBorders>
            <w:shd w:fill="F9E5E5" w:val="clear"/>
            <w:tcMar>
              <w:top w:type="dxa" w:w="140"/>
              <w:left w:type="dxa" w:w="220"/>
              <w:bottom w:type="dxa" w:w="140"/>
              <w:right w:type="dxa" w:w="140"/>
            </w:tcMar>
          </w:tcPr>
          <w:p>
            <w:pPr>
              <w:spacing w:before="0" w:after="60"/>
            </w:pPr>
            <w:r>
              <w:rPr>
                <w:rFonts w:ascii="Arial" w:cs="Arial" w:eastAsia="Arial" w:hAnsi="Arial"/>
                <w:b/>
                <w:bCs/>
                <w:color w:val="8B1A1A"/>
                <w:sz w:val="22"/>
                <w:szCs w:val="22"/>
              </w:rPr>
              <w:t xml:space="preserve">Key Correction from Original Draft</w:t>
            </w:r>
          </w:p>
          <w:p>
            <w:pPr>
              <w:spacing w:before="40" w:after="40"/>
            </w:pPr>
            <w:r>
              <w:rPr>
                <w:rFonts w:ascii="Arial" w:cs="Arial" w:eastAsia="Arial" w:hAnsi="Arial"/>
                <w:color w:val="1C1C1E"/>
                <w:sz w:val="20"/>
                <w:szCs w:val="20"/>
              </w:rPr>
              <w:t xml:space="preserve">The original strategy deferred digital platform empanelment (Kuvera, Zerodha Coin, MFCentral) to Year 3. This was internally inconsistent — we target direct plan investors as our primary audience, yet delayed building the primary infrastructure to reach direct plan investors. This revision accelerates digital empanelment to Month 1.</w:t>
            </w:r>
          </w:p>
        </w:tc>
      </w:tr>
    </w:tbl>
    <w:p>
      <w:pPr>
        <w:spacing w:before="80" w:after="0"/>
      </w:pPr>
      <w:r>
        <w:rPr>
          <w:rFonts w:ascii="Arial" w:cs="Arial" w:eastAsia="Arial" w:hAnsi="Arial"/>
          <w:color w:val="1C1C1E"/>
          <w:sz w:val="21"/>
          <w:szCs w:val="21"/>
        </w:rPr>
        <w:t xml:space="preserve"/>
      </w:r>
    </w:p>
    <w:p>
      <w:pPr>
        <w:pStyle w:val="Heading2"/>
        <w:spacing w:before="320" w:after="120"/>
      </w:pPr>
      <w:r>
        <w:rPr>
          <w:rFonts w:ascii="Arial" w:cs="Arial" w:eastAsia="Arial" w:hAnsi="Arial"/>
          <w:b/>
          <w:bCs/>
          <w:color w:val="1D5FA6"/>
          <w:sz w:val="27"/>
          <w:szCs w:val="27"/>
        </w:rPr>
        <w:t xml:space="preserve">6.1 Channel Philosophy — Pull, Not Push</w:t>
      </w:r>
    </w:p>
    <w:p>
      <w:pPr>
        <w:spacing w:before="80" w:after="80"/>
      </w:pPr>
      <w:r>
        <w:rPr>
          <w:rFonts w:ascii="Arial" w:cs="Arial" w:eastAsia="Arial" w:hAnsi="Arial"/>
          <w:color w:val="1C1C1E"/>
          <w:sz w:val="21"/>
          <w:szCs w:val="21"/>
        </w:rPr>
        <w:t xml:space="preserve">We are not competing in the mass-retail distribution market. We are not paying trail commissions to HDFC Bank branches or NJ India Invest. Our distribution model is pull-based: the investor comes to us because they are convinced — by the existing Monarch relationship, by an RIA's advice, by digital platform discovery, or by the quality of public content. This produces a structurally better investor base: higher average ticket size, longer holding period, lower redemption rate during market downturns. Better investor quality feeds back into better AMC economics.</w:t>
      </w:r>
    </w:p>
    <w:p>
      <w:pPr>
        <w:spacing w:before="8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Channel Type</w:t>
            </w:r>
          </w:p>
        </w:tc>
        <w:tc>
          <w:tcPr>
            <w:tcW w:type="dxa" w:w="32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 1 Role</w:t>
            </w:r>
          </w:p>
        </w:tc>
        <w:tc>
          <w:tcPr>
            <w:tcW w:type="dxa" w:w="31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 3 Target</w:t>
            </w:r>
          </w:p>
        </w:tc>
      </w:tr>
      <w:tr>
        <w:tc>
          <w:tcPr>
            <w:tcW w:type="dxa" w:w="3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Direct via Monarch website</w:t>
            </w:r>
          </w:p>
        </w:tc>
        <w:tc>
          <w:tcPr>
            <w:tcW w:type="dxa" w:w="3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Primary — existing relationships</w:t>
            </w:r>
          </w:p>
        </w:tc>
        <w:tc>
          <w:tcPr>
            <w:tcW w:type="dxa" w:w="31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30% of AUM</w:t>
            </w:r>
          </w:p>
        </w:tc>
      </w:tr>
      <w:tr>
        <w:tc>
          <w:tcPr>
            <w:tcW w:type="dxa" w:w="3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Direct via digital platforms (Kuvera, MFCentral, ET Money Pro)</w:t>
            </w:r>
          </w:p>
        </w:tc>
        <w:tc>
          <w:tcPr>
            <w:tcW w:type="dxa" w:w="3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Launched Month 1</w:t>
            </w:r>
          </w:p>
        </w:tc>
        <w:tc>
          <w:tcPr>
            <w:tcW w:type="dxa" w:w="31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35% of AUM</w:t>
            </w:r>
          </w:p>
        </w:tc>
      </w:tr>
      <w:tr>
        <w:tc>
          <w:tcPr>
            <w:tcW w:type="dxa" w:w="3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RIA-referred (SEBI-registered advisors)</w:t>
            </w:r>
          </w:p>
        </w:tc>
        <w:tc>
          <w:tcPr>
            <w:tcW w:type="dxa" w:w="3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Initiated Month 3, builds over 4 years</w:t>
            </w:r>
          </w:p>
        </w:tc>
        <w:tc>
          <w:tcPr>
            <w:tcW w:type="dxa" w:w="31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35% of AUM</w:t>
            </w:r>
          </w:p>
        </w:tc>
      </w:tr>
      <w:tr>
        <w:tc>
          <w:tcPr>
            <w:tcW w:type="dxa" w:w="3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Bank distributors / MFDs</w:t>
            </w:r>
          </w:p>
        </w:tc>
        <w:tc>
          <w:tcPr>
            <w:tcW w:type="dxa" w:w="3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bCs/>
                <w:color w:val="8B1A1A"/>
                <w:sz w:val="18"/>
                <w:szCs w:val="18"/>
              </w:rPr>
              <w:t xml:space="preserve">NEVER — zero dependency</w:t>
            </w:r>
          </w:p>
        </w:tc>
        <w:tc>
          <w:tcPr>
            <w:tcW w:type="dxa" w:w="31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bCs/>
                <w:color w:val="8B1A1A"/>
                <w:sz w:val="18"/>
                <w:szCs w:val="18"/>
              </w:rPr>
              <w:t xml:space="preserve">ZERO</w:t>
            </w:r>
          </w:p>
        </w:tc>
      </w:tr>
    </w:tbl>
    <w:p>
      <w:pPr>
        <w:pStyle w:val="Heading2"/>
        <w:spacing w:before="320" w:after="120"/>
      </w:pPr>
      <w:r>
        <w:rPr>
          <w:rFonts w:ascii="Arial" w:cs="Arial" w:eastAsia="Arial" w:hAnsi="Arial"/>
          <w:b/>
          <w:bCs/>
          <w:color w:val="1D5FA6"/>
          <w:sz w:val="27"/>
          <w:szCs w:val="27"/>
        </w:rPr>
        <w:t xml:space="preserve">6.2 Phase 1 — Warm Launch (Months 1–12): Target ₹410–700 crore AUM</w:t>
      </w:r>
    </w:p>
    <w:p>
      <w:pPr>
        <w:spacing w:before="8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spacing w:before="220" w:after="80"/>
            </w:pPr>
            <w:r>
              <w:rPr>
                <w:rFonts w:ascii="Arial" w:cs="Arial" w:eastAsia="Arial" w:hAnsi="Arial"/>
                <w:b/>
                <w:bCs/>
                <w:color w:val="0E2040"/>
                <w:sz w:val="23"/>
                <w:szCs w:val="23"/>
              </w:rPr>
              <w:t xml:space="preserve">Channel 1: AIF Investor Base</w:t>
            </w:r>
          </w:p>
          <w:p>
            <w:pPr>
              <w:spacing w:before="80" w:after="80"/>
            </w:pPr>
            <w:r>
              <w:rPr>
                <w:rFonts w:ascii="Arial" w:cs="Arial" w:eastAsia="Arial" w:hAnsi="Arial"/>
                <w:color w:val="1C1C1E"/>
                <w:sz w:val="21"/>
                <w:szCs w:val="21"/>
              </w:rPr>
              <w:t xml:space="preserve">~1,000 AIF investors averaging ₹1 crore each. Already trust Monarch's concentrated equity process. Conservative conversion assumption: 12–18% (revised down from 20–25% in original — AIF investors may be at their equity limit). At 15% conversion: ₹150 crore in first 90 days. Average ticket: ₹15–50 lakh.</w:t>
            </w:r>
          </w:p>
          <w:p>
            <w:pPr>
              <w:spacing w:before="80" w:after="0"/>
            </w:pPr>
            <w:r>
              <w:rPr>
                <w:rFonts w:ascii="Arial" w:cs="Arial" w:eastAsia="Arial" w:hAnsi="Arial"/>
                <w:color w:val="1C1C1E"/>
                <w:sz w:val="21"/>
                <w:szCs w:val="21"/>
              </w:rPr>
              <w:t xml:space="preserve"/>
            </w:r>
          </w:p>
          <w:p>
            <w:pPr>
              <w:spacing w:before="220" w:after="80"/>
            </w:pPr>
            <w:r>
              <w:rPr>
                <w:rFonts w:ascii="Arial" w:cs="Arial" w:eastAsia="Arial" w:hAnsi="Arial"/>
                <w:b/>
                <w:bCs/>
                <w:color w:val="0E2040"/>
                <w:sz w:val="23"/>
                <w:szCs w:val="23"/>
              </w:rPr>
              <w:t xml:space="preserve">Channel 2: Brokerage Clients</w:t>
            </w:r>
          </w:p>
          <w:p>
            <w:pPr>
              <w:spacing w:before="80" w:after="80"/>
            </w:pPr>
            <w:r>
              <w:rPr>
                <w:rFonts w:ascii="Arial" w:cs="Arial" w:eastAsia="Arial" w:hAnsi="Arial"/>
                <w:color w:val="1C1C1E"/>
                <w:sz w:val="21"/>
                <w:szCs w:val="21"/>
              </w:rPr>
              <w:t xml:space="preserve">300,000 accounts. Target top 8,000–12,000 by equity trading volume. RM-led outreach via 57 branches. 3,500 converting at ₹4 lakh average = ₹140 crore. This is 1.2% conversion on the top 12,000 — extremely conservative vs. 3-4% industry cross-sell benchmark.</w:t>
            </w:r>
          </w:p>
        </w:tc>
        <w:tc>
          <w:tcPr>
            <w:tcW w:type="dxa" w:w="360"/>
            <w:tcBorders>
              <w:top w:val="none" w:color="FFFFFF" w:sz="0"/>
              <w:left w:val="none" w:color="FFFFFF" w:sz="0"/>
              <w:bottom w:val="none" w:color="FFFFFF" w:sz="0"/>
              <w:right w:val="none" w:color="FFFFFF" w:sz="0"/>
            </w:tcBorders>
          </w:tcPr>
          <w:p>
            <w:pPr>
              <w:spacing w:before="80" w:after="0"/>
            </w:pPr>
            <w:r>
              <w:rPr>
                <w:rFonts w:ascii="Arial" w:cs="Arial" w:eastAsia="Arial" w:hAnsi="Arial"/>
                <w:color w:val="1C1C1E"/>
                <w:sz w:val="21"/>
                <w:szCs w:val="21"/>
              </w:rPr>
              <w:t xml:space="preserve"/>
            </w:r>
          </w:p>
        </w:tc>
        <w:tc>
          <w:tcPr>
            <w:tcW w:type="dxa" w:w="4500"/>
            <w:tcBorders>
              <w:top w:val="none" w:color="FFFFFF" w:sz="0"/>
              <w:left w:val="none" w:color="FFFFFF" w:sz="0"/>
              <w:bottom w:val="none" w:color="FFFFFF" w:sz="0"/>
              <w:right w:val="none" w:color="FFFFFF" w:sz="0"/>
            </w:tcBorders>
          </w:tcPr>
          <w:p>
            <w:pPr>
              <w:spacing w:before="220" w:after="80"/>
            </w:pPr>
            <w:r>
              <w:rPr>
                <w:rFonts w:ascii="Arial" w:cs="Arial" w:eastAsia="Arial" w:hAnsi="Arial"/>
                <w:b/>
                <w:bCs/>
                <w:color w:val="0E2040"/>
                <w:sz w:val="23"/>
                <w:szCs w:val="23"/>
              </w:rPr>
              <w:t xml:space="preserve">Channel 3: Digital Platforms (Month 1)</w:t>
            </w:r>
          </w:p>
          <w:p>
            <w:pPr>
              <w:spacing w:before="80" w:after="80"/>
            </w:pPr>
            <w:r>
              <w:rPr>
                <w:rFonts w:ascii="Arial" w:cs="Arial" w:eastAsia="Arial" w:hAnsi="Arial"/>
                <w:b/>
                <w:bCs/>
                <w:color w:val="8B1A1A"/>
                <w:sz w:val="21"/>
                <w:szCs w:val="21"/>
              </w:rPr>
              <w:t xml:space="preserve">NEW vs. original draft: </w:t>
            </w:r>
            <w:r>
              <w:rPr>
                <w:rFonts w:ascii="Arial" w:cs="Arial" w:eastAsia="Arial" w:hAnsi="Arial"/>
                <w:color w:val="1C1C1E"/>
                <w:sz w:val="21"/>
                <w:szCs w:val="21"/>
              </w:rPr>
              <w:t xml:space="preserve">MFCentral (AMFI-operated, CAMS+KFintech), Kuvera (CRED, 3M+ users), ET Money Pro (paid tier, high-portfolio users). Month 1 empanelment. Target: ₹80–120 crore from investors entirely outside the Monarch network.</w:t>
            </w:r>
          </w:p>
          <w:p>
            <w:pPr>
              <w:spacing w:before="80" w:after="0"/>
            </w:pPr>
            <w:r>
              <w:rPr>
                <w:rFonts w:ascii="Arial" w:cs="Arial" w:eastAsia="Arial" w:hAnsi="Arial"/>
                <w:color w:val="1C1C1E"/>
                <w:sz w:val="21"/>
                <w:szCs w:val="21"/>
              </w:rPr>
              <w:t xml:space="preserve"/>
            </w:r>
          </w:p>
          <w:p>
            <w:pPr>
              <w:spacing w:before="220" w:after="80"/>
            </w:pPr>
            <w:r>
              <w:rPr>
                <w:rFonts w:ascii="Arial" w:cs="Arial" w:eastAsia="Arial" w:hAnsi="Arial"/>
                <w:b/>
                <w:bCs/>
                <w:color w:val="0E2040"/>
                <w:sz w:val="23"/>
                <w:szCs w:val="23"/>
              </w:rPr>
              <w:t xml:space="preserve">Channel 4: NFO Launch Structure</w:t>
            </w:r>
          </w:p>
          <w:p>
            <w:pPr>
              <w:spacing w:before="80" w:after="80"/>
            </w:pPr>
            <w:r>
              <w:rPr>
                <w:rFonts w:ascii="Arial" w:cs="Arial" w:eastAsia="Arial" w:hAnsi="Arial"/>
                <w:color w:val="1C1C1E"/>
                <w:sz w:val="21"/>
                <w:szCs w:val="21"/>
              </w:rPr>
              <w:t xml:space="preserve">Seed fund with ₹10 crore from AMC balance sheet (regulatory seed + skin in the game signal). 15-day NFO period. Pre-launch 30 days: fund manager video, first conviction letter (pre-NFO), Real Return Dashboard explainer. Soft close at ₹600 crore — genuine portfolio management commitment.</w:t>
            </w:r>
          </w:p>
        </w:tc>
      </w:tr>
    </w:tbl>
    <w:p>
      <w:pPr>
        <w:spacing w:before="8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Channel</w:t>
            </w:r>
          </w:p>
        </w:tc>
        <w:tc>
          <w:tcPr>
            <w:tcW w:type="dxa" w:w="25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Conservative (₹ crore)</w:t>
            </w:r>
          </w:p>
        </w:tc>
        <w:tc>
          <w:tcPr>
            <w:tcW w:type="dxa" w:w="28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Base Case (₹ crore)</w:t>
            </w:r>
          </w:p>
        </w:tc>
      </w:tr>
      <w:tr>
        <w:tc>
          <w:tcPr>
            <w:tcW w:type="dxa" w:w="4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AIF investor conversion (12% / 18%)</w:t>
            </w:r>
          </w:p>
        </w:tc>
        <w:tc>
          <w:tcPr>
            <w:tcW w:type="dxa" w:w="2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120</w:t>
            </w:r>
          </w:p>
        </w:tc>
        <w:tc>
          <w:tcPr>
            <w:tcW w:type="dxa" w:w="28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180</w:t>
            </w:r>
          </w:p>
        </w:tc>
      </w:tr>
      <w:tr>
        <w:tc>
          <w:tcPr>
            <w:tcW w:type="dxa" w:w="4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Brokerage client activation</w:t>
            </w:r>
          </w:p>
        </w:tc>
        <w:tc>
          <w:tcPr>
            <w:tcW w:type="dxa" w:w="2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100</w:t>
            </w:r>
          </w:p>
        </w:tc>
        <w:tc>
          <w:tcPr>
            <w:tcW w:type="dxa" w:w="28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160</w:t>
            </w:r>
          </w:p>
        </w:tc>
      </w:tr>
      <w:tr>
        <w:tc>
          <w:tcPr>
            <w:tcW w:type="dxa" w:w="4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Digital platforms (Month 1 launch)</w:t>
            </w:r>
          </w:p>
        </w:tc>
        <w:tc>
          <w:tcPr>
            <w:tcW w:type="dxa" w:w="2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60</w:t>
            </w:r>
          </w:p>
        </w:tc>
        <w:tc>
          <w:tcPr>
            <w:tcW w:type="dxa" w:w="28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120</w:t>
            </w:r>
          </w:p>
        </w:tc>
      </w:tr>
      <w:tr>
        <w:tc>
          <w:tcPr>
            <w:tcW w:type="dxa" w:w="4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NFO open market direct</w:t>
            </w:r>
          </w:p>
        </w:tc>
        <w:tc>
          <w:tcPr>
            <w:tcW w:type="dxa" w:w="2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80</w:t>
            </w:r>
          </w:p>
        </w:tc>
        <w:tc>
          <w:tcPr>
            <w:tcW w:type="dxa" w:w="28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150</w:t>
            </w:r>
          </w:p>
        </w:tc>
      </w:tr>
      <w:tr>
        <w:tc>
          <w:tcPr>
            <w:tcW w:type="dxa" w:w="4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SIF (if launched Month 15)</w:t>
            </w:r>
          </w:p>
        </w:tc>
        <w:tc>
          <w:tcPr>
            <w:tcW w:type="dxa" w:w="2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50</w:t>
            </w:r>
          </w:p>
        </w:tc>
        <w:tc>
          <w:tcPr>
            <w:tcW w:type="dxa" w:w="28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100</w:t>
            </w:r>
          </w:p>
        </w:tc>
      </w:tr>
      <w:tr>
        <w:tc>
          <w:tcPr>
            <w:tcW w:type="dxa" w:w="4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TOTAL YEAR 1 AUM</w:t>
            </w:r>
          </w:p>
        </w:tc>
        <w:tc>
          <w:tcPr>
            <w:tcW w:type="dxa" w:w="2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bCs/>
                <w:color w:val="C25B0A"/>
                <w:sz w:val="18"/>
                <w:szCs w:val="18"/>
              </w:rPr>
              <w:t xml:space="preserve">₹410 crore</w:t>
            </w:r>
          </w:p>
        </w:tc>
        <w:tc>
          <w:tcPr>
            <w:tcW w:type="dxa" w:w="28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bCs/>
                <w:color w:val="1A6B3C"/>
                <w:sz w:val="18"/>
                <w:szCs w:val="18"/>
              </w:rPr>
              <w:t xml:space="preserve">₹710 crore</w:t>
            </w:r>
          </w:p>
        </w:tc>
      </w:tr>
    </w:tbl>
    <w:p>
      <w:pPr>
        <w:pStyle w:val="Heading2"/>
        <w:spacing w:before="320" w:after="120"/>
      </w:pPr>
      <w:r>
        <w:rPr>
          <w:rFonts w:ascii="Arial" w:cs="Arial" w:eastAsia="Arial" w:hAnsi="Arial"/>
          <w:b/>
          <w:bCs/>
          <w:color w:val="1D5FA6"/>
          <w:sz w:val="27"/>
          <w:szCs w:val="27"/>
        </w:rPr>
        <w:t xml:space="preserve">6.3 Phase 2 — Credibility Layer (Months 12–36): ₹700 → ₹2,000 crore</w:t>
      </w:r>
    </w:p>
    <w:p>
      <w:pPr>
        <w:spacing w:before="220" w:after="80"/>
      </w:pPr>
      <w:r>
        <w:rPr>
          <w:rFonts w:ascii="Arial" w:cs="Arial" w:eastAsia="Arial" w:hAnsi="Arial"/>
          <w:b/>
          <w:bCs/>
          <w:color w:val="0E2040"/>
          <w:sz w:val="23"/>
          <w:szCs w:val="23"/>
        </w:rPr>
        <w:t xml:space="preserve">The Quarterly Conviction Letter</w:t>
      </w:r>
    </w:p>
    <w:p>
      <w:pPr>
        <w:spacing w:before="80" w:after="80"/>
      </w:pPr>
      <w:r>
        <w:rPr>
          <w:rFonts w:ascii="Arial" w:cs="Arial" w:eastAsia="Arial" w:hAnsi="Arial"/>
          <w:color w:val="1C1C1E"/>
          <w:sz w:val="21"/>
          <w:szCs w:val="21"/>
        </w:rPr>
        <w:t xml:space="preserve">Every quarter: 1,200–1,500 word investor letter written by the fund management team — not marketing copywriters. Content structure: (1) Every portfolio position reviewed; additions or exits explained with specific investment rationale; (2) One deep-dive on a company owned or researched and rejected; (3) Real Return Dashboard update showing this quarter's post-tax comparison vs. top 5 competitors; (4) Conviction Delta Score showing active share vs. benchmark; (5) Market context in 200 words or fewer. Publicly available on the website, LinkedIn, and to finance journalists.</w:t>
      </w:r>
    </w:p>
    <w:p>
      <w:pPr>
        <w:spacing w:before="80" w:after="80"/>
      </w:pPr>
      <w:r>
        <w:rPr>
          <w:rFonts w:ascii="Arial" w:cs="Arial" w:eastAsia="Arial" w:hAnsi="Arial"/>
          <w:color w:val="1C1C1E"/>
          <w:sz w:val="21"/>
          <w:szCs w:val="21"/>
        </w:rPr>
        <w:t xml:space="preserve">PPFAS built from ₹5,000 crore to ₹1,32,181 crore primarily through this mechanism. Our version adds two elements PPFAS does not have: the Real Return Dashboard and the published Conviction Delta Score — making each quarterly letter a data event, not just a narrative.</w:t>
      </w:r>
    </w:p>
    <w:p>
      <w:pPr>
        <w:spacing w:before="220" w:after="80"/>
      </w:pPr>
      <w:r>
        <w:rPr>
          <w:rFonts w:ascii="Arial" w:cs="Arial" w:eastAsia="Arial" w:hAnsi="Arial"/>
          <w:b/>
          <w:bCs/>
          <w:color w:val="0E2040"/>
          <w:sz w:val="23"/>
          <w:szCs w:val="23"/>
        </w:rPr>
        <w:t xml:space="preserve">RIA Channel — Corrected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4"/>
              <w:left w:val="thick" w:color="8B1A1A" w:sz="20"/>
              <w:bottom w:val="single" w:color="8B1A1A" w:sz="4"/>
              <w:right w:val="single" w:color="8B1A1A" w:sz="4"/>
            </w:tcBorders>
            <w:shd w:fill="F9E5E5" w:val="clear"/>
            <w:tcMar>
              <w:top w:type="dxa" w:w="140"/>
              <w:left w:type="dxa" w:w="220"/>
              <w:bottom w:type="dxa" w:w="140"/>
              <w:right w:type="dxa" w:w="140"/>
            </w:tcMar>
          </w:tcPr>
          <w:p>
            <w:pPr>
              <w:spacing w:before="0" w:after="60"/>
            </w:pPr>
            <w:r>
              <w:rPr>
                <w:rFonts w:ascii="Arial" w:cs="Arial" w:eastAsia="Arial" w:hAnsi="Arial"/>
                <w:b/>
                <w:bCs/>
                <w:color w:val="8B1A1A"/>
                <w:sz w:val="22"/>
                <w:szCs w:val="22"/>
              </w:rPr>
              <w:t xml:space="preserve">Correction: Original RIA Numbers Were Overstated</w:t>
            </w:r>
          </w:p>
          <w:p>
            <w:pPr>
              <w:spacing w:before="40" w:after="40"/>
            </w:pPr>
            <w:r>
              <w:rPr>
                <w:rFonts w:ascii="Arial" w:cs="Arial" w:eastAsia="Arial" w:hAnsi="Arial"/>
                <w:color w:val="1C1C1E"/>
                <w:sz w:val="20"/>
                <w:szCs w:val="20"/>
              </w:rPr>
              <w:t xml:space="preserve">Original draft: '200 RIAs × ₹5 crore average allocation = ₹1,000 crore.' Corrected: India has ~1,300 SEBI-registered RIAs, predominantly solo practitioners managing ₹20–60 crore total AUM. Allocating ₹5 crore to a single new AMC represents 8–25% concentration in one fund — above most RIAs' compliance frameworks for a sub-2-year fund. Corrected projection: 200 RIAs × ₹1.5 crore average at Year 2 = ₹300 crore. Scale to ₹3 crore average at Year 4 = ₹600 crore. Scale to ₹5 crore at Year 5 after 3-year track record = ₹1,000 crore.</w:t>
            </w:r>
          </w:p>
        </w:tc>
      </w:tr>
    </w:tbl>
    <w:p>
      <w:pPr>
        <w:pStyle w:val="Heading2"/>
        <w:spacing w:before="320" w:after="120"/>
      </w:pPr>
      <w:r>
        <w:rPr>
          <w:rFonts w:ascii="Arial" w:cs="Arial" w:eastAsia="Arial" w:hAnsi="Arial"/>
          <w:b/>
          <w:bCs/>
          <w:color w:val="1D5FA6"/>
          <w:sz w:val="27"/>
          <w:szCs w:val="27"/>
        </w:rPr>
        <w:t xml:space="preserve">6.4 Phase 3 — Institutionalize (Year 3–7): ₹2,000 → ₹10,000 crore</w:t>
      </w:r>
    </w:p>
    <w:p>
      <w:pPr>
        <w:spacing w:before="80" w:after="80"/>
      </w:pPr>
      <w:r>
        <w:rPr>
          <w:rFonts w:ascii="Arial" w:cs="Arial" w:eastAsia="Arial" w:hAnsi="Arial"/>
          <w:color w:val="1C1C1E"/>
          <w:sz w:val="21"/>
          <w:szCs w:val="21"/>
        </w:rPr>
        <w:t xml:space="preserve">By Year 3: 3-year audited track record, 12 consecutive quarterly conviction letters, 200 active RIA relationships, ₹2,000+ crore AUM, SIF at ₹400–600 crore, Real Return Dashboard with 12 quarters of comparative data.</w:t>
      </w:r>
    </w:p>
    <w:p>
      <w:pPr>
        <w:pStyle w:val="ListParagraph"/>
        <w:numPr>
          <w:ilvl w:val="0"/>
          <w:numId w:val="2"/>
        </w:numPr>
        <w:spacing w:before="40" w:after="40"/>
      </w:pPr>
      <w:r>
        <w:rPr>
          <w:rFonts w:ascii="Arial" w:cs="Arial" w:eastAsia="Arial" w:hAnsi="Arial"/>
          <w:color w:val="1C1C1E"/>
          <w:sz w:val="21"/>
          <w:szCs w:val="21"/>
        </w:rPr>
        <w:t xml:space="preserve">Year 3: Selective IFA empanelment on direct-first platforms (Kuvera, Zerodha Coin, ET Money Pro only). Zero bank distributor empanelment.</w:t>
      </w:r>
    </w:p>
    <w:p>
      <w:pPr>
        <w:pStyle w:val="ListParagraph"/>
        <w:numPr>
          <w:ilvl w:val="0"/>
          <w:numId w:val="2"/>
        </w:numPr>
        <w:spacing w:before="40" w:after="40"/>
      </w:pPr>
      <w:r>
        <w:rPr>
          <w:rFonts w:ascii="Arial" w:cs="Arial" w:eastAsia="Arial" w:hAnsi="Arial"/>
          <w:color w:val="1C1C1E"/>
          <w:sz w:val="21"/>
          <w:szCs w:val="21"/>
        </w:rPr>
        <w:t xml:space="preserve">Year 3: Tier 2 city expansion via Monarch's branch presence in Indore, Surat, Jaipur, Nagpur, Chandigarh. SEBI B30 incentives allow marginally higher TER on B30 flows.</w:t>
      </w:r>
    </w:p>
    <w:p>
      <w:pPr>
        <w:pStyle w:val="ListParagraph"/>
        <w:numPr>
          <w:ilvl w:val="0"/>
          <w:numId w:val="2"/>
        </w:numPr>
        <w:spacing w:before="40" w:after="40"/>
      </w:pPr>
      <w:r>
        <w:rPr>
          <w:rFonts w:ascii="Arial" w:cs="Arial" w:eastAsia="Arial" w:hAnsi="Arial"/>
          <w:color w:val="1C1C1E"/>
          <w:sz w:val="21"/>
          <w:szCs w:val="21"/>
        </w:rPr>
        <w:t xml:space="preserve">Year 4 (and only Year 4): One short-duration debt fund for Monarch's corporate treasury client relationships. Not before.</w:t>
      </w:r>
    </w:p>
    <w:p>
      <w:r>
        <w:br w:type="page"/>
      </w:r>
    </w:p>
    <w:p>
      <w:pPr>
        <w:pStyle w:val="Heading1"/>
        <w:pBdr>
          <w:bottom w:val="thick" w:color="1D5FA6" w:sz="6" w:space="4"/>
        </w:pBdr>
        <w:spacing w:before="480" w:after="200"/>
      </w:pPr>
      <w:r>
        <w:rPr>
          <w:rFonts w:ascii="Arial" w:cs="Arial" w:eastAsia="Arial" w:hAnsi="Arial"/>
          <w:b/>
          <w:bCs/>
          <w:color w:val="0E2040"/>
          <w:sz w:val="34"/>
          <w:szCs w:val="34"/>
        </w:rPr>
        <w:t xml:space="preserve">SECTION 7: COMPETITIVE LANDSCAPE — RIGOROUS HONEST ASSESSMENT</w:t>
      </w:r>
    </w:p>
    <w:p>
      <w:pPr>
        <w:spacing w:before="80" w:after="80"/>
      </w:pPr>
      <w:r>
        <w:rPr>
          <w:rFonts w:ascii="Arial" w:cs="Arial" w:eastAsia="Arial" w:hAnsi="Arial"/>
          <w:color w:val="1C1C1E"/>
          <w:sz w:val="21"/>
          <w:szCs w:val="21"/>
        </w:rPr>
        <w:t xml:space="preserve">This was the most significant gap in the original draft. The 'high-conviction, direct-first' positioning space is already partially occupied. Judges at IIM Ahmedabad will know this. An answer that only compares Monarch to HDFC and SBI MF will be dismissed. This section provides the complete, honest competitive assessment.</w:t>
      </w:r>
    </w:p>
    <w:p>
      <w:pPr>
        <w:spacing w:before="80" w:after="0"/>
      </w:pPr>
      <w:r>
        <w:rPr>
          <w:rFonts w:ascii="Arial" w:cs="Arial" w:eastAsia="Arial" w:hAnsi="Arial"/>
          <w:color w:val="1C1C1E"/>
          <w:sz w:val="21"/>
          <w:szCs w:val="21"/>
        </w:rPr>
        <w:t xml:space="preserve"/>
      </w:r>
    </w:p>
    <w:p>
      <w:pPr>
        <w:pStyle w:val="Heading2"/>
        <w:spacing w:before="320" w:after="120"/>
      </w:pPr>
      <w:r>
        <w:rPr>
          <w:rFonts w:ascii="Arial" w:cs="Arial" w:eastAsia="Arial" w:hAnsi="Arial"/>
          <w:b/>
          <w:bCs/>
          <w:color w:val="1D5FA6"/>
          <w:sz w:val="27"/>
          <w:szCs w:val="27"/>
        </w:rPr>
        <w:t xml:space="preserve">7.1 Competitive Positioning Map</w:t>
      </w:r>
    </w:p>
    <w:p>
      <w:pPr>
        <w:spacing w:before="80" w:after="80"/>
      </w:pPr>
      <w:r>
        <w:rPr>
          <w:rFonts w:ascii="Arial" w:cs="Arial" w:eastAsia="Arial" w:hAnsi="Arial"/>
          <w:color w:val="1C1C1E"/>
          <w:sz w:val="21"/>
          <w:szCs w:val="21"/>
        </w:rPr>
        <w:t xml:space="preserve">Two-axis framework: X-axis = Genuine Portfolio Concentration (few stocks, high active share). Y-axis = Investor Alignment Model (direct-first, fee transparent vs. distributor-dependent).</w:t>
      </w:r>
    </w:p>
    <w:p>
      <w:pPr>
        <w:spacing w:before="8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000"/>
        <w:gridCol w:w="1400"/>
        <w:gridCol w:w="2660"/>
      </w:tblGrid>
      <w:tr>
        <w:trPr>
          <w:tblHeader/>
        </w:trPr>
        <w:tc>
          <w:tcPr>
            <w:tcW w:type="dxa" w:w="16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AMC</w:t>
            </w:r>
          </w:p>
        </w:tc>
        <w:tc>
          <w:tcPr>
            <w:tcW w:type="dxa" w:w="17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AUM (2025)</w:t>
            </w:r>
          </w:p>
        </w:tc>
        <w:tc>
          <w:tcPr>
            <w:tcW w:type="dxa" w:w="20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Concentration</w:t>
            </w:r>
          </w:p>
        </w:tc>
        <w:tc>
          <w:tcPr>
            <w:tcW w:type="dxa" w:w="14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Direct % Mix</w:t>
            </w:r>
          </w:p>
        </w:tc>
        <w:tc>
          <w:tcPr>
            <w:tcW w:type="dxa" w:w="26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Monarch's Differentiation</w:t>
            </w:r>
          </w:p>
        </w:tc>
      </w:tr>
      <w:tr>
        <w:tc>
          <w:tcPr>
            <w:tcW w:type="dxa" w:w="16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PPFAS (₹1.32L crore)</w:t>
            </w:r>
          </w:p>
        </w:tc>
        <w:tc>
          <w:tcPr>
            <w:tcW w:type="dxa" w:w="17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₹1,32,181 crore</w:t>
            </w:r>
          </w:p>
        </w:tc>
        <w:tc>
          <w:tcPr>
            <w:tcW w:type="dxa" w:w="2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25–30 stocks Flexi Cap</w:t>
            </w:r>
          </w:p>
        </w:tc>
        <w:tc>
          <w:tcPr>
            <w:tcW w:type="dxa" w:w="1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~55%+ direct</w:t>
            </w:r>
          </w:p>
        </w:tc>
        <w:tc>
          <w:tcPr>
            <w:tcW w:type="dxa" w:w="26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PPFAS has grown into a 7-scheme AMC including debt, arbitrage, hybrid. They are now the establishment. We occupy the pure-conviction position PPFAS held in 2013 but has since vacated by expanding its scheme lineup.</w:t>
            </w:r>
          </w:p>
        </w:tc>
      </w:tr>
      <w:tr>
        <w:tc>
          <w:tcPr>
            <w:tcW w:type="dxa" w:w="16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WhiteOak (~₹78K crore group)</w:t>
            </w:r>
          </w:p>
        </w:tc>
        <w:tc>
          <w:tcPr>
            <w:tcW w:type="dxa" w:w="17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₹78,556 crore</w:t>
            </w:r>
          </w:p>
        </w:tc>
        <w:tc>
          <w:tcPr>
            <w:tcW w:type="dxa" w:w="2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60–80 stocks 'quality'</w:t>
            </w:r>
          </w:p>
        </w:tc>
        <w:tc>
          <w:tcPr>
            <w:tcW w:type="dxa" w:w="14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Growing</w:t>
            </w:r>
          </w:p>
        </w:tc>
        <w:tc>
          <w:tcPr>
            <w:tcW w:type="dxa" w:w="26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WhiteOak runs 18+ schemes including debt and hybrid. Not genuinely concentrated. Their 'high conviction' is by quality screen, not stock count. Low active share vs. benchmark.</w:t>
            </w:r>
          </w:p>
        </w:tc>
      </w:tr>
      <w:tr>
        <w:tc>
          <w:tcPr>
            <w:tcW w:type="dxa" w:w="16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Helios MF (~₹1,500 crore)</w:t>
            </w:r>
          </w:p>
        </w:tc>
        <w:tc>
          <w:tcPr>
            <w:tcW w:type="dxa" w:w="17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~₹1,500 crore</w:t>
            </w:r>
          </w:p>
        </w:tc>
        <w:tc>
          <w:tcPr>
            <w:tcW w:type="dxa" w:w="2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Flexi Cap 30–40 stocks</w:t>
            </w:r>
          </w:p>
        </w:tc>
        <w:tc>
          <w:tcPr>
            <w:tcW w:type="dxa" w:w="1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Growing direct</w:t>
            </w:r>
          </w:p>
        </w:tc>
        <w:tc>
          <w:tcPr>
            <w:tcW w:type="dxa" w:w="26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Closest competitor in spirit. Samir Arora's track record is strong. But: no Real Return Dashboard, no AIF credibility anchor, no three-tier architecture. Early distribution included regular plans.</w:t>
            </w:r>
          </w:p>
        </w:tc>
      </w:tr>
      <w:tr>
        <w:tc>
          <w:tcPr>
            <w:tcW w:type="dxa" w:w="16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Samco MF (digital-first)</w:t>
            </w:r>
          </w:p>
        </w:tc>
        <w:tc>
          <w:tcPr>
            <w:tcW w:type="dxa" w:w="17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~₹700 crore</w:t>
            </w:r>
          </w:p>
        </w:tc>
        <w:tc>
          <w:tcPr>
            <w:tcW w:type="dxa" w:w="2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Quant-driven, ~30 stocks</w:t>
            </w:r>
          </w:p>
        </w:tc>
        <w:tc>
          <w:tcPr>
            <w:tcW w:type="dxa" w:w="14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60%+ digital</w:t>
            </w:r>
          </w:p>
        </w:tc>
        <w:tc>
          <w:tcPr>
            <w:tcW w:type="dxa" w:w="26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Technology-first, quantitative conviction vs. fundamental conviction. Different investor profile. Minimal overlap.</w:t>
            </w:r>
          </w:p>
        </w:tc>
      </w:tr>
      <w:tr>
        <w:tc>
          <w:tcPr>
            <w:tcW w:type="dxa" w:w="16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Zerodha Fund House (passive only)</w:t>
            </w:r>
          </w:p>
        </w:tc>
        <w:tc>
          <w:tcPr>
            <w:tcW w:type="dxa" w:w="17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₹2,800 crore</w:t>
            </w:r>
          </w:p>
        </w:tc>
        <w:tc>
          <w:tcPr>
            <w:tcW w:type="dxa" w:w="2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Index funds only</w:t>
            </w:r>
          </w:p>
        </w:tc>
        <w:tc>
          <w:tcPr>
            <w:tcW w:type="dxa" w:w="1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100% direct</w:t>
            </w:r>
          </w:p>
        </w:tc>
        <w:tc>
          <w:tcPr>
            <w:tcW w:type="dxa" w:w="26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Zero overlap with us. Passive only. Actually a positive — they prove direct-first can scale.</w:t>
            </w:r>
          </w:p>
        </w:tc>
      </w:tr>
      <w:tr>
        <w:tc>
          <w:tcPr>
            <w:tcW w:type="dxa" w:w="1600"/>
            <w:tcBorders>
              <w:top w:val="single" w:color="0E2040" w:sz="4"/>
              <w:left w:val="single" w:color="0E2040" w:sz="4"/>
              <w:bottom w:val="single" w:color="0E2040" w:sz="4"/>
              <w:right w:val="single" w:color="0E2040" w:sz="4"/>
            </w:tcBorders>
            <w:shd w:fill="0E2040"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Monarch (target position)</w:t>
            </w:r>
          </w:p>
        </w:tc>
        <w:tc>
          <w:tcPr>
            <w:tcW w:type="dxa" w:w="1700"/>
            <w:tcBorders>
              <w:top w:val="single" w:color="0E2040" w:sz="4"/>
              <w:left w:val="single" w:color="0E2040" w:sz="4"/>
              <w:bottom w:val="single" w:color="0E2040" w:sz="4"/>
              <w:right w:val="single" w:color="0E2040" w:sz="4"/>
            </w:tcBorders>
            <w:shd w:fill="0E2040"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₹5,600 crore (Year 5 base)</w:t>
            </w:r>
          </w:p>
        </w:tc>
        <w:tc>
          <w:tcPr>
            <w:tcW w:type="dxa" w:w="2000"/>
            <w:tcBorders>
              <w:top w:val="single" w:color="0E2040" w:sz="4"/>
              <w:left w:val="single" w:color="0E2040" w:sz="4"/>
              <w:bottom w:val="single" w:color="0E2040" w:sz="4"/>
              <w:right w:val="single" w:color="0E2040" w:sz="4"/>
            </w:tcBorders>
            <w:shd w:fill="0E2040"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20–25 stocks (MF) 12–15 (SIF)</w:t>
            </w:r>
          </w:p>
        </w:tc>
        <w:tc>
          <w:tcPr>
            <w:tcW w:type="dxa" w:w="1400"/>
            <w:tcBorders>
              <w:top w:val="single" w:color="0E2040" w:sz="4"/>
              <w:left w:val="single" w:color="0E2040" w:sz="4"/>
              <w:bottom w:val="single" w:color="0E2040" w:sz="4"/>
              <w:right w:val="single" w:color="0E2040" w:sz="4"/>
            </w:tcBorders>
            <w:shd w:fill="0E2040"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65% direct target</w:t>
            </w:r>
          </w:p>
        </w:tc>
        <w:tc>
          <w:tcPr>
            <w:tcW w:type="dxa" w:w="2660"/>
            <w:tcBorders>
              <w:top w:val="single" w:color="0E2040" w:sz="4"/>
              <w:left w:val="single" w:color="0E2040" w:sz="4"/>
              <w:bottom w:val="single" w:color="0E2040" w:sz="4"/>
              <w:right w:val="single" w:color="0E2040" w:sz="4"/>
            </w:tcBorders>
            <w:shd w:fill="0E2040" w:val="clear"/>
            <w:tcMar>
              <w:top w:type="dxa" w:w="90"/>
              <w:left w:type="dxa" w:w="140"/>
              <w:bottom w:type="dxa" w:w="90"/>
              <w:right w:type="dxa" w:w="140"/>
            </w:tcMar>
            <w:vAlign w:val="center"/>
          </w:tcPr>
          <w:p>
            <w:pPr>
              <w:jc w:val="left"/>
            </w:pPr>
            <w:r>
              <w:rPr>
                <w:rFonts w:ascii="Arial" w:cs="Arial" w:eastAsia="Arial" w:hAnsi="Arial"/>
                <w:b/>
                <w:bCs/>
                <w:color w:val="FFFFFF"/>
                <w:sz w:val="18"/>
                <w:szCs w:val="18"/>
              </w:rPr>
              <w:t xml:space="preserve">Only AMC with: (1) Live AIF credibility anchor; (2) Real Return Dashboard; (3) MF→SIF customer journey; (4) Published Conviction Delta Score</w:t>
            </w:r>
          </w:p>
        </w:tc>
      </w:tr>
    </w:tbl>
    <w:p>
      <w:pPr>
        <w:pStyle w:val="Heading2"/>
        <w:spacing w:before="320" w:after="120"/>
      </w:pPr>
      <w:r>
        <w:rPr>
          <w:rFonts w:ascii="Arial" w:cs="Arial" w:eastAsia="Arial" w:hAnsi="Arial"/>
          <w:b/>
          <w:bCs/>
          <w:color w:val="1D5FA6"/>
          <w:sz w:val="27"/>
          <w:szCs w:val="27"/>
        </w:rPr>
        <w:t xml:space="preserve">7.2 Honest Assessment: Helios Is the Real Competitive Threat</w:t>
      </w:r>
    </w:p>
    <w:p>
      <w:pPr>
        <w:spacing w:before="80" w:after="80"/>
      </w:pPr>
      <w:r>
        <w:rPr>
          <w:rFonts w:ascii="Arial" w:cs="Arial" w:eastAsia="Arial" w:hAnsi="Arial"/>
          <w:color w:val="1C1C1E"/>
          <w:sz w:val="21"/>
          <w:szCs w:val="21"/>
        </w:rPr>
        <w:t xml:space="preserve">Helios is the most credible competitive threat because it is pursuing a similar thesis — conviction-first, pedigree-backed — with a similar AUM trajectory and similar investor profile. Samir Arora's 26+ year long-side and 15+ year short-side track record is arguably a stronger individual credibility signal than Monarch's AIF.</w:t>
      </w:r>
    </w:p>
    <w:p>
      <w:pPr>
        <w:spacing w:before="80" w:after="80"/>
      </w:pPr>
      <w:r>
        <w:rPr>
          <w:rFonts w:ascii="Arial" w:cs="Arial" w:eastAsia="Arial" w:hAnsi="Arial"/>
          <w:color w:val="1C1C1E"/>
          <w:sz w:val="21"/>
          <w:szCs w:val="21"/>
        </w:rPr>
        <w:t xml:space="preserve">Where Monarch wins over Helios:</w:t>
      </w:r>
    </w:p>
    <w:p>
      <w:pPr>
        <w:pStyle w:val="ListParagraph"/>
        <w:numPr>
          <w:ilvl w:val="0"/>
          <w:numId w:val="2"/>
        </w:numPr>
        <w:spacing w:before="40" w:after="40"/>
      </w:pPr>
      <w:r>
        <w:rPr>
          <w:rFonts w:ascii="Arial" w:cs="Arial" w:eastAsia="Arial" w:hAnsi="Arial"/>
          <w:b/>
          <w:bCs/>
          <w:color w:val="0E2040"/>
          <w:sz w:val="21"/>
          <w:szCs w:val="21"/>
        </w:rPr>
        <w:t xml:space="preserve">Warm AUM base: </w:t>
      </w:r>
      <w:r>
        <w:rPr>
          <w:rFonts w:ascii="Arial" w:cs="Arial" w:eastAsia="Arial" w:hAnsi="Arial"/>
          <w:color w:val="1C1C1E"/>
          <w:sz w:val="21"/>
          <w:szCs w:val="21"/>
        </w:rPr>
        <w:t xml:space="preserve">Monarch's 300,000 existing clients provide a warm base Helios never had. Helios built from zero. This difference alone could account for 2–3 years of AUM trajectory advantage.</w:t>
      </w:r>
    </w:p>
    <w:p>
      <w:pPr>
        <w:pStyle w:val="ListParagraph"/>
        <w:numPr>
          <w:ilvl w:val="0"/>
          <w:numId w:val="2"/>
        </w:numPr>
        <w:spacing w:before="40" w:after="40"/>
      </w:pPr>
      <w:r>
        <w:rPr>
          <w:rFonts w:ascii="Arial" w:cs="Arial" w:eastAsia="Arial" w:hAnsi="Arial"/>
          <w:b/>
          <w:bCs/>
          <w:color w:val="0E2040"/>
          <w:sz w:val="21"/>
          <w:szCs w:val="21"/>
        </w:rPr>
        <w:t xml:space="preserve">Real Return Dashboard: </w:t>
      </w:r>
      <w:r>
        <w:rPr>
          <w:rFonts w:ascii="Arial" w:cs="Arial" w:eastAsia="Arial" w:hAnsi="Arial"/>
          <w:color w:val="1C1C1E"/>
          <w:sz w:val="21"/>
          <w:szCs w:val="21"/>
        </w:rPr>
        <w:t xml:space="preserve">Helios does not have this. They cannot easily adopt it without confidence in their own post-tax metrics at their current BER structure.</w:t>
      </w:r>
    </w:p>
    <w:p>
      <w:pPr>
        <w:pStyle w:val="ListParagraph"/>
        <w:numPr>
          <w:ilvl w:val="0"/>
          <w:numId w:val="2"/>
        </w:numPr>
        <w:spacing w:before="40" w:after="40"/>
      </w:pPr>
      <w:r>
        <w:rPr>
          <w:rFonts w:ascii="Arial" w:cs="Arial" w:eastAsia="Arial" w:hAnsi="Arial"/>
          <w:b/>
          <w:bCs/>
          <w:color w:val="0E2040"/>
          <w:sz w:val="21"/>
          <w:szCs w:val="21"/>
        </w:rPr>
        <w:t xml:space="preserve">Three-tier architecture: </w:t>
      </w:r>
      <w:r>
        <w:rPr>
          <w:rFonts w:ascii="Arial" w:cs="Arial" w:eastAsia="Arial" w:hAnsi="Arial"/>
          <w:color w:val="1C1C1E"/>
          <w:sz w:val="21"/>
          <w:szCs w:val="21"/>
        </w:rPr>
        <w:t xml:space="preserve">Helios has no AIF at the apex of the journey. The MF → SIF → AIF narrative is unavailable to them.</w:t>
      </w:r>
    </w:p>
    <w:p>
      <w:pPr>
        <w:pStyle w:val="ListParagraph"/>
        <w:numPr>
          <w:ilvl w:val="0"/>
          <w:numId w:val="2"/>
        </w:numPr>
        <w:spacing w:before="40" w:after="40"/>
      </w:pPr>
      <w:r>
        <w:rPr>
          <w:rFonts w:ascii="Arial" w:cs="Arial" w:eastAsia="Arial" w:hAnsi="Arial"/>
          <w:b/>
          <w:bCs/>
          <w:color w:val="0E2040"/>
          <w:sz w:val="21"/>
          <w:szCs w:val="21"/>
        </w:rPr>
        <w:t xml:space="preserve">Brand longevity: </w:t>
      </w:r>
      <w:r>
        <w:rPr>
          <w:rFonts w:ascii="Arial" w:cs="Arial" w:eastAsia="Arial" w:hAnsi="Arial"/>
          <w:color w:val="1C1C1E"/>
          <w:sz w:val="21"/>
          <w:szCs w:val="21"/>
        </w:rPr>
        <w:t xml:space="preserve">Samir Arora is the brand at Helios. Monarch has 30-year institutional brand that survives individual fund manager transitions.</w:t>
      </w:r>
    </w:p>
    <w:p>
      <w:pPr>
        <w:pStyle w:val="Heading2"/>
        <w:spacing w:before="320" w:after="120"/>
      </w:pPr>
      <w:r>
        <w:rPr>
          <w:rFonts w:ascii="Arial" w:cs="Arial" w:eastAsia="Arial" w:hAnsi="Arial"/>
          <w:b/>
          <w:bCs/>
          <w:color w:val="1D5FA6"/>
          <w:sz w:val="27"/>
          <w:szCs w:val="27"/>
        </w:rPr>
        <w:t xml:space="preserve">7.3 The Three-Layer Competitive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000"/>
        <w:gridCol w:w="2960"/>
      </w:tblGrid>
      <w:tr>
        <w:trPr>
          <w:tblHeader/>
        </w:trPr>
        <w:tc>
          <w:tcPr>
            <w:tcW w:type="dxa" w:w="22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Layer</w:t>
            </w:r>
          </w:p>
        </w:tc>
        <w:tc>
          <w:tcPr>
            <w:tcW w:type="dxa" w:w="12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Timeline</w:t>
            </w:r>
          </w:p>
        </w:tc>
        <w:tc>
          <w:tcPr>
            <w:tcW w:type="dxa" w:w="30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It Is</w:t>
            </w:r>
          </w:p>
        </w:tc>
        <w:tc>
          <w:tcPr>
            <w:tcW w:type="dxa" w:w="29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Durability</w:t>
            </w:r>
          </w:p>
        </w:tc>
      </w:tr>
      <w:tr>
        <w:tc>
          <w:tcPr>
            <w:tcW w:type="dxa" w:w="2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Layer 1: Trust Transfer</w:t>
            </w:r>
          </w:p>
        </w:tc>
        <w:tc>
          <w:tcPr>
            <w:tcW w:type="dxa" w:w="1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Year 1–2</w:t>
            </w:r>
          </w:p>
        </w:tc>
        <w:tc>
          <w:tcPr>
            <w:tcW w:type="dxa" w:w="3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30-year Monarch brand + AIF track record as marketing reference + 300,000-client warm base</w:t>
            </w:r>
          </w:p>
        </w:tc>
        <w:tc>
          <w:tcPr>
            <w:tcW w:type="dxa" w:w="29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Temporary. Decays as performance becomes the only relevant metric. Valuable as launch fuel only.</w:t>
            </w:r>
          </w:p>
        </w:tc>
      </w:tr>
      <w:tr>
        <w:tc>
          <w:tcPr>
            <w:tcW w:type="dxa" w:w="2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Layer 2: Process Verification</w:t>
            </w:r>
          </w:p>
        </w:tc>
        <w:tc>
          <w:tcPr>
            <w:tcW w:type="dxa" w:w="1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Year 3–5</w:t>
            </w:r>
          </w:p>
        </w:tc>
        <w:tc>
          <w:tcPr>
            <w:tcW w:type="dxa" w:w="3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3-year SEBI-audited, publicly available track record of concentrated outperformance. Real Return Dashboard with 12 quarters of comparative data. Educated investor base with structurally lower redemptions.</w:t>
            </w:r>
          </w:p>
        </w:tc>
        <w:tc>
          <w:tcPr>
            <w:tcW w:type="dxa" w:w="29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Strong and self-reinforcing. Takes time to build and cannot be manufactured. Lower redemptions = stable AUM = better economics = attracts better talent.</w:t>
            </w:r>
          </w:p>
        </w:tc>
      </w:tr>
      <w:tr>
        <w:tc>
          <w:tcPr>
            <w:tcW w:type="dxa" w:w="2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Layer 3: Community &amp; Transparency</w:t>
            </w:r>
          </w:p>
        </w:tc>
        <w:tc>
          <w:tcPr>
            <w:tcW w:type="dxa" w:w="1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Year 5+</w:t>
            </w:r>
          </w:p>
        </w:tc>
        <w:tc>
          <w:tcPr>
            <w:tcW w:type="dxa" w:w="3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Investors who held through one full market cycle (including a bad year) and stayed — because they understood the rationale — become advocates. Real Return Dashboard with 5 years of quarterly data becomes a proprietary, historically verified, compounding data asset.</w:t>
            </w:r>
          </w:p>
        </w:tc>
        <w:tc>
          <w:tcPr>
            <w:tcW w:type="dxa" w:w="29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Durable and asymmetric. New entrant cannot buy 5 years of quarterly dashboard data. Existing investor community becomes a self-referral engine.</w:t>
            </w:r>
          </w:p>
        </w:tc>
      </w:tr>
    </w:tbl>
    <w:p>
      <w:r>
        <w:br w:type="page"/>
      </w:r>
    </w:p>
    <w:p>
      <w:pPr>
        <w:pStyle w:val="Heading1"/>
        <w:pBdr>
          <w:bottom w:val="thick" w:color="1D5FA6" w:sz="6" w:space="4"/>
        </w:pBdr>
        <w:spacing w:before="480" w:after="200"/>
      </w:pPr>
      <w:r>
        <w:rPr>
          <w:rFonts w:ascii="Arial" w:cs="Arial" w:eastAsia="Arial" w:hAnsi="Arial"/>
          <w:b/>
          <w:bCs/>
          <w:color w:val="0E2040"/>
          <w:sz w:val="34"/>
          <w:szCs w:val="34"/>
        </w:rPr>
        <w:t xml:space="preserve">SECTION 8: REGULATORY COMPLIANCE — COMPLETE SEBI CHECKLIST</w:t>
      </w:r>
    </w:p>
    <w:p>
      <w:pPr>
        <w:spacing w:before="80" w:after="80"/>
      </w:pPr>
      <w:r>
        <w:rPr>
          <w:rFonts w:ascii="Arial" w:cs="Arial" w:eastAsia="Arial" w:hAnsi="Arial"/>
          <w:color w:val="1C1C1E"/>
          <w:sz w:val="21"/>
          <w:szCs w:val="21"/>
        </w:rPr>
        <w:t xml:space="preserve">Every aspect of this solution has been designed for full SEBI compliance. The goal of this section is to demonstrate to judges that the team has done the regulatory homework — not just at the surface level, but in the operational detail.</w:t>
      </w:r>
    </w:p>
    <w:p>
      <w:pPr>
        <w:spacing w:before="80" w:after="0"/>
      </w:pPr>
      <w:r>
        <w:rPr>
          <w:rFonts w:ascii="Arial" w:cs="Arial" w:eastAsia="Arial" w:hAnsi="Arial"/>
          <w:color w:val="1C1C1E"/>
          <w:sz w:val="21"/>
          <w:szCs w:val="21"/>
        </w:rPr>
        <w:t xml:space="preserve"/>
      </w:r>
    </w:p>
    <w:p>
      <w:pPr>
        <w:pStyle w:val="Heading2"/>
        <w:spacing w:before="320" w:after="120"/>
      </w:pPr>
      <w:r>
        <w:rPr>
          <w:rFonts w:ascii="Arial" w:cs="Arial" w:eastAsia="Arial" w:hAnsi="Arial"/>
          <w:b/>
          <w:bCs/>
          <w:color w:val="1D5FA6"/>
          <w:sz w:val="27"/>
          <w:szCs w:val="27"/>
        </w:rPr>
        <w:t xml:space="preserve">8.1 AMC Setup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5460"/>
      </w:tblGrid>
      <w:tr>
        <w:trPr>
          <w:tblHeader/>
        </w:trPr>
        <w:tc>
          <w:tcPr>
            <w:tcW w:type="dxa" w:w="4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35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Requirement</w:t>
            </w:r>
          </w:p>
        </w:tc>
        <w:tc>
          <w:tcPr>
            <w:tcW w:type="dxa" w:w="54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Our Compliance</w:t>
            </w:r>
          </w:p>
        </w:tc>
      </w:tr>
      <w:tr>
        <w:tc>
          <w:tcPr>
            <w:tcW w:type="dxa" w:w="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c>
          <w:tcPr>
            <w:tcW w:type="dxa" w:w="3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Minimum networth: ₹150 crore</w:t>
            </w:r>
          </w:p>
        </w:tc>
        <w:tc>
          <w:tcPr>
            <w:tcW w:type="dxa" w:w="54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Monarch Networth ₹796 crore — 5.3x minimum</w:t>
            </w:r>
          </w:p>
        </w:tc>
      </w:tr>
      <w:tr>
        <w:tc>
          <w:tcPr>
            <w:tcW w:type="dxa" w:w="4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c>
          <w:tcPr>
            <w:tcW w:type="dxa" w:w="3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Sponsor stake: ≥40% for minimum 5 years</w:t>
            </w:r>
          </w:p>
        </w:tc>
        <w:tc>
          <w:tcPr>
            <w:tcW w:type="dxa" w:w="54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Monarch Networth Capital as sole sponsor</w:t>
            </w:r>
          </w:p>
        </w:tc>
      </w:tr>
      <w:tr>
        <w:tc>
          <w:tcPr>
            <w:tcW w:type="dxa" w:w="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c>
          <w:tcPr>
            <w:tcW w:type="dxa" w:w="3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Fit and proper: No adverse SEBI enforcement history</w:t>
            </w:r>
          </w:p>
        </w:tc>
        <w:tc>
          <w:tcPr>
            <w:tcW w:type="dxa" w:w="54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30-year listed company, clean regulatory record</w:t>
            </w:r>
          </w:p>
        </w:tc>
      </w:tr>
      <w:tr>
        <w:tc>
          <w:tcPr>
            <w:tcW w:type="dxa" w:w="4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c>
          <w:tcPr>
            <w:tcW w:type="dxa" w:w="3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Separate Trustee Company required</w:t>
            </w:r>
          </w:p>
        </w:tc>
        <w:tc>
          <w:tcPr>
            <w:tcW w:type="dxa" w:w="54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To be incorporated; standard structure</w:t>
            </w:r>
          </w:p>
        </w:tc>
      </w:tr>
      <w:tr>
        <w:tc>
          <w:tcPr>
            <w:tcW w:type="dxa" w:w="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c>
          <w:tcPr>
            <w:tcW w:type="dxa" w:w="3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SEBI in-principle approval received</w:t>
            </w:r>
          </w:p>
        </w:tc>
        <w:tc>
          <w:tcPr>
            <w:tcW w:type="dxa" w:w="54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July 2025 — process already initiated</w:t>
            </w:r>
          </w:p>
        </w:tc>
      </w:tr>
      <w:tr>
        <w:tc>
          <w:tcPr>
            <w:tcW w:type="dxa" w:w="4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c>
          <w:tcPr>
            <w:tcW w:type="dxa" w:w="3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Dedicated fund manager per scheme (no dual AIF/MF designation)</w:t>
            </w:r>
          </w:p>
        </w:tc>
        <w:tc>
          <w:tcPr>
            <w:tcW w:type="dxa" w:w="54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Separate dedicated MF team hired; no overlap with AIF</w:t>
            </w:r>
          </w:p>
        </w:tc>
      </w:tr>
    </w:tbl>
    <w:p>
      <w:pPr>
        <w:pStyle w:val="Heading2"/>
        <w:spacing w:before="320" w:after="120"/>
      </w:pPr>
      <w:r>
        <w:rPr>
          <w:rFonts w:ascii="Arial" w:cs="Arial" w:eastAsia="Arial" w:hAnsi="Arial"/>
          <w:b/>
          <w:bCs/>
          <w:color w:val="1D5FA6"/>
          <w:sz w:val="27"/>
          <w:szCs w:val="27"/>
        </w:rPr>
        <w:t xml:space="preserve">8.2 Fund Categorisation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5460"/>
      </w:tblGrid>
      <w:tr>
        <w:trPr>
          <w:tblHeader/>
        </w:trPr>
        <w:tc>
          <w:tcPr>
            <w:tcW w:type="dxa" w:w="4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35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Requirement</w:t>
            </w:r>
          </w:p>
        </w:tc>
        <w:tc>
          <w:tcPr>
            <w:tcW w:type="dxa" w:w="54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Our Compliance</w:t>
            </w:r>
          </w:p>
        </w:tc>
      </w:tr>
      <w:tr>
        <w:tc>
          <w:tcPr>
            <w:tcW w:type="dxa" w:w="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c>
          <w:tcPr>
            <w:tcW w:type="dxa" w:w="3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One fund per category (SEBI mandate)</w:t>
            </w:r>
          </w:p>
        </w:tc>
        <w:tc>
          <w:tcPr>
            <w:tcW w:type="dxa" w:w="54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Three different categories: Focused Fund + Flexi Cap + Thematic — no conflict</w:t>
            </w:r>
          </w:p>
        </w:tc>
      </w:tr>
      <w:tr>
        <w:tc>
          <w:tcPr>
            <w:tcW w:type="dxa" w:w="4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c>
          <w:tcPr>
            <w:tcW w:type="dxa" w:w="3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Focused Fund: maximum 30 stocks</w:t>
            </w:r>
          </w:p>
        </w:tc>
        <w:tc>
          <w:tcPr>
            <w:tcW w:type="dxa" w:w="54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Our design: 20–25 stocks — well within limit</w:t>
            </w:r>
          </w:p>
        </w:tc>
      </w:tr>
      <w:tr>
        <w:tc>
          <w:tcPr>
            <w:tcW w:type="dxa" w:w="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c>
          <w:tcPr>
            <w:tcW w:type="dxa" w:w="3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Flexi Cap: minimum 65% equity maintained</w:t>
            </w:r>
          </w:p>
        </w:tc>
        <w:tc>
          <w:tcPr>
            <w:tcW w:type="dxa" w:w="54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Yes — pure equity mandate</w:t>
            </w:r>
          </w:p>
        </w:tc>
      </w:tr>
      <w:tr>
        <w:tc>
          <w:tcPr>
            <w:tcW w:type="dxa" w:w="4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c>
          <w:tcPr>
            <w:tcW w:type="dxa" w:w="3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Thematic Fund: minimum 80% in defined theme</w:t>
            </w:r>
          </w:p>
        </w:tc>
        <w:tc>
          <w:tcPr>
            <w:tcW w:type="dxa" w:w="54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India Transition theme defined; all securities in renewable energy, energy efficiency, EV ecosystem, water/waste — all qualify</w:t>
            </w:r>
          </w:p>
        </w:tc>
      </w:tr>
      <w:tr>
        <w:tc>
          <w:tcPr>
            <w:tcW w:type="dxa" w:w="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c>
          <w:tcPr>
            <w:tcW w:type="dxa" w:w="3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BER caps (Active Equity): 0.80% direct well below 2.10% max</w:t>
            </w:r>
          </w:p>
        </w:tc>
        <w:tc>
          <w:tcPr>
            <w:tcW w:type="dxa" w:w="54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Direct plans at 0.75–1.00%; large buffer</w:t>
            </w:r>
          </w:p>
        </w:tc>
      </w:tr>
      <w:tr>
        <w:tc>
          <w:tcPr>
            <w:tcW w:type="dxa" w:w="4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c>
          <w:tcPr>
            <w:tcW w:type="dxa" w:w="3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Direct plan mandatory alongside regular plan</w:t>
            </w:r>
          </w:p>
        </w:tc>
        <w:tc>
          <w:tcPr>
            <w:tcW w:type="dxa" w:w="54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Both plans offered for every scheme</w:t>
            </w:r>
          </w:p>
        </w:tc>
      </w:tr>
      <w:tr>
        <w:tc>
          <w:tcPr>
            <w:tcW w:type="dxa" w:w="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c>
          <w:tcPr>
            <w:tcW w:type="dxa" w:w="3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Trail commission only (no upfront fees)</w:t>
            </w:r>
          </w:p>
        </w:tc>
        <w:tc>
          <w:tcPr>
            <w:tcW w:type="dxa" w:w="54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Zero upfront commissions; trail only via RIA channel</w:t>
            </w:r>
          </w:p>
        </w:tc>
      </w:tr>
    </w:tbl>
    <w:p>
      <w:pPr>
        <w:pStyle w:val="Heading2"/>
        <w:spacing w:before="320" w:after="120"/>
      </w:pPr>
      <w:r>
        <w:rPr>
          <w:rFonts w:ascii="Arial" w:cs="Arial" w:eastAsia="Arial" w:hAnsi="Arial"/>
          <w:b/>
          <w:bCs/>
          <w:color w:val="1D5FA6"/>
          <w:sz w:val="27"/>
          <w:szCs w:val="27"/>
        </w:rPr>
        <w:t xml:space="preserve">8.3 SIF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5460"/>
      </w:tblGrid>
      <w:tr>
        <w:trPr>
          <w:tblHeader/>
        </w:trPr>
        <w:tc>
          <w:tcPr>
            <w:tcW w:type="dxa" w:w="4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35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Requirement</w:t>
            </w:r>
          </w:p>
        </w:tc>
        <w:tc>
          <w:tcPr>
            <w:tcW w:type="dxa" w:w="54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Our Compliance</w:t>
            </w:r>
          </w:p>
        </w:tc>
      </w:tr>
      <w:tr>
        <w:tc>
          <w:tcPr>
            <w:tcW w:type="dxa" w:w="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c>
          <w:tcPr>
            <w:tcW w:type="dxa" w:w="3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Route 2 eligibility: CIO with ≥10yr and ≥₹5,000cr AUM track record</w:t>
            </w:r>
          </w:p>
        </w:tc>
        <w:tc>
          <w:tcPr>
            <w:tcW w:type="dxa" w:w="54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Hired Month 1–3 before NFO; specific action item</w:t>
            </w:r>
          </w:p>
        </w:tc>
      </w:tr>
      <w:tr>
        <w:tc>
          <w:tcPr>
            <w:tcW w:type="dxa" w:w="4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c>
          <w:tcPr>
            <w:tcW w:type="dxa" w:w="3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Minimum ₹10 lakh per investor per PAN across all SIF strategies</w:t>
            </w:r>
          </w:p>
        </w:tc>
        <w:tc>
          <w:tcPr>
            <w:tcW w:type="dxa" w:w="54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Hardcoded product minimum; cannot invest below this</w:t>
            </w:r>
          </w:p>
        </w:tc>
      </w:tr>
      <w:tr>
        <w:tc>
          <w:tcPr>
            <w:tcW w:type="dxa" w:w="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c>
          <w:tcPr>
            <w:tcW w:type="dxa" w:w="3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Maximum 20,000 investors across AMC's SIF strategies</w:t>
            </w:r>
          </w:p>
        </w:tc>
        <w:tc>
          <w:tcPr>
            <w:tcW w:type="dxa" w:w="54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Not breached in Years 1–5; Year 5 SIF AUM ₹1,800 crore at avg ₹25L = 7,200 investors</w:t>
            </w:r>
          </w:p>
        </w:tc>
      </w:tr>
      <w:tr>
        <w:tc>
          <w:tcPr>
            <w:tcW w:type="dxa" w:w="4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c>
          <w:tcPr>
            <w:tcW w:type="dxa" w:w="3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Investment Strategy Information Document (ISID) before launch</w:t>
            </w:r>
          </w:p>
        </w:tc>
        <w:tc>
          <w:tcPr>
            <w:tcW w:type="dxa" w:w="54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Prepared Month 12–15 prior to SIF NFO</w:t>
            </w:r>
          </w:p>
        </w:tc>
      </w:tr>
      <w:tr>
        <w:tc>
          <w:tcPr>
            <w:tcW w:type="dxa" w:w="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c>
          <w:tcPr>
            <w:tcW w:type="dxa" w:w="3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Quarterly / semi-annual liquidity structure</w:t>
            </w:r>
          </w:p>
        </w:tc>
        <w:tc>
          <w:tcPr>
            <w:tcW w:type="dxa" w:w="54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Compliant; quarterly redemption windows</w:t>
            </w:r>
          </w:p>
        </w:tc>
      </w:tr>
    </w:tbl>
    <w:p>
      <w:pPr>
        <w:pStyle w:val="Heading2"/>
        <w:spacing w:before="320" w:after="120"/>
      </w:pPr>
      <w:r>
        <w:rPr>
          <w:rFonts w:ascii="Arial" w:cs="Arial" w:eastAsia="Arial" w:hAnsi="Arial"/>
          <w:b/>
          <w:bCs/>
          <w:color w:val="1D5FA6"/>
          <w:sz w:val="27"/>
          <w:szCs w:val="27"/>
        </w:rPr>
        <w:t xml:space="preserve">8.4 AIF Constraint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5460"/>
      </w:tblGrid>
      <w:tr>
        <w:trPr>
          <w:tblHeader/>
        </w:trPr>
        <w:tc>
          <w:tcPr>
            <w:tcW w:type="dxa" w:w="4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35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Constraint</w:t>
            </w:r>
          </w:p>
        </w:tc>
        <w:tc>
          <w:tcPr>
            <w:tcW w:type="dxa" w:w="54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Resolution</w:t>
            </w:r>
          </w:p>
        </w:tc>
      </w:tr>
      <w:tr>
        <w:tc>
          <w:tcPr>
            <w:tcW w:type="dxa" w:w="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c>
          <w:tcPr>
            <w:tcW w:type="dxa" w:w="3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No use of AIF as alternative structure in AMC</w:t>
            </w:r>
          </w:p>
        </w:tc>
        <w:tc>
          <w:tcPr>
            <w:tcW w:type="dxa" w:w="54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AIF is referenced only as a historical marketing fact — analogous to any AMC citing the prior employer track record of its fund managers. Not integrated into AMC value chain.</w:t>
            </w:r>
          </w:p>
        </w:tc>
      </w:tr>
      <w:tr>
        <w:tc>
          <w:tcPr>
            <w:tcW w:type="dxa" w:w="4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c>
          <w:tcPr>
            <w:tcW w:type="dxa" w:w="3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No shared fund managers between AIF and MF schemes</w:t>
            </w:r>
          </w:p>
        </w:tc>
        <w:tc>
          <w:tcPr>
            <w:tcW w:type="dxa" w:w="54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Separate dedicated MF team hired; no dual designation permitted or planned</w:t>
            </w:r>
          </w:p>
        </w:tc>
      </w:tr>
      <w:tr>
        <w:tc>
          <w:tcPr>
            <w:tcW w:type="dxa" w:w="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c>
          <w:tcPr>
            <w:tcW w:type="dxa" w:w="3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No commingling of AIF and MF assets</w:t>
            </w:r>
          </w:p>
        </w:tc>
        <w:tc>
          <w:tcPr>
            <w:tcW w:type="dxa" w:w="54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Legally impossible under SEBI's trust structure; operationally confirmed as separate entities</w:t>
            </w:r>
          </w:p>
        </w:tc>
      </w:tr>
    </w:tbl>
    <w:p>
      <w:r>
        <w:br w:type="page"/>
      </w:r>
    </w:p>
    <w:p>
      <w:pPr>
        <w:pStyle w:val="Heading1"/>
        <w:pBdr>
          <w:bottom w:val="thick" w:color="1D5FA6" w:sz="6" w:space="4"/>
        </w:pBdr>
        <w:spacing w:before="480" w:after="200"/>
      </w:pPr>
      <w:r>
        <w:rPr>
          <w:rFonts w:ascii="Arial" w:cs="Arial" w:eastAsia="Arial" w:hAnsi="Arial"/>
          <w:b/>
          <w:bCs/>
          <w:color w:val="0E2040"/>
          <w:sz w:val="34"/>
          <w:szCs w:val="34"/>
        </w:rPr>
        <w:t xml:space="preserve">SECTION 9: RISK REGISTER — SIX RISKS WITH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000"/>
        <w:gridCol w:w="900"/>
        <w:gridCol w:w="3460"/>
      </w:tblGrid>
      <w:tr>
        <w:trPr>
          <w:tblHeader/>
        </w:trPr>
        <w:tc>
          <w:tcPr>
            <w:tcW w:type="dxa" w:w="16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Risk</w:t>
            </w:r>
          </w:p>
        </w:tc>
        <w:tc>
          <w:tcPr>
            <w:tcW w:type="dxa" w:w="24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10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Probability</w:t>
            </w:r>
          </w:p>
        </w:tc>
        <w:tc>
          <w:tcPr>
            <w:tcW w:type="dxa" w:w="9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Impact</w:t>
            </w:r>
          </w:p>
        </w:tc>
        <w:tc>
          <w:tcPr>
            <w:tcW w:type="dxa" w:w="34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Mitigation</w:t>
            </w:r>
          </w:p>
        </w:tc>
      </w:tr>
      <w:tr>
        <w:tc>
          <w:tcPr>
            <w:tcW w:type="dxa" w:w="16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Key Person Risk</w:t>
            </w:r>
          </w:p>
        </w:tc>
        <w:tc>
          <w:tcPr>
            <w:tcW w:type="dxa" w:w="2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Lead MF fund manager leaves in Year 1–2. AUM follows the person, not the brand — especially with a small new AMC.</w:t>
            </w:r>
          </w:p>
        </w:tc>
        <w:tc>
          <w:tcPr>
            <w:tcW w:type="dxa" w:w="1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Medium</w:t>
            </w:r>
          </w:p>
        </w:tc>
        <w:tc>
          <w:tcPr>
            <w:tcW w:type="dxa" w:w="9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High</w:t>
            </w:r>
          </w:p>
        </w:tc>
        <w:tc>
          <w:tcPr>
            <w:tcW w:type="dxa" w:w="34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Investment committee model: minimum 3 people on every major investment decision. 4-year equity vesting for fund management team. Documented, transferable investment process in writing. Conviction letters written by team, not individual.</w:t>
            </w:r>
          </w:p>
        </w:tc>
      </w:tr>
      <w:tr>
        <w:tc>
          <w:tcPr>
            <w:tcW w:type="dxa" w:w="16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Short-Term Performance Risk</w:t>
            </w:r>
          </w:p>
        </w:tc>
        <w:tc>
          <w:tcPr>
            <w:tcW w:type="dxa" w:w="24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25-stock portfolio will have bad years. In a year when the index gains 18%, a concentrated portfolio in 5 underperforming stocks could look poor versus benchmark.</w:t>
            </w:r>
          </w:p>
        </w:tc>
        <w:tc>
          <w:tcPr>
            <w:tcW w:type="dxa" w:w="1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High (inevitable)</w:t>
            </w:r>
          </w:p>
        </w:tc>
        <w:tc>
          <w:tcPr>
            <w:tcW w:type="dxa" w:w="9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Medium</w:t>
            </w:r>
          </w:p>
        </w:tc>
        <w:tc>
          <w:tcPr>
            <w:tcW w:type="dxa" w:w="34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Pre-select investors who explicitly understand and accept 5-7 year horizon. Quarterly letters set explicit expectations before any bad quarter occurs. Real Return Dashboard contextualizes bad years in 3–5 year framework. SIP structure smooths entry-point risk.</w:t>
            </w:r>
          </w:p>
        </w:tc>
      </w:tr>
      <w:tr>
        <w:tc>
          <w:tcPr>
            <w:tcW w:type="dxa" w:w="16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AUM Ramp Slower Than Conservative Case</w:t>
            </w:r>
          </w:p>
        </w:tc>
        <w:tc>
          <w:tcPr>
            <w:tcW w:type="dxa" w:w="2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Year 1 AUM of ₹250 crore instead of ₹410 crore conservative case — if warm conversions disappoint and digital platforms underperform.</w:t>
            </w:r>
          </w:p>
        </w:tc>
        <w:tc>
          <w:tcPr>
            <w:tcW w:type="dxa" w:w="1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Low–Medium</w:t>
            </w:r>
          </w:p>
        </w:tc>
        <w:tc>
          <w:tcPr>
            <w:tcW w:type="dxa" w:w="9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Medium</w:t>
            </w:r>
          </w:p>
        </w:tc>
        <w:tc>
          <w:tcPr>
            <w:tcW w:type="dxa" w:w="34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Monarch's ₹796 crore networth means 7 years of extended losses at ₹80 crore total is 10% of networth. Survivable indefinitely. Breakeven delayed to Year 5–6 but the business model remains valid.</w:t>
            </w:r>
          </w:p>
        </w:tc>
      </w:tr>
      <w:tr>
        <w:tc>
          <w:tcPr>
            <w:tcW w:type="dxa" w:w="16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Regulatory Change Risk</w:t>
            </w:r>
          </w:p>
        </w:tc>
        <w:tc>
          <w:tcPr>
            <w:tcW w:type="dxa" w:w="24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SEBI changes BER caps, SIF framework, or fund categorization rules in ways that affect our model.</w:t>
            </w:r>
          </w:p>
        </w:tc>
        <w:tc>
          <w:tcPr>
            <w:tcW w:type="dxa" w:w="1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Low</w:t>
            </w:r>
          </w:p>
        </w:tc>
        <w:tc>
          <w:tcPr>
            <w:tcW w:type="dxa" w:w="9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Medium</w:t>
            </w:r>
          </w:p>
        </w:tc>
        <w:tc>
          <w:tcPr>
            <w:tcW w:type="dxa" w:w="34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Our moat is trust and track record — not regulatory arbitrage. If SEBI reduces BER caps, it hurts all AMCs equally and advantages direct-first models over distributor-dependent ones. Real Return Dashboard is a voluntary disclosure — no regulatory risk.</w:t>
            </w:r>
          </w:p>
        </w:tc>
      </w:tr>
      <w:tr>
        <w:tc>
          <w:tcPr>
            <w:tcW w:type="dxa" w:w="16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Bear Market at NFO Launch</w:t>
            </w:r>
          </w:p>
        </w:tc>
        <w:tc>
          <w:tcPr>
            <w:tcW w:type="dxa" w:w="2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NFO launches into a severe bear market (30%+ index drawdown). Retail sentiment collapses, NFO subscriptions disappoint.</w:t>
            </w:r>
          </w:p>
        </w:tc>
        <w:tc>
          <w:tcPr>
            <w:tcW w:type="dxa" w:w="1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Low–Medium</w:t>
            </w:r>
          </w:p>
        </w:tc>
        <w:tc>
          <w:tcPr>
            <w:tcW w:type="dxa" w:w="9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Medium</w:t>
            </w:r>
          </w:p>
        </w:tc>
        <w:tc>
          <w:tcPr>
            <w:tcW w:type="dxa" w:w="34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SIP-focused collection strategy (not lumpsum-dependent). Targeting existing equity investors who understand cycles. Soft close prevents pressure to maximize lumpy NFO. Bad markets historically produce the best long-term conviction investors.</w:t>
            </w:r>
          </w:p>
        </w:tc>
      </w:tr>
      <w:tr>
        <w:tc>
          <w:tcPr>
            <w:tcW w:type="dxa" w:w="16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Competitive Response — Real Return Dashboard Adoption</w:t>
            </w:r>
          </w:p>
        </w:tc>
        <w:tc>
          <w:tcPr>
            <w:tcW w:type="dxa" w:w="24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Helios, WhiteOak, or a new entrant adopts a similar post-tax transparency model within 12–18 months of our launch.</w:t>
            </w:r>
          </w:p>
        </w:tc>
        <w:tc>
          <w:tcPr>
            <w:tcW w:type="dxa" w:w="1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Medium</w:t>
            </w:r>
          </w:p>
        </w:tc>
        <w:tc>
          <w:tcPr>
            <w:tcW w:type="dxa" w:w="9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Low</w:t>
            </w:r>
          </w:p>
        </w:tc>
        <w:tc>
          <w:tcPr>
            <w:tcW w:type="dxa" w:w="34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First-mover data advantage: our 3-year quarterly series is non-replicable without waiting 3 years. File 'Monarch Real Return Dashboard' as trademark. Competitor adoption actually validates our thesis and grows the market for conviction investors.</w:t>
            </w:r>
          </w:p>
        </w:tc>
      </w:tr>
    </w:tbl>
    <w:p>
      <w:r>
        <w:br w:type="page"/>
      </w:r>
    </w:p>
    <w:p>
      <w:pPr>
        <w:pStyle w:val="Heading1"/>
        <w:pBdr>
          <w:bottom w:val="thick" w:color="1D5FA6" w:sz="6" w:space="4"/>
        </w:pBdr>
        <w:spacing w:before="480" w:after="200"/>
      </w:pPr>
      <w:r>
        <w:rPr>
          <w:rFonts w:ascii="Arial" w:cs="Arial" w:eastAsia="Arial" w:hAnsi="Arial"/>
          <w:b/>
          <w:bCs/>
          <w:color w:val="0E2040"/>
          <w:sz w:val="34"/>
          <w:szCs w:val="34"/>
        </w:rPr>
        <w:t xml:space="preserve">SECTION 10: FIVE-YEAR FINANCIAL PROJECTIONS</w:t>
      </w:r>
    </w:p>
    <w:p>
      <w:pPr>
        <w:pStyle w:val="Heading2"/>
        <w:spacing w:before="320" w:after="120"/>
      </w:pPr>
      <w:r>
        <w:rPr>
          <w:rFonts w:ascii="Arial" w:cs="Arial" w:eastAsia="Arial" w:hAnsi="Arial"/>
          <w:b/>
          <w:bCs/>
          <w:color w:val="1D5FA6"/>
          <w:sz w:val="27"/>
          <w:szCs w:val="27"/>
        </w:rPr>
        <w:t xml:space="preserve">10.1 Base Case Projections</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500"/>
        <w:gridCol w:w="1500"/>
        <w:gridCol w:w="1200"/>
        <w:gridCol w:w="1100"/>
        <w:gridCol w:w="960"/>
      </w:tblGrid>
      <w:tr>
        <w:trPr>
          <w:tblHeader/>
        </w:trPr>
        <w:tc>
          <w:tcPr>
            <w:tcW w:type="dxa" w:w="12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14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MF AUM (₹cr)</w:t>
            </w:r>
          </w:p>
        </w:tc>
        <w:tc>
          <w:tcPr>
            <w:tcW w:type="dxa" w:w="14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SIF AUM (₹cr)</w:t>
            </w:r>
          </w:p>
        </w:tc>
        <w:tc>
          <w:tcPr>
            <w:tcW w:type="dxa" w:w="15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Total AUM (₹cr)</w:t>
            </w:r>
          </w:p>
        </w:tc>
        <w:tc>
          <w:tcPr>
            <w:tcW w:type="dxa" w:w="15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Revenue (₹cr)</w:t>
            </w:r>
          </w:p>
        </w:tc>
        <w:tc>
          <w:tcPr>
            <w:tcW w:type="dxa" w:w="12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Costs (₹cr)</w:t>
            </w:r>
          </w:p>
        </w:tc>
        <w:tc>
          <w:tcPr>
            <w:tcW w:type="dxa" w:w="11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PBT (₹cr)</w:t>
            </w:r>
          </w:p>
        </w:tc>
        <w:tc>
          <w:tcPr>
            <w:tcW w:type="dxa" w:w="9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Margin</w:t>
            </w:r>
          </w:p>
        </w:tc>
      </w:tr>
      <w:tr>
        <w:tc>
          <w:tcPr>
            <w:tcW w:type="dxa" w:w="1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FY27 Year 1</w:t>
            </w:r>
          </w:p>
        </w:tc>
        <w:tc>
          <w:tcPr>
            <w:tcW w:type="dxa" w:w="1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700</w:t>
            </w:r>
          </w:p>
        </w:tc>
        <w:tc>
          <w:tcPr>
            <w:tcW w:type="dxa" w:w="1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c>
          <w:tcPr>
            <w:tcW w:type="dxa" w:w="1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700</w:t>
            </w:r>
          </w:p>
        </w:tc>
        <w:tc>
          <w:tcPr>
            <w:tcW w:type="dxa" w:w="1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5.1</w:t>
            </w:r>
          </w:p>
        </w:tc>
        <w:tc>
          <w:tcPr>
            <w:tcW w:type="dxa" w:w="1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18.5</w:t>
            </w:r>
          </w:p>
        </w:tc>
        <w:tc>
          <w:tcPr>
            <w:tcW w:type="dxa" w:w="11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8B1A1A"/>
                <w:sz w:val="18"/>
                <w:szCs w:val="18"/>
              </w:rPr>
              <w:t xml:space="preserve">(13.4)</w:t>
            </w:r>
          </w:p>
        </w:tc>
        <w:tc>
          <w:tcPr>
            <w:tcW w:type="dxa" w:w="9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r>
      <w:tr>
        <w:tc>
          <w:tcPr>
            <w:tcW w:type="dxa" w:w="1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FY28 Year 2</w:t>
            </w:r>
          </w:p>
        </w:tc>
        <w:tc>
          <w:tcPr>
            <w:tcW w:type="dxa" w:w="14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1,200</w:t>
            </w:r>
          </w:p>
        </w:tc>
        <w:tc>
          <w:tcPr>
            <w:tcW w:type="dxa" w:w="14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300</w:t>
            </w:r>
          </w:p>
        </w:tc>
        <w:tc>
          <w:tcPr>
            <w:tcW w:type="dxa" w:w="1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1,500</w:t>
            </w:r>
          </w:p>
        </w:tc>
        <w:tc>
          <w:tcPr>
            <w:tcW w:type="dxa" w:w="1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11.0</w:t>
            </w:r>
          </w:p>
        </w:tc>
        <w:tc>
          <w:tcPr>
            <w:tcW w:type="dxa" w:w="1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20.5</w:t>
            </w:r>
          </w:p>
        </w:tc>
        <w:tc>
          <w:tcPr>
            <w:tcW w:type="dxa" w:w="11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8B1A1A"/>
                <w:sz w:val="18"/>
                <w:szCs w:val="18"/>
              </w:rPr>
              <w:t xml:space="preserve">(9.5)</w:t>
            </w:r>
          </w:p>
        </w:tc>
        <w:tc>
          <w:tcPr>
            <w:tcW w:type="dxa" w:w="9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r>
      <w:tr>
        <w:tc>
          <w:tcPr>
            <w:tcW w:type="dxa" w:w="1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FY29 Year 3</w:t>
            </w:r>
          </w:p>
        </w:tc>
        <w:tc>
          <w:tcPr>
            <w:tcW w:type="dxa" w:w="1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1,800</w:t>
            </w:r>
          </w:p>
        </w:tc>
        <w:tc>
          <w:tcPr>
            <w:tcW w:type="dxa" w:w="1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600</w:t>
            </w:r>
          </w:p>
        </w:tc>
        <w:tc>
          <w:tcPr>
            <w:tcW w:type="dxa" w:w="1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2,400</w:t>
            </w:r>
          </w:p>
        </w:tc>
        <w:tc>
          <w:tcPr>
            <w:tcW w:type="dxa" w:w="1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17.5</w:t>
            </w:r>
          </w:p>
        </w:tc>
        <w:tc>
          <w:tcPr>
            <w:tcW w:type="dxa" w:w="1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21.5</w:t>
            </w:r>
          </w:p>
        </w:tc>
        <w:tc>
          <w:tcPr>
            <w:tcW w:type="dxa" w:w="11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C25B0A"/>
                <w:sz w:val="18"/>
                <w:szCs w:val="18"/>
              </w:rPr>
              <w:t xml:space="preserve">(4.0)</w:t>
            </w:r>
          </w:p>
        </w:tc>
        <w:tc>
          <w:tcPr>
            <w:tcW w:type="dxa" w:w="9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r>
      <w:tr>
        <w:tc>
          <w:tcPr>
            <w:tcW w:type="dxa" w:w="1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FY30 Year 4</w:t>
            </w:r>
          </w:p>
        </w:tc>
        <w:tc>
          <w:tcPr>
            <w:tcW w:type="dxa" w:w="14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2,600</w:t>
            </w:r>
          </w:p>
        </w:tc>
        <w:tc>
          <w:tcPr>
            <w:tcW w:type="dxa" w:w="14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1,000</w:t>
            </w:r>
          </w:p>
        </w:tc>
        <w:tc>
          <w:tcPr>
            <w:tcW w:type="dxa" w:w="1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3,600</w:t>
            </w:r>
          </w:p>
        </w:tc>
        <w:tc>
          <w:tcPr>
            <w:tcW w:type="dxa" w:w="1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26.3</w:t>
            </w:r>
          </w:p>
        </w:tc>
        <w:tc>
          <w:tcPr>
            <w:tcW w:type="dxa" w:w="1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22.5</w:t>
            </w:r>
          </w:p>
        </w:tc>
        <w:tc>
          <w:tcPr>
            <w:tcW w:type="dxa" w:w="11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6B3C"/>
                <w:sz w:val="18"/>
                <w:szCs w:val="18"/>
              </w:rPr>
              <w:t xml:space="preserve">3.8</w:t>
            </w:r>
          </w:p>
        </w:tc>
        <w:tc>
          <w:tcPr>
            <w:tcW w:type="dxa" w:w="9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14%</w:t>
            </w:r>
          </w:p>
        </w:tc>
      </w:tr>
      <w:tr>
        <w:tc>
          <w:tcPr>
            <w:tcW w:type="dxa" w:w="1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FY31 Year 5</w:t>
            </w:r>
          </w:p>
        </w:tc>
        <w:tc>
          <w:tcPr>
            <w:tcW w:type="dxa" w:w="1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3,800</w:t>
            </w:r>
          </w:p>
        </w:tc>
        <w:tc>
          <w:tcPr>
            <w:tcW w:type="dxa" w:w="1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1,800</w:t>
            </w:r>
          </w:p>
        </w:tc>
        <w:tc>
          <w:tcPr>
            <w:tcW w:type="dxa" w:w="1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5,600</w:t>
            </w:r>
          </w:p>
        </w:tc>
        <w:tc>
          <w:tcPr>
            <w:tcW w:type="dxa" w:w="1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40.9</w:t>
            </w:r>
          </w:p>
        </w:tc>
        <w:tc>
          <w:tcPr>
            <w:tcW w:type="dxa" w:w="1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24.0</w:t>
            </w:r>
          </w:p>
        </w:tc>
        <w:tc>
          <w:tcPr>
            <w:tcW w:type="dxa" w:w="11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1A6B3C"/>
                <w:sz w:val="18"/>
                <w:szCs w:val="18"/>
              </w:rPr>
              <w:t xml:space="preserve">16.9</w:t>
            </w:r>
          </w:p>
        </w:tc>
        <w:tc>
          <w:tcPr>
            <w:tcW w:type="dxa" w:w="9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1A6B3C"/>
                <w:sz w:val="18"/>
                <w:szCs w:val="18"/>
              </w:rPr>
              <w:t xml:space="preserve">41%</w:t>
            </w:r>
          </w:p>
        </w:tc>
      </w:tr>
    </w:tbl>
    <w:p>
      <w:pPr>
        <w:spacing w:before="80" w:after="80"/>
      </w:pPr>
      <w:r>
        <w:rPr>
          <w:rFonts w:ascii="Arial" w:cs="Arial" w:eastAsia="Arial" w:hAnsi="Arial"/>
          <w:i/>
          <w:iCs/>
          <w:color w:val="4A4A4A"/>
          <w:sz w:val="21"/>
          <w:szCs w:val="21"/>
        </w:rPr>
        <w:t xml:space="preserve">Cumulative losses FY27–FY29: ~₹27 crore = 3.4% of Monarch's ₹796 crore networth. Fully recovered by FY30.</w:t>
      </w:r>
    </w:p>
    <w:p>
      <w:pPr>
        <w:spacing w:before="80" w:after="0"/>
      </w:pPr>
      <w:r>
        <w:rPr>
          <w:rFonts w:ascii="Arial" w:cs="Arial" w:eastAsia="Arial" w:hAnsi="Arial"/>
          <w:color w:val="1C1C1E"/>
          <w:sz w:val="21"/>
          <w:szCs w:val="21"/>
        </w:rPr>
        <w:t xml:space="preserve"/>
      </w:r>
    </w:p>
    <w:p>
      <w:pPr>
        <w:pStyle w:val="Heading2"/>
        <w:spacing w:before="320" w:after="120"/>
      </w:pPr>
      <w:r>
        <w:rPr>
          <w:rFonts w:ascii="Arial" w:cs="Arial" w:eastAsia="Arial" w:hAnsi="Arial"/>
          <w:b/>
          <w:bCs/>
          <w:color w:val="1D5FA6"/>
          <w:sz w:val="27"/>
          <w:szCs w:val="27"/>
        </w:rPr>
        <w:t xml:space="preserve">10.2 Conservative Case Projections</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500"/>
        <w:gridCol w:w="1500"/>
        <w:gridCol w:w="1200"/>
        <w:gridCol w:w="1100"/>
        <w:gridCol w:w="960"/>
      </w:tblGrid>
      <w:tr>
        <w:trPr>
          <w:tblHeader/>
        </w:trPr>
        <w:tc>
          <w:tcPr>
            <w:tcW w:type="dxa" w:w="12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Year</w:t>
            </w:r>
          </w:p>
        </w:tc>
        <w:tc>
          <w:tcPr>
            <w:tcW w:type="dxa" w:w="14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MF AUM (₹cr)</w:t>
            </w:r>
          </w:p>
        </w:tc>
        <w:tc>
          <w:tcPr>
            <w:tcW w:type="dxa" w:w="14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SIF AUM (₹cr)</w:t>
            </w:r>
          </w:p>
        </w:tc>
        <w:tc>
          <w:tcPr>
            <w:tcW w:type="dxa" w:w="15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Total AUM (₹cr)</w:t>
            </w:r>
          </w:p>
        </w:tc>
        <w:tc>
          <w:tcPr>
            <w:tcW w:type="dxa" w:w="15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Revenue (₹cr)</w:t>
            </w:r>
          </w:p>
        </w:tc>
        <w:tc>
          <w:tcPr>
            <w:tcW w:type="dxa" w:w="12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Costs (₹cr)</w:t>
            </w:r>
          </w:p>
        </w:tc>
        <w:tc>
          <w:tcPr>
            <w:tcW w:type="dxa" w:w="11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PBT (₹cr)</w:t>
            </w:r>
          </w:p>
        </w:tc>
        <w:tc>
          <w:tcPr>
            <w:tcW w:type="dxa" w:w="9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Margin</w:t>
            </w:r>
          </w:p>
        </w:tc>
      </w:tr>
      <w:tr>
        <w:tc>
          <w:tcPr>
            <w:tcW w:type="dxa" w:w="1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FY27 Year 1</w:t>
            </w:r>
          </w:p>
        </w:tc>
        <w:tc>
          <w:tcPr>
            <w:tcW w:type="dxa" w:w="1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410</w:t>
            </w:r>
          </w:p>
        </w:tc>
        <w:tc>
          <w:tcPr>
            <w:tcW w:type="dxa" w:w="1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c>
          <w:tcPr>
            <w:tcW w:type="dxa" w:w="1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410</w:t>
            </w:r>
          </w:p>
        </w:tc>
        <w:tc>
          <w:tcPr>
            <w:tcW w:type="dxa" w:w="1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3.0</w:t>
            </w:r>
          </w:p>
        </w:tc>
        <w:tc>
          <w:tcPr>
            <w:tcW w:type="dxa" w:w="1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18.0</w:t>
            </w:r>
          </w:p>
        </w:tc>
        <w:tc>
          <w:tcPr>
            <w:tcW w:type="dxa" w:w="11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8B1A1A"/>
                <w:sz w:val="18"/>
                <w:szCs w:val="18"/>
              </w:rPr>
              <w:t xml:space="preserve">(15.0)</w:t>
            </w:r>
          </w:p>
        </w:tc>
        <w:tc>
          <w:tcPr>
            <w:tcW w:type="dxa" w:w="9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r>
      <w:tr>
        <w:tc>
          <w:tcPr>
            <w:tcW w:type="dxa" w:w="1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FY28 Year 2</w:t>
            </w:r>
          </w:p>
        </w:tc>
        <w:tc>
          <w:tcPr>
            <w:tcW w:type="dxa" w:w="14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800</w:t>
            </w:r>
          </w:p>
        </w:tc>
        <w:tc>
          <w:tcPr>
            <w:tcW w:type="dxa" w:w="14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150</w:t>
            </w:r>
          </w:p>
        </w:tc>
        <w:tc>
          <w:tcPr>
            <w:tcW w:type="dxa" w:w="1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950</w:t>
            </w:r>
          </w:p>
        </w:tc>
        <w:tc>
          <w:tcPr>
            <w:tcW w:type="dxa" w:w="1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6.9</w:t>
            </w:r>
          </w:p>
        </w:tc>
        <w:tc>
          <w:tcPr>
            <w:tcW w:type="dxa" w:w="1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19.5</w:t>
            </w:r>
          </w:p>
        </w:tc>
        <w:tc>
          <w:tcPr>
            <w:tcW w:type="dxa" w:w="11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8B1A1A"/>
                <w:sz w:val="18"/>
                <w:szCs w:val="18"/>
              </w:rPr>
              <w:t xml:space="preserve">(12.6)</w:t>
            </w:r>
          </w:p>
        </w:tc>
        <w:tc>
          <w:tcPr>
            <w:tcW w:type="dxa" w:w="9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r>
      <w:tr>
        <w:tc>
          <w:tcPr>
            <w:tcW w:type="dxa" w:w="1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FY29 Year 3</w:t>
            </w:r>
          </w:p>
        </w:tc>
        <w:tc>
          <w:tcPr>
            <w:tcW w:type="dxa" w:w="1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1,300</w:t>
            </w:r>
          </w:p>
        </w:tc>
        <w:tc>
          <w:tcPr>
            <w:tcW w:type="dxa" w:w="1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350</w:t>
            </w:r>
          </w:p>
        </w:tc>
        <w:tc>
          <w:tcPr>
            <w:tcW w:type="dxa" w:w="1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1,650</w:t>
            </w:r>
          </w:p>
        </w:tc>
        <w:tc>
          <w:tcPr>
            <w:tcW w:type="dxa" w:w="1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12.0</w:t>
            </w:r>
          </w:p>
        </w:tc>
        <w:tc>
          <w:tcPr>
            <w:tcW w:type="dxa" w:w="1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20.5</w:t>
            </w:r>
          </w:p>
        </w:tc>
        <w:tc>
          <w:tcPr>
            <w:tcW w:type="dxa" w:w="11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8B1A1A"/>
                <w:sz w:val="18"/>
                <w:szCs w:val="18"/>
              </w:rPr>
              <w:t xml:space="preserve">(8.5)</w:t>
            </w:r>
          </w:p>
        </w:tc>
        <w:tc>
          <w:tcPr>
            <w:tcW w:type="dxa" w:w="9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r>
      <w:tr>
        <w:tc>
          <w:tcPr>
            <w:tcW w:type="dxa" w:w="1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FY30 Year 4</w:t>
            </w:r>
          </w:p>
        </w:tc>
        <w:tc>
          <w:tcPr>
            <w:tcW w:type="dxa" w:w="14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1,900</w:t>
            </w:r>
          </w:p>
        </w:tc>
        <w:tc>
          <w:tcPr>
            <w:tcW w:type="dxa" w:w="14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600</w:t>
            </w:r>
          </w:p>
        </w:tc>
        <w:tc>
          <w:tcPr>
            <w:tcW w:type="dxa" w:w="1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2,500</w:t>
            </w:r>
          </w:p>
        </w:tc>
        <w:tc>
          <w:tcPr>
            <w:tcW w:type="dxa" w:w="1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18.3</w:t>
            </w:r>
          </w:p>
        </w:tc>
        <w:tc>
          <w:tcPr>
            <w:tcW w:type="dxa" w:w="12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21.5</w:t>
            </w:r>
          </w:p>
        </w:tc>
        <w:tc>
          <w:tcPr>
            <w:tcW w:type="dxa" w:w="11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C25B0A"/>
                <w:sz w:val="18"/>
                <w:szCs w:val="18"/>
              </w:rPr>
              <w:t xml:space="preserve">(3.2)</w:t>
            </w:r>
          </w:p>
        </w:tc>
        <w:tc>
          <w:tcPr>
            <w:tcW w:type="dxa" w:w="9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t>
            </w:r>
          </w:p>
        </w:tc>
      </w:tr>
      <w:tr>
        <w:tc>
          <w:tcPr>
            <w:tcW w:type="dxa" w:w="1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FY31 Year 5</w:t>
            </w:r>
          </w:p>
        </w:tc>
        <w:tc>
          <w:tcPr>
            <w:tcW w:type="dxa" w:w="1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2,800</w:t>
            </w:r>
          </w:p>
        </w:tc>
        <w:tc>
          <w:tcPr>
            <w:tcW w:type="dxa" w:w="14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1,000</w:t>
            </w:r>
          </w:p>
        </w:tc>
        <w:tc>
          <w:tcPr>
            <w:tcW w:type="dxa" w:w="1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3,800</w:t>
            </w:r>
          </w:p>
        </w:tc>
        <w:tc>
          <w:tcPr>
            <w:tcW w:type="dxa" w:w="1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27.7</w:t>
            </w:r>
          </w:p>
        </w:tc>
        <w:tc>
          <w:tcPr>
            <w:tcW w:type="dxa" w:w="12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1C1C1E"/>
                <w:sz w:val="18"/>
                <w:szCs w:val="18"/>
              </w:rPr>
              <w:t xml:space="preserve">23.0</w:t>
            </w:r>
          </w:p>
        </w:tc>
        <w:tc>
          <w:tcPr>
            <w:tcW w:type="dxa" w:w="11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1A6B3C"/>
                <w:sz w:val="18"/>
                <w:szCs w:val="18"/>
              </w:rPr>
              <w:t xml:space="preserve">4.7</w:t>
            </w:r>
          </w:p>
        </w:tc>
        <w:tc>
          <w:tcPr>
            <w:tcW w:type="dxa" w:w="9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bCs/>
                <w:color w:val="1A6B3C"/>
                <w:sz w:val="18"/>
                <w:szCs w:val="18"/>
              </w:rPr>
              <w:t xml:space="preserve">17%</w:t>
            </w:r>
          </w:p>
        </w:tc>
      </w:tr>
    </w:tbl>
    <w:p>
      <w:pPr>
        <w:spacing w:before="80" w:after="80"/>
      </w:pPr>
      <w:r>
        <w:rPr>
          <w:rFonts w:ascii="Arial" w:cs="Arial" w:eastAsia="Arial" w:hAnsi="Arial"/>
          <w:i/>
          <w:iCs/>
          <w:color w:val="4A4A4A"/>
          <w:sz w:val="21"/>
          <w:szCs w:val="21"/>
        </w:rPr>
        <w:t xml:space="preserve">Conservative case: ₹3,800 crore AUM in Year 5. Cumulative losses FY27–FY31: ~₹34 crore = 4.3% of networth. Clear profitability trajectory by Year 6–7.</w:t>
      </w:r>
    </w:p>
    <w:p>
      <w:pPr>
        <w:spacing w:before="80" w:after="0"/>
      </w:pPr>
      <w:r>
        <w:rPr>
          <w:rFonts w:ascii="Arial" w:cs="Arial" w:eastAsia="Arial" w:hAnsi="Arial"/>
          <w:color w:val="1C1C1E"/>
          <w:sz w:val="21"/>
          <w:szCs w:val="21"/>
        </w:rPr>
        <w:t xml:space="preserve"/>
      </w:r>
    </w:p>
    <w:p>
      <w:pPr>
        <w:pStyle w:val="Heading2"/>
        <w:spacing w:before="320" w:after="120"/>
      </w:pPr>
      <w:r>
        <w:rPr>
          <w:rFonts w:ascii="Arial" w:cs="Arial" w:eastAsia="Arial" w:hAnsi="Arial"/>
          <w:b/>
          <w:bCs/>
          <w:color w:val="1D5FA6"/>
          <w:sz w:val="27"/>
          <w:szCs w:val="27"/>
        </w:rPr>
        <w:t xml:space="preserve">10.3 Key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Assumption</w:t>
            </w:r>
          </w:p>
        </w:tc>
        <w:tc>
          <w:tcPr>
            <w:tcW w:type="dxa" w:w="30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Base Case Value</w:t>
            </w:r>
          </w:p>
        </w:tc>
        <w:tc>
          <w:tcPr>
            <w:tcW w:type="dxa" w:w="33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Conservative Case Value</w:t>
            </w:r>
          </w:p>
        </w:tc>
      </w:tr>
      <w:tr>
        <w:tc>
          <w:tcPr>
            <w:tcW w:type="dxa" w:w="3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Blended AMC net retention (MF)</w:t>
            </w:r>
          </w:p>
        </w:tc>
        <w:tc>
          <w:tcPr>
            <w:tcW w:type="dxa" w:w="3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0.73%</w:t>
            </w:r>
          </w:p>
        </w:tc>
        <w:tc>
          <w:tcPr>
            <w:tcW w:type="dxa" w:w="3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0.73%</w:t>
            </w:r>
          </w:p>
        </w:tc>
      </w:tr>
      <w:tr>
        <w:tc>
          <w:tcPr>
            <w:tcW w:type="dxa" w:w="3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SIF BER (direct / regular)</w:t>
            </w:r>
          </w:p>
        </w:tc>
        <w:tc>
          <w:tcPr>
            <w:tcW w:type="dxa" w:w="3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1.00% / 1.80%</w:t>
            </w:r>
          </w:p>
        </w:tc>
        <w:tc>
          <w:tcPr>
            <w:tcW w:type="dxa" w:w="3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1.00% / 1.80%</w:t>
            </w:r>
          </w:p>
        </w:tc>
      </w:tr>
      <w:tr>
        <w:tc>
          <w:tcPr>
            <w:tcW w:type="dxa" w:w="3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MF AUM growth (Year 1–3)</w:t>
            </w:r>
          </w:p>
        </w:tc>
        <w:tc>
          <w:tcPr>
            <w:tcW w:type="dxa" w:w="3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~45% CAGR (off warm base)</w:t>
            </w:r>
          </w:p>
        </w:tc>
        <w:tc>
          <w:tcPr>
            <w:tcW w:type="dxa" w:w="3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~25% CAGR</w:t>
            </w:r>
          </w:p>
        </w:tc>
      </w:tr>
      <w:tr>
        <w:tc>
          <w:tcPr>
            <w:tcW w:type="dxa" w:w="3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MF AUM growth (Year 3–5)</w:t>
            </w:r>
          </w:p>
        </w:tc>
        <w:tc>
          <w:tcPr>
            <w:tcW w:type="dxa" w:w="3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~35% CAGR</w:t>
            </w:r>
          </w:p>
        </w:tc>
        <w:tc>
          <w:tcPr>
            <w:tcW w:type="dxa" w:w="3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~20% CAGR</w:t>
            </w:r>
          </w:p>
        </w:tc>
      </w:tr>
      <w:tr>
        <w:tc>
          <w:tcPr>
            <w:tcW w:type="dxa" w:w="3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SIF CIO hire timing</w:t>
            </w:r>
          </w:p>
        </w:tc>
        <w:tc>
          <w:tcPr>
            <w:tcW w:type="dxa" w:w="3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Month 1 (before NFO)</w:t>
            </w:r>
          </w:p>
        </w:tc>
        <w:tc>
          <w:tcPr>
            <w:tcW w:type="dxa" w:w="3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Month 1 (before NFO)</w:t>
            </w:r>
          </w:p>
        </w:tc>
      </w:tr>
      <w:tr>
        <w:tc>
          <w:tcPr>
            <w:tcW w:type="dxa" w:w="3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SIF launch timing</w:t>
            </w:r>
          </w:p>
        </w:tc>
        <w:tc>
          <w:tcPr>
            <w:tcW w:type="dxa" w:w="3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Month 15–18</w:t>
            </w:r>
          </w:p>
        </w:tc>
        <w:tc>
          <w:tcPr>
            <w:tcW w:type="dxa" w:w="3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Month 18–24</w:t>
            </w:r>
          </w:p>
        </w:tc>
      </w:tr>
      <w:tr>
        <w:tc>
          <w:tcPr>
            <w:tcW w:type="dxa" w:w="3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Digital platforms empanelled</w:t>
            </w:r>
          </w:p>
        </w:tc>
        <w:tc>
          <w:tcPr>
            <w:tcW w:type="dxa" w:w="3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Month 1 (Kuvera, MFCentral, ET Money Pro)</w:t>
            </w:r>
          </w:p>
        </w:tc>
        <w:tc>
          <w:tcPr>
            <w:tcW w:type="dxa" w:w="3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Month 1</w:t>
            </w:r>
          </w:p>
        </w:tc>
      </w:tr>
      <w:tr>
        <w:tc>
          <w:tcPr>
            <w:tcW w:type="dxa" w:w="3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Cost inflation (annual)</w:t>
            </w:r>
          </w:p>
        </w:tc>
        <w:tc>
          <w:tcPr>
            <w:tcW w:type="dxa" w:w="3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5%</w:t>
            </w:r>
          </w:p>
        </w:tc>
        <w:tc>
          <w:tcPr>
            <w:tcW w:type="dxa" w:w="3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5%</w:t>
            </w:r>
          </w:p>
        </w:tc>
      </w:tr>
      <w:tr>
        <w:tc>
          <w:tcPr>
            <w:tcW w:type="dxa" w:w="3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Channel mix at Year 2</w:t>
            </w:r>
          </w:p>
        </w:tc>
        <w:tc>
          <w:tcPr>
            <w:tcW w:type="dxa" w:w="3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65% direct / 35% RIA-referred</w:t>
            </w:r>
          </w:p>
        </w:tc>
        <w:tc>
          <w:tcPr>
            <w:tcW w:type="dxa" w:w="3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55% direct / 45% RIA-referred</w:t>
            </w:r>
          </w:p>
        </w:tc>
      </w:tr>
    </w:tbl>
    <w:p>
      <w:r>
        <w:br w:type="page"/>
      </w:r>
    </w:p>
    <w:p>
      <w:pPr>
        <w:pStyle w:val="Heading1"/>
        <w:pBdr>
          <w:bottom w:val="thick" w:color="1D5FA6" w:sz="6" w:space="4"/>
        </w:pBdr>
        <w:spacing w:before="480" w:after="200"/>
      </w:pPr>
      <w:r>
        <w:rPr>
          <w:rFonts w:ascii="Arial" w:cs="Arial" w:eastAsia="Arial" w:hAnsi="Arial"/>
          <w:b/>
          <w:bCs/>
          <w:color w:val="0E2040"/>
          <w:sz w:val="34"/>
          <w:szCs w:val="34"/>
        </w:rPr>
        <w:t xml:space="preserve">SECTION 11: THE STRATEGIC COHERENCE TEST</w:t>
      </w:r>
    </w:p>
    <w:p>
      <w:pPr>
        <w:spacing w:before="80" w:after="80"/>
      </w:pPr>
      <w:r>
        <w:rPr>
          <w:rFonts w:ascii="Arial" w:cs="Arial" w:eastAsia="Arial" w:hAnsi="Arial"/>
          <w:color w:val="1C1C1E"/>
          <w:sz w:val="21"/>
          <w:szCs w:val="21"/>
        </w:rPr>
        <w:t xml:space="preserve">Before presenting, run every decision through this logic chain. If any arrow breaks, the argument breaks. This chain must be unassailable.</w:t>
      </w:r>
    </w:p>
    <w:p>
      <w:pPr>
        <w:spacing w:before="8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5FA6" w:sz="4"/>
              <w:left w:val="thick" w:color="1D5FA6" w:sz="20"/>
              <w:bottom w:val="single" w:color="1D5FA6" w:sz="4"/>
              <w:right w:val="single" w:color="1D5FA6" w:sz="4"/>
            </w:tcBorders>
            <w:shd w:fill="EEF5FC" w:val="clear"/>
            <w:tcMar>
              <w:top w:type="dxa" w:w="140"/>
              <w:left w:type="dxa" w:w="220"/>
              <w:bottom w:type="dxa" w:w="140"/>
              <w:right w:type="dxa" w:w="140"/>
            </w:tcMar>
          </w:tcPr>
          <w:p>
            <w:pPr>
              <w:spacing w:before="0" w:after="60"/>
            </w:pPr>
            <w:r>
              <w:rPr>
                <w:rFonts w:ascii="Arial" w:cs="Arial" w:eastAsia="Arial" w:hAnsi="Arial"/>
                <w:b/>
                <w:bCs/>
                <w:color w:val="0E2040"/>
                <w:sz w:val="22"/>
                <w:szCs w:val="22"/>
              </w:rPr>
              <w:t xml:space="preserve">The Complete Logic Chain</w:t>
            </w:r>
          </w:p>
          <w:p>
            <w:pPr>
              <w:spacing w:before="40" w:after="40"/>
            </w:pPr>
            <w:r>
              <w:rPr>
                <w:rFonts w:ascii="Arial" w:cs="Arial" w:eastAsia="Arial" w:hAnsi="Arial"/>
                <w:color w:val="1C1C1E"/>
                <w:sz w:val="20"/>
                <w:szCs w:val="20"/>
              </w:rPr>
              <w:t xml:space="preserve">THE TARGET: India's informed equity investor (₹5L–₹1Cr savings, financially literate, 3–7 years investing experience, wants conviction, understands tax efficiency)</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 THEY ARE UNDERSERVED BECAUSE:</w:t>
            </w:r>
          </w:p>
          <w:p>
            <w:pPr>
              <w:spacing w:before="40" w:after="40"/>
            </w:pPr>
            <w:r>
              <w:rPr>
                <w:rFonts w:ascii="Arial" w:cs="Arial" w:eastAsia="Arial" w:hAnsi="Arial"/>
                <w:color w:val="1C1C1E"/>
                <w:sz w:val="20"/>
                <w:szCs w:val="20"/>
              </w:rPr>
              <w:t xml:space="preserve">  • Large AMCs cannot concentrate (scale prison at ₹7L crore AUM)</w:t>
            </w:r>
          </w:p>
          <w:p>
            <w:pPr>
              <w:spacing w:before="40" w:after="40"/>
            </w:pPr>
            <w:r>
              <w:rPr>
                <w:rFonts w:ascii="Arial" w:cs="Arial" w:eastAsia="Arial" w:hAnsi="Arial"/>
                <w:color w:val="1C1C1E"/>
                <w:sz w:val="20"/>
                <w:szCs w:val="20"/>
              </w:rPr>
              <w:t xml:space="preserve">  • PMS/AIF gate at ₹50L/₹1Cr minimum locks them out</w:t>
            </w:r>
          </w:p>
          <w:p>
            <w:pPr>
              <w:spacing w:before="40" w:after="40"/>
            </w:pPr>
            <w:r>
              <w:rPr>
                <w:rFonts w:ascii="Arial" w:cs="Arial" w:eastAsia="Arial" w:hAnsi="Arial"/>
                <w:color w:val="1C1C1E"/>
                <w:sz w:val="20"/>
                <w:szCs w:val="20"/>
              </w:rPr>
              <w:t xml:space="preserve">  • No AMC publishes post-tax real returns — they cannot compare products honestly</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 OUR UNIQUE POSITION:</w:t>
            </w:r>
          </w:p>
          <w:p>
            <w:pPr>
              <w:spacing w:before="40" w:after="40"/>
            </w:pPr>
            <w:r>
              <w:rPr>
                <w:rFonts w:ascii="Arial" w:cs="Arial" w:eastAsia="Arial" w:hAnsi="Arial"/>
                <w:color w:val="1C1C1E"/>
                <w:sz w:val="20"/>
                <w:szCs w:val="20"/>
              </w:rPr>
              <w:t xml:space="preserve">  • Monarch's existing AIF = proven philosophy, SEBI-audited (marketing asset, not operational structure)</w:t>
            </w:r>
          </w:p>
          <w:p>
            <w:pPr>
              <w:spacing w:before="40" w:after="40"/>
            </w:pPr>
            <w:r>
              <w:rPr>
                <w:rFonts w:ascii="Arial" w:cs="Arial" w:eastAsia="Arial" w:hAnsi="Arial"/>
                <w:color w:val="1C1C1E"/>
                <w:sz w:val="20"/>
                <w:szCs w:val="20"/>
              </w:rPr>
              <w:t xml:space="preserve">  • Dedicated new MF team builds on same intellectual foundation</w:t>
            </w:r>
          </w:p>
          <w:p>
            <w:pPr>
              <w:spacing w:before="40" w:after="40"/>
            </w:pPr>
            <w:r>
              <w:rPr>
                <w:rFonts w:ascii="Arial" w:cs="Arial" w:eastAsia="Arial" w:hAnsi="Arial"/>
                <w:color w:val="1C1C1E"/>
                <w:sz w:val="20"/>
                <w:szCs w:val="20"/>
              </w:rPr>
              <w:t xml:space="preserve">  • Three-tier architecture: MF (₹500) → SIF (₹10L) → AIF (existing) = lifetime value journey</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 OUR SIGNATURE DIFFERENTIATOR:</w:t>
            </w:r>
          </w:p>
          <w:p>
            <w:pPr>
              <w:spacing w:before="40" w:after="40"/>
            </w:pPr>
            <w:r>
              <w:rPr>
                <w:rFonts w:ascii="Arial" w:cs="Arial" w:eastAsia="Arial" w:hAnsi="Arial"/>
                <w:color w:val="1C1C1E"/>
                <w:sz w:val="20"/>
                <w:szCs w:val="20"/>
              </w:rPr>
              <w:t xml:space="preserve">  • Real Return Dashboard = post-tax transparency no incumbent can match without self-exposure</w:t>
            </w:r>
          </w:p>
          <w:p>
            <w:pPr>
              <w:spacing w:before="40" w:after="40"/>
            </w:pPr>
            <w:r>
              <w:rPr>
                <w:rFonts w:ascii="Arial" w:cs="Arial" w:eastAsia="Arial" w:hAnsi="Arial"/>
                <w:color w:val="1C1C1E"/>
                <w:sz w:val="20"/>
                <w:szCs w:val="20"/>
              </w:rPr>
              <w:t xml:space="preserve">  • Conviction Delta Score = active share accountability, published quarterly</w:t>
            </w:r>
          </w:p>
          <w:p>
            <w:pPr>
              <w:spacing w:before="40" w:after="40"/>
            </w:pPr>
            <w:r>
              <w:rPr>
                <w:rFonts w:ascii="Arial" w:cs="Arial" w:eastAsia="Arial" w:hAnsi="Arial"/>
                <w:color w:val="1C1C1E"/>
                <w:sz w:val="20"/>
                <w:szCs w:val="20"/>
              </w:rPr>
              <w:t xml:space="preserve">  • Per-holding published investment thesis = investor education as retention strategy</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 OUR DISTRIBUTION ADVANTAGE:</w:t>
            </w:r>
          </w:p>
          <w:p>
            <w:pPr>
              <w:spacing w:before="40" w:after="40"/>
            </w:pPr>
            <w:r>
              <w:rPr>
                <w:rFonts w:ascii="Arial" w:cs="Arial" w:eastAsia="Arial" w:hAnsi="Arial"/>
                <w:color w:val="1C1C1E"/>
                <w:sz w:val="20"/>
                <w:szCs w:val="20"/>
              </w:rPr>
              <w:t xml:space="preserve">  • Month 1 digital platform empanelment (Kuvera, MFCentral, ET Money Pro)</w:t>
            </w:r>
          </w:p>
          <w:p>
            <w:pPr>
              <w:spacing w:before="40" w:after="40"/>
            </w:pPr>
            <w:r>
              <w:rPr>
                <w:rFonts w:ascii="Arial" w:cs="Arial" w:eastAsia="Arial" w:hAnsi="Arial"/>
                <w:color w:val="1C1C1E"/>
                <w:sz w:val="20"/>
                <w:szCs w:val="20"/>
              </w:rPr>
              <w:t xml:space="preserve">  • 300,000 existing Monarch clients = warm AUM base no competitor can replicate</w:t>
            </w:r>
          </w:p>
          <w:p>
            <w:pPr>
              <w:spacing w:before="40" w:after="40"/>
            </w:pPr>
            <w:r>
              <w:rPr>
                <w:rFonts w:ascii="Arial" w:cs="Arial" w:eastAsia="Arial" w:hAnsi="Arial"/>
                <w:color w:val="1C1C1E"/>
                <w:sz w:val="20"/>
                <w:szCs w:val="20"/>
              </w:rPr>
              <w:t xml:space="preserve">  • RIA channel = structurally aligned, grows as 3-year track record builds</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 OUR FINANCIAL DURABILITY:</w:t>
            </w:r>
          </w:p>
          <w:p>
            <w:pPr>
              <w:spacing w:before="40" w:after="40"/>
            </w:pPr>
            <w:r>
              <w:rPr>
                <w:rFonts w:ascii="Arial" w:cs="Arial" w:eastAsia="Arial" w:hAnsi="Arial"/>
                <w:color w:val="1C1C1E"/>
                <w:sz w:val="20"/>
                <w:szCs w:val="20"/>
              </w:rPr>
              <w:t xml:space="preserve">  • ₹796 crore networth sustains ₹27–34 crore cumulative losses comfortably</w:t>
            </w:r>
          </w:p>
          <w:p>
            <w:pPr>
              <w:spacing w:before="40" w:after="40"/>
            </w:pPr>
            <w:r>
              <w:rPr>
                <w:rFonts w:ascii="Arial" w:cs="Arial" w:eastAsia="Arial" w:hAnsi="Arial"/>
                <w:color w:val="1C1C1E"/>
                <w:sz w:val="20"/>
                <w:szCs w:val="20"/>
              </w:rPr>
              <w:t xml:space="preserve">  • Breakeven at ₹2,750 crore AUM (Year 3–4 base case)</w:t>
            </w:r>
          </w:p>
          <w:p>
            <w:pPr>
              <w:spacing w:before="40" w:after="40"/>
            </w:pPr>
            <w:r>
              <w:rPr>
                <w:rFonts w:ascii="Arial" w:cs="Arial" w:eastAsia="Arial" w:hAnsi="Arial"/>
                <w:color w:val="1C1C1E"/>
                <w:sz w:val="20"/>
                <w:szCs w:val="20"/>
              </w:rPr>
              <w:t xml:space="preserve">  • Operating leverage: 41%+ PAT margin at ₹5,600 crore AUM (Year 5)</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 WHY COMPETITORS CANNOT COPY:</w:t>
            </w:r>
          </w:p>
          <w:p>
            <w:pPr>
              <w:spacing w:before="40" w:after="40"/>
            </w:pPr>
            <w:r>
              <w:rPr>
                <w:rFonts w:ascii="Arial" w:cs="Arial" w:eastAsia="Arial" w:hAnsi="Arial"/>
                <w:color w:val="1C1C1E"/>
                <w:sz w:val="20"/>
                <w:szCs w:val="20"/>
              </w:rPr>
              <w:t xml:space="preserve">  • AIF track record is historical fact — cannot be manufactured in &lt;5 years</w:t>
            </w:r>
          </w:p>
          <w:p>
            <w:pPr>
              <w:spacing w:before="40" w:after="40"/>
            </w:pPr>
            <w:r>
              <w:rPr>
                <w:rFonts w:ascii="Arial" w:cs="Arial" w:eastAsia="Arial" w:hAnsi="Arial"/>
                <w:color w:val="1C1C1E"/>
                <w:sz w:val="20"/>
                <w:szCs w:val="20"/>
              </w:rPr>
              <w:t xml:space="preserve">  • 300,000-client base took decades to build</w:t>
            </w:r>
          </w:p>
          <w:p>
            <w:pPr>
              <w:spacing w:before="40" w:after="40"/>
            </w:pPr>
            <w:r>
              <w:rPr>
                <w:rFonts w:ascii="Arial" w:cs="Arial" w:eastAsia="Arial" w:hAnsi="Arial"/>
                <w:color w:val="1C1C1E"/>
                <w:sz w:val="20"/>
                <w:szCs w:val="20"/>
              </w:rPr>
              <w:t xml:space="preserve">  • Real Return Dashboard requires confidence in own post-tax performance — excludes high-fee, high-turnover incumbents</w:t>
            </w:r>
          </w:p>
          <w:p>
            <w:pPr>
              <w:spacing w:before="40" w:after="40"/>
            </w:pPr>
            <w:r>
              <w:rPr>
                <w:rFonts w:ascii="Arial" w:cs="Arial" w:eastAsia="Arial" w:hAnsi="Arial"/>
                <w:color w:val="1C1C1E"/>
                <w:sz w:val="20"/>
                <w:szCs w:val="20"/>
              </w:rPr>
              <w:t xml:space="preserve">  • Five-year quarterly dashboard data series is a compounding moat that grows every quarter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5FA6" w:val="clear"/>
            <w:tcMar>
              <w:top w:type="dxa" w:w="160"/>
              <w:left w:type="dxa" w:w="240"/>
              <w:bottom w:type="dxa" w:w="160"/>
              <w:right w:type="dxa" w:w="240"/>
            </w:tcMar>
          </w:tcPr>
          <w:p>
            <w:pPr>
              <w:jc w:val="center"/>
            </w:pPr>
            <w:r>
              <w:rPr>
                <w:rFonts w:ascii="Arial" w:cs="Arial" w:eastAsia="Arial" w:hAnsi="Arial"/>
                <w:b/>
                <w:bCs/>
                <w:color w:val="FFFFFF"/>
                <w:sz w:val="30"/>
                <w:szCs w:val="30"/>
              </w:rPr>
              <w:t xml:space="preserve">PART B: SLIDE-BY-SLIDE BLUEPRINT — ALL 11 SLIDES</w:t>
            </w:r>
          </w:p>
        </w:tc>
      </w:tr>
    </w:tbl>
    <w:p>
      <w:pPr>
        <w:spacing w:before="160" w:after="0"/>
      </w:pPr>
      <w:r>
        <w:rPr>
          <w:rFonts w:ascii="Arial" w:cs="Arial" w:eastAsia="Arial" w:hAnsi="Arial"/>
          <w:color w:val="1C1C1E"/>
          <w:sz w:val="21"/>
          <w:szCs w:val="21"/>
        </w:rPr>
        <w:t xml:space="preserve"/>
      </w:r>
    </w:p>
    <w:p>
      <w:pPr>
        <w:spacing w:before="80" w:after="80"/>
      </w:pPr>
      <w:r>
        <w:rPr>
          <w:rFonts w:ascii="Arial" w:cs="Arial" w:eastAsia="Arial" w:hAnsi="Arial"/>
          <w:color w:val="1C1C1E"/>
          <w:sz w:val="21"/>
          <w:szCs w:val="21"/>
        </w:rPr>
        <w:t xml:space="preserve">This section provides the complete slide-by-slide architecture, content blueprint, and data for each of the 11 allowed slides. Judges evaluate Presentation &amp; Communication as one of five criteria. Every slide must be visually argued — data callouts and frameworks, not prose paragraphs. Each slide should be readable in 30 seconds without narration.</w:t>
      </w:r>
    </w:p>
    <w:p>
      <w:pPr>
        <w:spacing w:before="80" w:after="80"/>
      </w:pPr>
      <w:r>
        <w:rPr>
          <w:rFonts w:ascii="Arial" w:cs="Arial" w:eastAsia="Arial" w:hAnsi="Arial"/>
          <w:b/>
          <w:bCs/>
          <w:color w:val="0E2040"/>
          <w:sz w:val="21"/>
          <w:szCs w:val="21"/>
        </w:rPr>
        <w:t xml:space="preserve">Format reminder: </w:t>
      </w:r>
      <w:r>
        <w:rPr>
          <w:rFonts w:ascii="Arial" w:cs="Arial" w:eastAsia="Arial" w:hAnsi="Arial"/>
          <w:color w:val="1C1C1E"/>
          <w:sz w:val="21"/>
          <w:szCs w:val="21"/>
        </w:rPr>
        <w:t xml:space="preserve">1 title slide + 6 body slides + 4 appendix slides = 11 maximum. The 6 body slides build a single cumulative argument: Problem → Position → Product → Economics → GTM → Why It Works.</w:t>
      </w:r>
    </w:p>
    <w:p>
      <w:pPr>
        <w:spacing w:before="16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2040" w:val="clear"/>
            <w:tcMar>
              <w:top w:type="dxa" w:w="180"/>
              <w:left w:type="dxa" w:w="240"/>
              <w:bottom w:type="dxa" w:w="180"/>
              <w:right w:type="dxa" w:w="240"/>
            </w:tcMar>
          </w:tcPr>
          <w:p>
            <w:pPr>
              <w:spacing w:before="0" w:after="40"/>
            </w:pPr>
            <w:r>
              <w:rPr>
                <w:rFonts w:ascii="Arial" w:cs="Arial" w:eastAsia="Arial" w:hAnsi="Arial"/>
                <w:b/>
                <w:bCs/>
                <w:color w:val="C9952A"/>
                <w:sz w:val="17"/>
                <w:szCs w:val="17"/>
              </w:rPr>
              <w:t xml:space="preserve">SLIDE 1  </w:t>
            </w:r>
            <w:r>
              <w:rPr>
                <w:rFonts w:ascii="Arial" w:cs="Arial" w:eastAsia="Arial" w:hAnsi="Arial"/>
                <w:b/>
                <w:bCs/>
                <w:color w:val="FFFFFF"/>
                <w:sz w:val="27"/>
                <w:szCs w:val="27"/>
              </w:rPr>
              <w:t xml:space="preserve">TITLE SLIDE</w:t>
            </w:r>
          </w:p>
          <w:p>
            <w:pPr>
              <w:spacing w:before="0" w:after="0"/>
            </w:pPr>
            <w:r>
              <w:rPr>
                <w:rFonts w:ascii="Arial" w:cs="Arial" w:eastAsia="Arial" w:hAnsi="Arial"/>
                <w:i/>
                <w:iCs/>
                <w:color w:val="AACCE0"/>
                <w:sz w:val="20"/>
                <w:szCs w:val="20"/>
              </w:rPr>
              <w:t xml:space="preserve">Opening — sets tone, thesis, and visual identity</w:t>
            </w:r>
          </w:p>
        </w:tc>
      </w:tr>
    </w:tbl>
    <w:p>
      <w:pPr>
        <w:spacing w:before="80" w:after="0"/>
      </w:pPr>
      <w:r>
        <w:rPr>
          <w:rFonts w:ascii="Arial" w:cs="Arial" w:eastAsia="Arial" w:hAnsi="Arial"/>
          <w:color w:val="1C1C1E"/>
          <w:sz w:val="21"/>
          <w:szCs w:val="21"/>
        </w:rPr>
        <w:t xml:space="preserve"/>
      </w:r>
    </w:p>
    <w:p>
      <w:pPr>
        <w:spacing w:before="220" w:after="80"/>
      </w:pPr>
      <w:r>
        <w:rPr>
          <w:rFonts w:ascii="Arial" w:cs="Arial" w:eastAsia="Arial" w:hAnsi="Arial"/>
          <w:b/>
          <w:bCs/>
          <w:color w:val="0E2040"/>
          <w:sz w:val="23"/>
          <w:szCs w:val="23"/>
        </w:rPr>
        <w:t xml:space="preserve">SLIDE CONTENT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5FA6" w:sz="4"/>
              <w:left w:val="thick" w:color="1D5FA6" w:sz="20"/>
              <w:bottom w:val="single" w:color="1D5FA6" w:sz="4"/>
              <w:right w:val="single" w:color="1D5FA6" w:sz="4"/>
            </w:tcBorders>
            <w:shd w:fill="EEF5FC" w:val="clear"/>
            <w:tcMar>
              <w:top w:type="dxa" w:w="140"/>
              <w:left w:type="dxa" w:w="220"/>
              <w:bottom w:type="dxa" w:w="140"/>
              <w:right w:type="dxa" w:w="140"/>
            </w:tcMar>
          </w:tcPr>
          <w:p>
            <w:pPr>
              <w:spacing w:before="0" w:after="60"/>
            </w:pPr>
            <w:r>
              <w:rPr>
                <w:rFonts w:ascii="Arial" w:cs="Arial" w:eastAsia="Arial" w:hAnsi="Arial"/>
                <w:b/>
                <w:bCs/>
                <w:color w:val="0E2040"/>
                <w:sz w:val="22"/>
                <w:szCs w:val="22"/>
              </w:rPr>
              <w:t xml:space="preserve">What Goes On This Slide</w:t>
            </w:r>
          </w:p>
          <w:p>
            <w:pPr>
              <w:spacing w:before="40" w:after="40"/>
            </w:pPr>
            <w:r>
              <w:rPr>
                <w:rFonts w:ascii="Arial" w:cs="Arial" w:eastAsia="Arial" w:hAnsi="Arial"/>
                <w:color w:val="1C1C1E"/>
                <w:sz w:val="20"/>
                <w:szCs w:val="20"/>
              </w:rPr>
              <w:t xml:space="preserve">TITLE (large, centered): 'Monarch Conviction AMC'</w:t>
            </w:r>
          </w:p>
          <w:p>
            <w:pPr>
              <w:spacing w:before="40" w:after="40"/>
            </w:pPr>
            <w:r>
              <w:rPr>
                <w:rFonts w:ascii="Arial" w:cs="Arial" w:eastAsia="Arial" w:hAnsi="Arial"/>
                <w:color w:val="1C1C1E"/>
                <w:sz w:val="20"/>
                <w:szCs w:val="20"/>
              </w:rPr>
              <w:t xml:space="preserve">SUBTITLE: 'Democratizing Institutional Equity. Delivering Radical Transparency.'</w:t>
            </w:r>
          </w:p>
          <w:p>
            <w:pPr>
              <w:spacing w:before="40" w:after="40"/>
            </w:pPr>
            <w:r>
              <w:rPr>
                <w:rFonts w:ascii="Arial" w:cs="Arial" w:eastAsia="Arial" w:hAnsi="Arial"/>
                <w:color w:val="1C1C1E"/>
                <w:sz w:val="20"/>
                <w:szCs w:val="20"/>
              </w:rPr>
              <w:t xml:space="preserve">EVENT LINE: 'Launchpad Alpha 2026  |  IIM Ahmedabad'</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VISUAL (center, simple): Three-tier architecture as an upward arrow graphic</w:t>
            </w:r>
          </w:p>
          <w:p>
            <w:pPr>
              <w:spacing w:before="40" w:after="40"/>
            </w:pPr>
            <w:r>
              <w:rPr>
                <w:rFonts w:ascii="Arial" w:cs="Arial" w:eastAsia="Arial" w:hAnsi="Arial"/>
                <w:color w:val="1C1C1E"/>
                <w:sz w:val="20"/>
                <w:szCs w:val="20"/>
              </w:rPr>
              <w:t xml:space="preserve">  — Base (widest): ₹500 → Monarch Conviction Fund / Quality Compounder</w:t>
            </w:r>
          </w:p>
          <w:p>
            <w:pPr>
              <w:spacing w:before="40" w:after="40"/>
            </w:pPr>
            <w:r>
              <w:rPr>
                <w:rFonts w:ascii="Arial" w:cs="Arial" w:eastAsia="Arial" w:hAnsi="Arial"/>
                <w:color w:val="1C1C1E"/>
                <w:sz w:val="20"/>
                <w:szCs w:val="20"/>
              </w:rPr>
              <w:t xml:space="preserve">  — Middle: ₹10L → Monarch Ultra Conviction SIF</w:t>
            </w:r>
          </w:p>
          <w:p>
            <w:pPr>
              <w:spacing w:before="40" w:after="40"/>
            </w:pPr>
            <w:r>
              <w:rPr>
                <w:rFonts w:ascii="Arial" w:cs="Arial" w:eastAsia="Arial" w:hAnsi="Arial"/>
                <w:color w:val="1C1C1E"/>
                <w:sz w:val="20"/>
                <w:szCs w:val="20"/>
              </w:rPr>
              <w:t xml:space="preserve">  — Apex (reference only): ₹1Cr → MNCL Capital Compounder AIF</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BOTTOM TAGLINE: 'The same investment process that built ₹1,000 crore in concentrated equity — now starting at ₹500.'</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DESIGN NOTES: Dark navy background. Minimal text. No data tables on this slide — impact only. Monarch logo top left.</w:t>
            </w:r>
          </w:p>
        </w:tc>
      </w:tr>
    </w:tbl>
    <w:p>
      <w:pPr>
        <w:spacing w:before="80" w:after="0"/>
      </w:pPr>
      <w:r>
        <w:rPr>
          <w:rFonts w:ascii="Arial" w:cs="Arial" w:eastAsia="Arial" w:hAnsi="Arial"/>
          <w:color w:val="1C1C1E"/>
          <w:sz w:val="21"/>
          <w:szCs w:val="21"/>
        </w:rPr>
        <w:t xml:space="preserve"/>
      </w:r>
    </w:p>
    <w:p>
      <w:pPr>
        <w:spacing w:before="160" w:after="60"/>
      </w:pPr>
      <w:r>
        <w:rPr>
          <w:rFonts w:ascii="Arial" w:cs="Arial" w:eastAsia="Arial" w:hAnsi="Arial"/>
          <w:b/>
          <w:bCs/>
          <w:i/>
          <w:iCs/>
          <w:color w:val="4A4A4A"/>
          <w:sz w:val="21"/>
          <w:szCs w:val="21"/>
        </w:rPr>
        <w:t xml:space="preserve">What This Slide Must Communicate (Before Anyone Reads a Word)</w:t>
      </w:r>
    </w:p>
    <w:p>
      <w:pPr>
        <w:pStyle w:val="ListParagraph"/>
        <w:numPr>
          <w:ilvl w:val="0"/>
          <w:numId w:val="2"/>
        </w:numPr>
        <w:spacing w:before="40" w:after="40"/>
      </w:pPr>
      <w:r>
        <w:rPr>
          <w:rFonts w:ascii="Arial" w:cs="Arial" w:eastAsia="Arial" w:hAnsi="Arial"/>
          <w:color w:val="1C1C1E"/>
          <w:sz w:val="21"/>
          <w:szCs w:val="21"/>
        </w:rPr>
        <w:t xml:space="preserve">This is an active conviction manager, not a mass-market indexer</w:t>
      </w:r>
    </w:p>
    <w:p>
      <w:pPr>
        <w:pStyle w:val="ListParagraph"/>
        <w:numPr>
          <w:ilvl w:val="0"/>
          <w:numId w:val="2"/>
        </w:numPr>
        <w:spacing w:before="40" w:after="40"/>
      </w:pPr>
      <w:r>
        <w:rPr>
          <w:rFonts w:ascii="Arial" w:cs="Arial" w:eastAsia="Arial" w:hAnsi="Arial"/>
          <w:color w:val="1C1C1E"/>
          <w:sz w:val="21"/>
          <w:szCs w:val="21"/>
        </w:rPr>
        <w:t xml:space="preserve">The thesis is democratization — making something exclusive accessible</w:t>
      </w:r>
    </w:p>
    <w:p>
      <w:pPr>
        <w:pStyle w:val="ListParagraph"/>
        <w:numPr>
          <w:ilvl w:val="0"/>
          <w:numId w:val="2"/>
        </w:numPr>
        <w:spacing w:before="40" w:after="40"/>
      </w:pPr>
      <w:r>
        <w:rPr>
          <w:rFonts w:ascii="Arial" w:cs="Arial" w:eastAsia="Arial" w:hAnsi="Arial"/>
          <w:color w:val="1C1C1E"/>
          <w:sz w:val="21"/>
          <w:szCs w:val="21"/>
        </w:rPr>
        <w:t xml:space="preserve">There is a hierarchy / journey — this is not a single-product AMC</w:t>
      </w:r>
    </w:p>
    <w:p>
      <w:pPr>
        <w:spacing w:before="16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2040" w:val="clear"/>
            <w:tcMar>
              <w:top w:type="dxa" w:w="180"/>
              <w:left w:type="dxa" w:w="240"/>
              <w:bottom w:type="dxa" w:w="180"/>
              <w:right w:type="dxa" w:w="240"/>
            </w:tcMar>
          </w:tcPr>
          <w:p>
            <w:pPr>
              <w:spacing w:before="0" w:after="40"/>
            </w:pPr>
            <w:r>
              <w:rPr>
                <w:rFonts w:ascii="Arial" w:cs="Arial" w:eastAsia="Arial" w:hAnsi="Arial"/>
                <w:b/>
                <w:bCs/>
                <w:color w:val="C9952A"/>
                <w:sz w:val="17"/>
                <w:szCs w:val="17"/>
              </w:rPr>
              <w:t xml:space="preserve">SLIDE 2  </w:t>
            </w:r>
            <w:r>
              <w:rPr>
                <w:rFonts w:ascii="Arial" w:cs="Arial" w:eastAsia="Arial" w:hAnsi="Arial"/>
                <w:b/>
                <w:bCs/>
                <w:color w:val="FFFFFF"/>
                <w:sz w:val="27"/>
                <w:szCs w:val="27"/>
              </w:rPr>
              <w:t xml:space="preserve">BODY SLIDE 1: THE STRUCTURAL PROBLEMS</w:t>
            </w:r>
          </w:p>
          <w:p>
            <w:pPr>
              <w:spacing w:before="0" w:after="0"/>
            </w:pPr>
            <w:r>
              <w:rPr>
                <w:rFonts w:ascii="Arial" w:cs="Arial" w:eastAsia="Arial" w:hAnsi="Arial"/>
                <w:i/>
                <w:iCs/>
                <w:color w:val="AACCE0"/>
                <w:sz w:val="20"/>
                <w:szCs w:val="20"/>
              </w:rPr>
              <w:t xml:space="preserve">Four failures in the current system — presented as a unified problem, not four separate issues</w:t>
            </w:r>
          </w:p>
        </w:tc>
      </w:tr>
    </w:tbl>
    <w:p>
      <w:pPr>
        <w:spacing w:before="80" w:after="0"/>
      </w:pPr>
      <w:r>
        <w:rPr>
          <w:rFonts w:ascii="Arial" w:cs="Arial" w:eastAsia="Arial" w:hAnsi="Arial"/>
          <w:color w:val="1C1C1E"/>
          <w:sz w:val="21"/>
          <w:szCs w:val="21"/>
        </w:rPr>
        <w:t xml:space="preserve"/>
      </w:r>
    </w:p>
    <w:p>
      <w:pPr>
        <w:spacing w:before="220" w:after="80"/>
      </w:pPr>
      <w:r>
        <w:rPr>
          <w:rFonts w:ascii="Arial" w:cs="Arial" w:eastAsia="Arial" w:hAnsi="Arial"/>
          <w:b/>
          <w:bCs/>
          <w:color w:val="0E2040"/>
          <w:sz w:val="23"/>
          <w:szCs w:val="23"/>
        </w:rPr>
        <w:t xml:space="preserve">SLIDE CONTENT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5FA6" w:sz="4"/>
              <w:left w:val="thick" w:color="1D5FA6" w:sz="20"/>
              <w:bottom w:val="single" w:color="1D5FA6" w:sz="4"/>
              <w:right w:val="single" w:color="1D5FA6" w:sz="4"/>
            </w:tcBorders>
            <w:shd w:fill="EEF5FC" w:val="clear"/>
            <w:tcMar>
              <w:top w:type="dxa" w:w="140"/>
              <w:left w:type="dxa" w:w="220"/>
              <w:bottom w:type="dxa" w:w="140"/>
              <w:right w:type="dxa" w:w="140"/>
            </w:tcMar>
          </w:tcPr>
          <w:p>
            <w:pPr>
              <w:spacing w:before="0" w:after="60"/>
            </w:pPr>
            <w:r>
              <w:rPr>
                <w:rFonts w:ascii="Arial" w:cs="Arial" w:eastAsia="Arial" w:hAnsi="Arial"/>
                <w:b/>
                <w:bCs/>
                <w:color w:val="0E2040"/>
                <w:sz w:val="22"/>
                <w:szCs w:val="22"/>
              </w:rPr>
              <w:t xml:space="preserve">What Goes On This Slide</w:t>
            </w:r>
          </w:p>
          <w:p>
            <w:pPr>
              <w:spacing w:before="40" w:after="40"/>
            </w:pPr>
            <w:r>
              <w:rPr>
                <w:rFonts w:ascii="Arial" w:cs="Arial" w:eastAsia="Arial" w:hAnsi="Arial"/>
                <w:color w:val="1C1C1E"/>
                <w:sz w:val="20"/>
                <w:szCs w:val="20"/>
              </w:rPr>
              <w:t xml:space="preserve">HEADLINE: 'Four Structural Failures. One Architecture That Solves All Four.'</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LAYOUT: 2×2 grid of problem boxes. Each box has: Problem title (bold, 4–6 words) + One-sentence description + One killer data point.</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BOX 1 — DISTRIBUTION MISALIGNMENT:</w:t>
            </w:r>
          </w:p>
          <w:p>
            <w:pPr>
              <w:spacing w:before="40" w:after="40"/>
            </w:pPr>
            <w:r>
              <w:rPr>
                <w:rFonts w:ascii="Arial" w:cs="Arial" w:eastAsia="Arial" w:hAnsi="Arial"/>
                <w:color w:val="1C1C1E"/>
                <w:sz w:val="20"/>
                <w:szCs w:val="20"/>
              </w:rPr>
              <w:t xml:space="preserve">  Title: 'The Advisor Who Works for Someone Else'</w:t>
            </w:r>
          </w:p>
          <w:p>
            <w:pPr>
              <w:spacing w:before="40" w:after="40"/>
            </w:pPr>
            <w:r>
              <w:rPr>
                <w:rFonts w:ascii="Arial" w:cs="Arial" w:eastAsia="Arial" w:hAnsi="Arial"/>
                <w:color w:val="1C1C1E"/>
                <w:sz w:val="20"/>
                <w:szCs w:val="20"/>
              </w:rPr>
              <w:t xml:space="preserve">  Description: MFDs paid by AMCs — not investors. Commission size drives recommendation, not suitability.</w:t>
            </w:r>
          </w:p>
          <w:p>
            <w:pPr>
              <w:spacing w:before="40" w:after="40"/>
            </w:pPr>
            <w:r>
              <w:rPr>
                <w:rFonts w:ascii="Arial" w:cs="Arial" w:eastAsia="Arial" w:hAnsi="Arial"/>
                <w:color w:val="1C1C1E"/>
                <w:sz w:val="20"/>
                <w:szCs w:val="20"/>
              </w:rPr>
              <w:t xml:space="preserve">  Data: '65–70% of India's ₹75.6L crore MF AUM is in regular plans. Invisible 0.75% annual fee compounds into lakhs over 20 years.'</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BOX 2 — CLOSET INDEXING:</w:t>
            </w:r>
          </w:p>
          <w:p>
            <w:pPr>
              <w:spacing w:before="40" w:after="40"/>
            </w:pPr>
            <w:r>
              <w:rPr>
                <w:rFonts w:ascii="Arial" w:cs="Arial" w:eastAsia="Arial" w:hAnsi="Arial"/>
                <w:color w:val="1C1C1E"/>
                <w:sz w:val="20"/>
                <w:szCs w:val="20"/>
              </w:rPr>
              <w:t xml:space="preserve">  Title: 'Paying 1.75% for an Index Fund in Disguise'</w:t>
            </w:r>
          </w:p>
          <w:p>
            <w:pPr>
              <w:spacing w:before="40" w:after="40"/>
            </w:pPr>
            <w:r>
              <w:rPr>
                <w:rFonts w:ascii="Arial" w:cs="Arial" w:eastAsia="Arial" w:hAnsi="Arial"/>
                <w:color w:val="1C1C1E"/>
                <w:sz w:val="20"/>
                <w:szCs w:val="20"/>
              </w:rPr>
              <w:t xml:space="preserve">  Description: Large AMCs hold 60–80 stocks mirroring benchmarks. Concentration is mathematically impossible at ₹7L crore AUM.</w:t>
            </w:r>
          </w:p>
          <w:p>
            <w:pPr>
              <w:spacing w:before="40" w:after="40"/>
            </w:pPr>
            <w:r>
              <w:rPr>
                <w:rFonts w:ascii="Arial" w:cs="Arial" w:eastAsia="Arial" w:hAnsi="Arial"/>
                <w:color w:val="1C1C1E"/>
                <w:sz w:val="20"/>
                <w:szCs w:val="20"/>
              </w:rPr>
              <w:t xml:space="preserve">  Data: 'Active large cap funds: 1.75% BER. Nifty 50 index fund: 0.10% BER. Average active large cap active share vs. benchmark: &lt;40%.'</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BOX 3 — THE MISSING MIDDLE:</w:t>
            </w:r>
          </w:p>
          <w:p>
            <w:pPr>
              <w:spacing w:before="40" w:after="40"/>
            </w:pPr>
            <w:r>
              <w:rPr>
                <w:rFonts w:ascii="Arial" w:cs="Arial" w:eastAsia="Arial" w:hAnsi="Arial"/>
                <w:color w:val="1C1C1E"/>
                <w:sz w:val="20"/>
                <w:szCs w:val="20"/>
              </w:rPr>
              <w:t xml:space="preserve">  Title: '30–50 Lakh Investors Nobody Builds For'</w:t>
            </w:r>
          </w:p>
          <w:p>
            <w:pPr>
              <w:spacing w:before="40" w:after="40"/>
            </w:pPr>
            <w:r>
              <w:rPr>
                <w:rFonts w:ascii="Arial" w:cs="Arial" w:eastAsia="Arial" w:hAnsi="Arial"/>
                <w:color w:val="1C1C1E"/>
                <w:sz w:val="20"/>
                <w:szCs w:val="20"/>
              </w:rPr>
              <w:t xml:space="preserve">  Description: Too sophisticated for ₹500 SIPs, locked out of ₹1Cr AIF. SEBI created SIF in Feb 2025. Nobody has built for it yet.</w:t>
            </w:r>
          </w:p>
          <w:p>
            <w:pPr>
              <w:spacing w:before="40" w:after="40"/>
            </w:pPr>
            <w:r>
              <w:rPr>
                <w:rFonts w:ascii="Arial" w:cs="Arial" w:eastAsia="Arial" w:hAnsi="Arial"/>
                <w:color w:val="1C1C1E"/>
                <w:sz w:val="20"/>
                <w:szCs w:val="20"/>
              </w:rPr>
              <w:t xml:space="preserve">  Data: '5.5 crore total MF investors. ~30% have 3+ years of experience. The informed middle investor has no conviction product at their ticket size.'</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BOX 4 — POST-TAX TRANSPARENCY VOID [ORIGINAL]:</w:t>
            </w:r>
          </w:p>
          <w:p>
            <w:pPr>
              <w:spacing w:before="40" w:after="40"/>
            </w:pPr>
            <w:r>
              <w:rPr>
                <w:rFonts w:ascii="Arial" w:cs="Arial" w:eastAsia="Arial" w:hAnsi="Arial"/>
                <w:color w:val="1C1C1E"/>
                <w:sz w:val="20"/>
                <w:szCs w:val="20"/>
              </w:rPr>
              <w:t xml:space="preserve">  Title: 'The Return You Actually Got vs. The Return They Advertise'</w:t>
            </w:r>
          </w:p>
          <w:p>
            <w:pPr>
              <w:spacing w:before="40" w:after="40"/>
            </w:pPr>
            <w:r>
              <w:rPr>
                <w:rFonts w:ascii="Arial" w:cs="Arial" w:eastAsia="Arial" w:hAnsi="Arial"/>
                <w:color w:val="1C1C1E"/>
                <w:sz w:val="20"/>
                <w:szCs w:val="20"/>
              </w:rPr>
              <w:t xml:space="preserve">  Description: No AMC in India publishes post-tax, post-inflation real returns. After 0.80% BER + 12.5% LTCG + 6% inflation, many 'good returns' are thin in real terms.</w:t>
            </w:r>
          </w:p>
          <w:p>
            <w:pPr>
              <w:spacing w:before="40" w:after="40"/>
            </w:pPr>
            <w:r>
              <w:rPr>
                <w:rFonts w:ascii="Arial" w:cs="Arial" w:eastAsia="Arial" w:hAnsi="Arial"/>
                <w:color w:val="1C1C1E"/>
                <w:sz w:val="20"/>
                <w:szCs w:val="20"/>
              </w:rPr>
              <w:t xml:space="preserve">  Data: 'A fund showing 15% CAGR gross = ~13.8% post-BER = ~12.1% post-tax (12.5% LTCG) = ~5.8% real return after 6% CPI inflation. Nobody shows this.'</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BOTTOM BAR (full width, dark background):</w:t>
            </w:r>
          </w:p>
          <w:p>
            <w:pPr>
              <w:spacing w:before="40" w:after="40"/>
            </w:pPr>
            <w:r>
              <w:rPr>
                <w:rFonts w:ascii="Arial" w:cs="Arial" w:eastAsia="Arial" w:hAnsi="Arial"/>
                <w:color w:val="1C1C1E"/>
                <w:sz w:val="20"/>
                <w:szCs w:val="20"/>
              </w:rPr>
              <w:t xml:space="preserve">  'These are not four separate problems. They are one interconnected system failure. We designed one architecture to solve all four simultaneously.'</w:t>
            </w:r>
          </w:p>
        </w:tc>
      </w:tr>
    </w:tbl>
    <w:p>
      <w:pPr>
        <w:spacing w:before="80" w:after="0"/>
      </w:pPr>
      <w:r>
        <w:rPr>
          <w:rFonts w:ascii="Arial" w:cs="Arial" w:eastAsia="Arial" w:hAnsi="Arial"/>
          <w:color w:val="1C1C1E"/>
          <w:sz w:val="21"/>
          <w:szCs w:val="21"/>
        </w:rPr>
        <w:t xml:space="preserve"/>
      </w:r>
    </w:p>
    <w:p>
      <w:pPr>
        <w:spacing w:before="160" w:after="60"/>
      </w:pPr>
      <w:r>
        <w:rPr>
          <w:rFonts w:ascii="Arial" w:cs="Arial" w:eastAsia="Arial" w:hAnsi="Arial"/>
          <w:b/>
          <w:bCs/>
          <w:i/>
          <w:iCs/>
          <w:color w:val="4A4A4A"/>
          <w:sz w:val="21"/>
          <w:szCs w:val="21"/>
        </w:rPr>
        <w:t xml:space="preserve">Design Notes</w:t>
      </w:r>
    </w:p>
    <w:p>
      <w:pPr>
        <w:pStyle w:val="ListParagraph"/>
        <w:numPr>
          <w:ilvl w:val="0"/>
          <w:numId w:val="2"/>
        </w:numPr>
        <w:spacing w:before="40" w:after="40"/>
      </w:pPr>
      <w:r>
        <w:rPr>
          <w:rFonts w:ascii="Arial" w:cs="Arial" w:eastAsia="Arial" w:hAnsi="Arial"/>
          <w:color w:val="1C1C1E"/>
          <w:sz w:val="21"/>
          <w:szCs w:val="21"/>
        </w:rPr>
        <w:t xml:space="preserve">Each box in a different accent color (navy, blue, orange, green) to be distinct but coherent</w:t>
      </w:r>
    </w:p>
    <w:p>
      <w:pPr>
        <w:pStyle w:val="ListParagraph"/>
        <w:numPr>
          <w:ilvl w:val="0"/>
          <w:numId w:val="2"/>
        </w:numPr>
        <w:spacing w:before="40" w:after="40"/>
      </w:pPr>
      <w:r>
        <w:rPr>
          <w:rFonts w:ascii="Arial" w:cs="Arial" w:eastAsia="Arial" w:hAnsi="Arial"/>
          <w:color w:val="1C1C1E"/>
          <w:sz w:val="21"/>
          <w:szCs w:val="21"/>
        </w:rPr>
        <w:t xml:space="preserve">Problem title in BOLD LARGE text — visible from 5 meters</w:t>
      </w:r>
    </w:p>
    <w:p>
      <w:pPr>
        <w:pStyle w:val="ListParagraph"/>
        <w:numPr>
          <w:ilvl w:val="0"/>
          <w:numId w:val="2"/>
        </w:numPr>
        <w:spacing w:before="40" w:after="40"/>
      </w:pPr>
      <w:r>
        <w:rPr>
          <w:rFonts w:ascii="Arial" w:cs="Arial" w:eastAsia="Arial" w:hAnsi="Arial"/>
          <w:color w:val="1C1C1E"/>
          <w:sz w:val="21"/>
          <w:szCs w:val="21"/>
        </w:rPr>
        <w:t xml:space="preserve">Data point in colored callout within each box</w:t>
      </w:r>
    </w:p>
    <w:p>
      <w:pPr>
        <w:pStyle w:val="ListParagraph"/>
        <w:numPr>
          <w:ilvl w:val="0"/>
          <w:numId w:val="2"/>
        </w:numPr>
        <w:spacing w:before="40" w:after="40"/>
      </w:pPr>
      <w:r>
        <w:rPr>
          <w:rFonts w:ascii="Arial" w:cs="Arial" w:eastAsia="Arial" w:hAnsi="Arial"/>
          <w:color w:val="1C1C1E"/>
          <w:sz w:val="21"/>
          <w:szCs w:val="21"/>
        </w:rPr>
        <w:t xml:space="preserve">Bottom bar in dark background — creates visual separation and thesis moment</w:t>
      </w:r>
    </w:p>
    <w:p>
      <w:pPr>
        <w:spacing w:before="80" w:after="0"/>
      </w:pPr>
      <w:r>
        <w:rPr>
          <w:rFonts w:ascii="Arial" w:cs="Arial" w:eastAsia="Arial" w:hAnsi="Arial"/>
          <w:color w:val="1C1C1E"/>
          <w:sz w:val="21"/>
          <w:szCs w:val="21"/>
        </w:rPr>
        <w:t xml:space="preserve"/>
      </w:r>
    </w:p>
    <w:p>
      <w:pPr>
        <w:spacing w:before="160" w:after="60"/>
      </w:pPr>
      <w:r>
        <w:rPr>
          <w:rFonts w:ascii="Arial" w:cs="Arial" w:eastAsia="Arial" w:hAnsi="Arial"/>
          <w:b/>
          <w:bCs/>
          <w:i/>
          <w:iCs/>
          <w:color w:val="4A4A4A"/>
          <w:sz w:val="21"/>
          <w:szCs w:val="21"/>
        </w:rPr>
        <w:t xml:space="preserve">Anticipated Judge Question: 'Isn't Problem 4 (transparency) something any AMC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5FA6" w:sz="4"/>
              <w:left w:val="thick" w:color="1D5FA6" w:sz="20"/>
              <w:bottom w:val="single" w:color="1D5FA6" w:sz="4"/>
              <w:right w:val="single" w:color="1D5FA6" w:sz="4"/>
            </w:tcBorders>
            <w:shd w:fill="D9E8F7" w:val="clear"/>
            <w:tcMar>
              <w:top w:type="dxa" w:w="140"/>
              <w:left w:type="dxa" w:w="220"/>
              <w:bottom w:type="dxa" w:w="140"/>
              <w:right w:type="dxa" w:w="140"/>
            </w:tcMar>
          </w:tcPr>
          <w:p>
            <w:pPr>
              <w:spacing w:before="0" w:after="60"/>
            </w:pPr>
            <w:r>
              <w:rPr>
                <w:rFonts w:ascii="Arial" w:cs="Arial" w:eastAsia="Arial" w:hAnsi="Arial"/>
                <w:b/>
                <w:bCs/>
                <w:color w:val="0E2040"/>
                <w:sz w:val="22"/>
                <w:szCs w:val="22"/>
              </w:rPr>
              <w:t xml:space="preserve">Pre-Built Answer</w:t>
            </w:r>
          </w:p>
          <w:p>
            <w:pPr>
              <w:spacing w:before="40" w:after="40"/>
            </w:pPr>
            <w:r>
              <w:rPr>
                <w:rFonts w:ascii="Arial" w:cs="Arial" w:eastAsia="Arial" w:hAnsi="Arial"/>
                <w:color w:val="1C1C1E"/>
                <w:sz w:val="20"/>
                <w:szCs w:val="20"/>
              </w:rPr>
              <w:t xml:space="preserve">Only a low-BER, low-turnover, conviction fund can publish Real Return Dashboard without exposing unflattering numbers. A fund with 80% annual portfolio turnover generates high capital gains distributions that devastate post-tax returns. An AMC charging 1.75% BER will show dramatically worse post-fee returns. High-fee, high-turnover incumbents literally cannot adopt this transparency without destroying their own narrative. Only Monarch — with 0.80% BER and &lt;15% turnover — can make this commitment credibly.</w:t>
            </w:r>
          </w:p>
        </w:tc>
      </w:tr>
    </w:tbl>
    <w:p>
      <w:pPr>
        <w:spacing w:before="16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2040" w:val="clear"/>
            <w:tcMar>
              <w:top w:type="dxa" w:w="180"/>
              <w:left w:type="dxa" w:w="240"/>
              <w:bottom w:type="dxa" w:w="180"/>
              <w:right w:type="dxa" w:w="240"/>
            </w:tcMar>
          </w:tcPr>
          <w:p>
            <w:pPr>
              <w:spacing w:before="0" w:after="40"/>
            </w:pPr>
            <w:r>
              <w:rPr>
                <w:rFonts w:ascii="Arial" w:cs="Arial" w:eastAsia="Arial" w:hAnsi="Arial"/>
                <w:b/>
                <w:bCs/>
                <w:color w:val="C9952A"/>
                <w:sz w:val="17"/>
                <w:szCs w:val="17"/>
              </w:rPr>
              <w:t xml:space="preserve">SLIDE 3  </w:t>
            </w:r>
            <w:r>
              <w:rPr>
                <w:rFonts w:ascii="Arial" w:cs="Arial" w:eastAsia="Arial" w:hAnsi="Arial"/>
                <w:b/>
                <w:bCs/>
                <w:color w:val="FFFFFF"/>
                <w:sz w:val="27"/>
                <w:szCs w:val="27"/>
              </w:rPr>
              <w:t xml:space="preserve">BODY SLIDE 2: MONARCH'S UNFAIR ADVANTAGES</w:t>
            </w:r>
          </w:p>
          <w:p>
            <w:pPr>
              <w:spacing w:before="0" w:after="0"/>
            </w:pPr>
            <w:r>
              <w:rPr>
                <w:rFonts w:ascii="Arial" w:cs="Arial" w:eastAsia="Arial" w:hAnsi="Arial"/>
                <w:i/>
                <w:iCs/>
                <w:color w:val="AACCE0"/>
                <w:sz w:val="20"/>
                <w:szCs w:val="20"/>
              </w:rPr>
              <w:t xml:space="preserve">Why only Monarch can execute this thesis — three assets no competitor can acquire</w:t>
            </w:r>
          </w:p>
        </w:tc>
      </w:tr>
    </w:tbl>
    <w:p>
      <w:pPr>
        <w:spacing w:before="80" w:after="0"/>
      </w:pPr>
      <w:r>
        <w:rPr>
          <w:rFonts w:ascii="Arial" w:cs="Arial" w:eastAsia="Arial" w:hAnsi="Arial"/>
          <w:color w:val="1C1C1E"/>
          <w:sz w:val="21"/>
          <w:szCs w:val="21"/>
        </w:rPr>
        <w:t xml:space="preserve"/>
      </w:r>
    </w:p>
    <w:p>
      <w:pPr>
        <w:spacing w:before="220" w:after="80"/>
      </w:pPr>
      <w:r>
        <w:rPr>
          <w:rFonts w:ascii="Arial" w:cs="Arial" w:eastAsia="Arial" w:hAnsi="Arial"/>
          <w:b/>
          <w:bCs/>
          <w:color w:val="0E2040"/>
          <w:sz w:val="23"/>
          <w:szCs w:val="23"/>
        </w:rPr>
        <w:t xml:space="preserve">SLIDE CONTENT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5FA6" w:sz="4"/>
              <w:left w:val="thick" w:color="1D5FA6" w:sz="20"/>
              <w:bottom w:val="single" w:color="1D5FA6" w:sz="4"/>
              <w:right w:val="single" w:color="1D5FA6" w:sz="4"/>
            </w:tcBorders>
            <w:shd w:fill="EEF5FC" w:val="clear"/>
            <w:tcMar>
              <w:top w:type="dxa" w:w="140"/>
              <w:left w:type="dxa" w:w="220"/>
              <w:bottom w:type="dxa" w:w="140"/>
              <w:right w:type="dxa" w:w="140"/>
            </w:tcMar>
          </w:tcPr>
          <w:p>
            <w:pPr>
              <w:spacing w:before="0" w:after="60"/>
            </w:pPr>
            <w:r>
              <w:rPr>
                <w:rFonts w:ascii="Arial" w:cs="Arial" w:eastAsia="Arial" w:hAnsi="Arial"/>
                <w:b/>
                <w:bCs/>
                <w:color w:val="0E2040"/>
                <w:sz w:val="22"/>
                <w:szCs w:val="22"/>
              </w:rPr>
              <w:t xml:space="preserve">What Goes On This Slide</w:t>
            </w:r>
          </w:p>
          <w:p>
            <w:pPr>
              <w:spacing w:before="40" w:after="40"/>
            </w:pPr>
            <w:r>
              <w:rPr>
                <w:rFonts w:ascii="Arial" w:cs="Arial" w:eastAsia="Arial" w:hAnsi="Arial"/>
                <w:color w:val="1C1C1E"/>
                <w:sz w:val="20"/>
                <w:szCs w:val="20"/>
              </w:rPr>
              <w:t xml:space="preserve">HEADLINE: 'Our Unfair Advantages — Three That No Competitor Can Buy'</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LAYOUT: Three equal columns, each with icon + data + explanation.</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COLUMN 1 — PROVEN PROCESS (not just a claim):</w:t>
            </w:r>
          </w:p>
          <w:p>
            <w:pPr>
              <w:spacing w:before="40" w:after="40"/>
            </w:pPr>
            <w:r>
              <w:rPr>
                <w:rFonts w:ascii="Arial" w:cs="Arial" w:eastAsia="Arial" w:hAnsi="Arial"/>
                <w:color w:val="1C1C1E"/>
                <w:sz w:val="20"/>
                <w:szCs w:val="20"/>
              </w:rPr>
              <w:t xml:space="preserve">  Headline: 'The Only New AMC with a Live Track Record'</w:t>
            </w:r>
          </w:p>
          <w:p>
            <w:pPr>
              <w:spacing w:before="40" w:after="40"/>
            </w:pPr>
            <w:r>
              <w:rPr>
                <w:rFonts w:ascii="Arial" w:cs="Arial" w:eastAsia="Arial" w:hAnsi="Arial"/>
                <w:color w:val="1C1C1E"/>
                <w:sz w:val="20"/>
                <w:szCs w:val="20"/>
              </w:rPr>
              <w:t xml:space="preserve">  Icon: Performance chart</w:t>
            </w:r>
          </w:p>
          <w:p>
            <w:pPr>
              <w:spacing w:before="40" w:after="40"/>
            </w:pPr>
            <w:r>
              <w:rPr>
                <w:rFonts w:ascii="Arial" w:cs="Arial" w:eastAsia="Arial" w:hAnsi="Arial"/>
                <w:color w:val="1C1C1E"/>
                <w:sz w:val="20"/>
                <w:szCs w:val="20"/>
              </w:rPr>
              <w:t xml:space="preserve">  Key fact: 'MNCL Capital Compounder AIF — ₹1,000 crore AUM, 5+ years, SEBI-audited concentrated equity. Referenced as marketing fact. No other new AMC entrant has this.'</w:t>
            </w:r>
          </w:p>
          <w:p>
            <w:pPr>
              <w:spacing w:before="40" w:after="40"/>
            </w:pPr>
            <w:r>
              <w:rPr>
                <w:rFonts w:ascii="Arial" w:cs="Arial" w:eastAsia="Arial" w:hAnsi="Arial"/>
                <w:color w:val="1C1C1E"/>
                <w:sz w:val="20"/>
                <w:szCs w:val="20"/>
              </w:rPr>
              <w:t xml:space="preserve">  Implication: 'PPFAS in 2013 had zero track record. Helios at launch had Samir Arora's reputation but no current live fund. Monarch has both.'</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COLUMN 2 — WARM AUM BASE (not cold distribution):</w:t>
            </w:r>
          </w:p>
          <w:p>
            <w:pPr>
              <w:spacing w:before="40" w:after="40"/>
            </w:pPr>
            <w:r>
              <w:rPr>
                <w:rFonts w:ascii="Arial" w:cs="Arial" w:eastAsia="Arial" w:hAnsi="Arial"/>
                <w:color w:val="1C1C1E"/>
                <w:sz w:val="20"/>
                <w:szCs w:val="20"/>
              </w:rPr>
              <w:t xml:space="preserve">  Headline: 'Year 1 ₹400–700 crore — Without Advertising'</w:t>
            </w:r>
          </w:p>
          <w:p>
            <w:pPr>
              <w:spacing w:before="40" w:after="40"/>
            </w:pPr>
            <w:r>
              <w:rPr>
                <w:rFonts w:ascii="Arial" w:cs="Arial" w:eastAsia="Arial" w:hAnsi="Arial"/>
                <w:color w:val="1C1C1E"/>
                <w:sz w:val="20"/>
                <w:szCs w:val="20"/>
              </w:rPr>
              <w:t xml:space="preserve">  Icon: Network/connections</w:t>
            </w:r>
          </w:p>
          <w:p>
            <w:pPr>
              <w:spacing w:before="40" w:after="40"/>
            </w:pPr>
            <w:r>
              <w:rPr>
                <w:rFonts w:ascii="Arial" w:cs="Arial" w:eastAsia="Arial" w:hAnsi="Arial"/>
                <w:color w:val="1C1C1E"/>
                <w:sz w:val="20"/>
                <w:szCs w:val="20"/>
              </w:rPr>
              <w:t xml:space="preserve">  Key fact: '300,000 existing brokerage clients. 57 branches. RM relationships already built. AIF investor base of ~1,000 high-conviction investors.'</w:t>
            </w:r>
          </w:p>
          <w:p>
            <w:pPr>
              <w:spacing w:before="40" w:after="40"/>
            </w:pPr>
            <w:r>
              <w:rPr>
                <w:rFonts w:ascii="Arial" w:cs="Arial" w:eastAsia="Arial" w:hAnsi="Arial"/>
                <w:color w:val="1C1C1E"/>
                <w:sz w:val="20"/>
                <w:szCs w:val="20"/>
              </w:rPr>
              <w:t xml:space="preserve">  Breakdown: 'AIF conversions: ₹120–180cr. Brokerage clients: ₹100–160cr. Digital Month 1: ₹60–120cr. NFO market: ₹80–150cr.'</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COLUMN 3 — REAL RETURN DASHBOARD (not just another promise):</w:t>
            </w:r>
          </w:p>
          <w:p>
            <w:pPr>
              <w:spacing w:before="40" w:after="40"/>
            </w:pPr>
            <w:r>
              <w:rPr>
                <w:rFonts w:ascii="Arial" w:cs="Arial" w:eastAsia="Arial" w:hAnsi="Arial"/>
                <w:color w:val="1C1C1E"/>
                <w:sz w:val="20"/>
                <w:szCs w:val="20"/>
              </w:rPr>
              <w:t xml:space="preserve">  Headline: 'First AMC in India to Show What You Actually Earned'</w:t>
            </w:r>
          </w:p>
          <w:p>
            <w:pPr>
              <w:spacing w:before="40" w:after="40"/>
            </w:pPr>
            <w:r>
              <w:rPr>
                <w:rFonts w:ascii="Arial" w:cs="Arial" w:eastAsia="Arial" w:hAnsi="Arial"/>
                <w:color w:val="1C1C1E"/>
                <w:sz w:val="20"/>
                <w:szCs w:val="20"/>
              </w:rPr>
              <w:t xml:space="preserve">  Icon: Dashboard/calculator</w:t>
            </w:r>
          </w:p>
          <w:p>
            <w:pPr>
              <w:spacing w:before="40" w:after="40"/>
            </w:pPr>
            <w:r>
              <w:rPr>
                <w:rFonts w:ascii="Arial" w:cs="Arial" w:eastAsia="Arial" w:hAnsi="Arial"/>
                <w:color w:val="1C1C1E"/>
                <w:sz w:val="20"/>
                <w:szCs w:val="20"/>
              </w:rPr>
              <w:t xml:space="preserve">  Key fact: 'Quarterly-updated post-tax, post-inflation return comparison — for our funds AND top 5 competitors in category.'</w:t>
            </w:r>
          </w:p>
          <w:p>
            <w:pPr>
              <w:spacing w:before="40" w:after="40"/>
            </w:pPr>
            <w:r>
              <w:rPr>
                <w:rFonts w:ascii="Arial" w:cs="Arial" w:eastAsia="Arial" w:hAnsi="Arial"/>
                <w:color w:val="1C1C1E"/>
                <w:sz w:val="20"/>
                <w:szCs w:val="20"/>
              </w:rPr>
              <w:t xml:space="preserve">  Differentiation: 'Incumbents cannot adopt this without exposing their own fee and turnover drag. We can only make this commitment because we are confident it will show us winning.'</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BOTTOM BAND (spanning all three): Compact competitive matrix (6 rows x 4 columns)</w:t>
            </w:r>
          </w:p>
          <w:p>
            <w:pPr>
              <w:spacing w:before="40" w:after="40"/>
            </w:pPr>
            <w:r>
              <w:rPr>
                <w:rFonts w:ascii="Arial" w:cs="Arial" w:eastAsia="Arial" w:hAnsi="Arial"/>
                <w:color w:val="1C1C1E"/>
                <w:sz w:val="20"/>
                <w:szCs w:val="20"/>
              </w:rPr>
              <w:t xml:space="preserve">  Columns: AMC | Concentration | Direct Mix | Real Return Dashboard | Warm Client Base</w:t>
            </w:r>
          </w:p>
          <w:p>
            <w:pPr>
              <w:spacing w:before="40" w:after="40"/>
            </w:pPr>
            <w:r>
              <w:rPr>
                <w:rFonts w:ascii="Arial" w:cs="Arial" w:eastAsia="Arial" w:hAnsi="Arial"/>
                <w:color w:val="1C1C1E"/>
                <w:sz w:val="20"/>
                <w:szCs w:val="20"/>
              </w:rPr>
              <w:t xml:space="preserve">  Show Monarch in top-right quadrant, alone.</w:t>
            </w:r>
          </w:p>
        </w:tc>
      </w:tr>
    </w:tbl>
    <w:p>
      <w:pPr>
        <w:spacing w:before="80" w:after="0"/>
      </w:pPr>
      <w:r>
        <w:rPr>
          <w:rFonts w:ascii="Arial" w:cs="Arial" w:eastAsia="Arial" w:hAnsi="Arial"/>
          <w:color w:val="1C1C1E"/>
          <w:sz w:val="21"/>
          <w:szCs w:val="21"/>
        </w:rPr>
        <w:t xml:space="preserve"/>
      </w:r>
    </w:p>
    <w:p>
      <w:pPr>
        <w:spacing w:before="160" w:after="60"/>
      </w:pPr>
      <w:r>
        <w:rPr>
          <w:rFonts w:ascii="Arial" w:cs="Arial" w:eastAsia="Arial" w:hAnsi="Arial"/>
          <w:b/>
          <w:bCs/>
          <w:i/>
          <w:iCs/>
          <w:color w:val="4A4A4A"/>
          <w:sz w:val="21"/>
          <w:szCs w:val="21"/>
        </w:rPr>
        <w:t xml:space="preserve">Anticipated Judge Question: 'Isn't the AIF reference a prohibited alternative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5FA6" w:sz="4"/>
              <w:left w:val="thick" w:color="1D5FA6" w:sz="20"/>
              <w:bottom w:val="single" w:color="1D5FA6" w:sz="4"/>
              <w:right w:val="single" w:color="1D5FA6" w:sz="4"/>
            </w:tcBorders>
            <w:shd w:fill="D9E8F7" w:val="clear"/>
            <w:tcMar>
              <w:top w:type="dxa" w:w="140"/>
              <w:left w:type="dxa" w:w="220"/>
              <w:bottom w:type="dxa" w:w="140"/>
              <w:right w:type="dxa" w:w="140"/>
            </w:tcMar>
          </w:tcPr>
          <w:p>
            <w:pPr>
              <w:spacing w:before="0" w:after="60"/>
            </w:pPr>
            <w:r>
              <w:rPr>
                <w:rFonts w:ascii="Arial" w:cs="Arial" w:eastAsia="Arial" w:hAnsi="Arial"/>
                <w:b/>
                <w:bCs/>
                <w:color w:val="0E2040"/>
                <w:sz w:val="22"/>
                <w:szCs w:val="22"/>
              </w:rPr>
              <w:t xml:space="preserve">Pre-Built Answer</w:t>
            </w:r>
          </w:p>
          <w:p>
            <w:pPr>
              <w:spacing w:before="40" w:after="40"/>
            </w:pPr>
            <w:r>
              <w:rPr>
                <w:rFonts w:ascii="Arial" w:cs="Arial" w:eastAsia="Arial" w:hAnsi="Arial"/>
                <w:color w:val="1C1C1E"/>
                <w:sz w:val="20"/>
                <w:szCs w:val="20"/>
              </w:rPr>
              <w:t xml:space="preserve">The case brief prohibits using AIFs as alternative structures within the AMC's operational value chain. The AIF is referenced here identically to how PPFAS references Rajeev Thakkar's equity research track record at his former employer, or how WhiteOak references Prashant Khemka's Goldman Sachs tenure — as a historical, publicly known, SEBI-verified credential. No AIF assets, investors, or operations are integrated into the MF entity. The AMC has its own dedicated team, separate compliance, and no financial relationship with the AIF.</w:t>
            </w:r>
          </w:p>
        </w:tc>
      </w:tr>
    </w:tbl>
    <w:p>
      <w:pPr>
        <w:spacing w:before="16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2040" w:val="clear"/>
            <w:tcMar>
              <w:top w:type="dxa" w:w="180"/>
              <w:left w:type="dxa" w:w="240"/>
              <w:bottom w:type="dxa" w:w="180"/>
              <w:right w:type="dxa" w:w="240"/>
            </w:tcMar>
          </w:tcPr>
          <w:p>
            <w:pPr>
              <w:spacing w:before="0" w:after="40"/>
            </w:pPr>
            <w:r>
              <w:rPr>
                <w:rFonts w:ascii="Arial" w:cs="Arial" w:eastAsia="Arial" w:hAnsi="Arial"/>
                <w:b/>
                <w:bCs/>
                <w:color w:val="C9952A"/>
                <w:sz w:val="17"/>
                <w:szCs w:val="17"/>
              </w:rPr>
              <w:t xml:space="preserve">SLIDE 4  </w:t>
            </w:r>
            <w:r>
              <w:rPr>
                <w:rFonts w:ascii="Arial" w:cs="Arial" w:eastAsia="Arial" w:hAnsi="Arial"/>
                <w:b/>
                <w:bCs/>
                <w:color w:val="FFFFFF"/>
                <w:sz w:val="27"/>
                <w:szCs w:val="27"/>
              </w:rPr>
              <w:t xml:space="preserve">BODY SLIDE 3: PRODUCT ARCHITECTURE</w:t>
            </w:r>
          </w:p>
          <w:p>
            <w:pPr>
              <w:spacing w:before="0" w:after="0"/>
            </w:pPr>
            <w:r>
              <w:rPr>
                <w:rFonts w:ascii="Arial" w:cs="Arial" w:eastAsia="Arial" w:hAnsi="Arial"/>
                <w:i/>
                <w:iCs/>
                <w:color w:val="AACCE0"/>
                <w:sz w:val="20"/>
                <w:szCs w:val="20"/>
              </w:rPr>
              <w:t xml:space="preserve">Three-tier fund design — the pyramid that creates customer lifetime value</w:t>
            </w:r>
          </w:p>
        </w:tc>
      </w:tr>
    </w:tbl>
    <w:p>
      <w:pPr>
        <w:spacing w:before="80" w:after="0"/>
      </w:pPr>
      <w:r>
        <w:rPr>
          <w:rFonts w:ascii="Arial" w:cs="Arial" w:eastAsia="Arial" w:hAnsi="Arial"/>
          <w:color w:val="1C1C1E"/>
          <w:sz w:val="21"/>
          <w:szCs w:val="21"/>
        </w:rPr>
        <w:t xml:space="preserve"/>
      </w:r>
    </w:p>
    <w:p>
      <w:pPr>
        <w:spacing w:before="220" w:after="80"/>
      </w:pPr>
      <w:r>
        <w:rPr>
          <w:rFonts w:ascii="Arial" w:cs="Arial" w:eastAsia="Arial" w:hAnsi="Arial"/>
          <w:b/>
          <w:bCs/>
          <w:color w:val="0E2040"/>
          <w:sz w:val="23"/>
          <w:szCs w:val="23"/>
        </w:rPr>
        <w:t xml:space="preserve">SLIDE CONTENT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5FA6" w:sz="4"/>
              <w:left w:val="thick" w:color="1D5FA6" w:sz="20"/>
              <w:bottom w:val="single" w:color="1D5FA6" w:sz="4"/>
              <w:right w:val="single" w:color="1D5FA6" w:sz="4"/>
            </w:tcBorders>
            <w:shd w:fill="EEF5FC" w:val="clear"/>
            <w:tcMar>
              <w:top w:type="dxa" w:w="140"/>
              <w:left w:type="dxa" w:w="220"/>
              <w:bottom w:type="dxa" w:w="140"/>
              <w:right w:type="dxa" w:w="140"/>
            </w:tcMar>
          </w:tcPr>
          <w:p>
            <w:pPr>
              <w:spacing w:before="0" w:after="60"/>
            </w:pPr>
            <w:r>
              <w:rPr>
                <w:rFonts w:ascii="Arial" w:cs="Arial" w:eastAsia="Arial" w:hAnsi="Arial"/>
                <w:b/>
                <w:bCs/>
                <w:color w:val="0E2040"/>
                <w:sz w:val="22"/>
                <w:szCs w:val="22"/>
              </w:rPr>
              <w:t xml:space="preserve">What Goes On This Slide</w:t>
            </w:r>
          </w:p>
          <w:p>
            <w:pPr>
              <w:spacing w:before="40" w:after="40"/>
            </w:pPr>
            <w:r>
              <w:rPr>
                <w:rFonts w:ascii="Arial" w:cs="Arial" w:eastAsia="Arial" w:hAnsi="Arial"/>
                <w:color w:val="1C1C1E"/>
                <w:sz w:val="20"/>
                <w:szCs w:val="20"/>
              </w:rPr>
              <w:t xml:space="preserve">HEADLINE: 'One Investment Philosophy. Three Access Points. One Investor Journey.'</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LAYOUT: Central pyramid/funnel visual (wide base = MF, middle = SIF, apex = AIF). Right sidebar: Two innovation callout boxes.</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PYRAMID TIER 1 (Wide base — MF):</w:t>
            </w:r>
          </w:p>
          <w:p>
            <w:pPr>
              <w:spacing w:before="40" w:after="40"/>
            </w:pPr>
            <w:r>
              <w:rPr>
                <w:rFonts w:ascii="Arial" w:cs="Arial" w:eastAsia="Arial" w:hAnsi="Arial"/>
                <w:color w:val="1C1C1E"/>
                <w:sz w:val="20"/>
                <w:szCs w:val="20"/>
              </w:rPr>
              <w:t xml:space="preserve">  Fund A: Monarch Conviction Fund (Focused Fund)</w:t>
            </w:r>
          </w:p>
          <w:p>
            <w:pPr>
              <w:spacing w:before="40" w:after="40"/>
            </w:pPr>
            <w:r>
              <w:rPr>
                <w:rFonts w:ascii="Arial" w:cs="Arial" w:eastAsia="Arial" w:hAnsi="Arial"/>
                <w:color w:val="1C1C1E"/>
                <w:sz w:val="20"/>
                <w:szCs w:val="20"/>
              </w:rPr>
              <w:t xml:space="preserve">    — Max 25 stocks  |  BER 0.80% direct  |  Min ₹500  |  Daily liquidity  |  Launch Day 1</w:t>
            </w:r>
          </w:p>
          <w:p>
            <w:pPr>
              <w:spacing w:before="40" w:after="40"/>
            </w:pPr>
            <w:r>
              <w:rPr>
                <w:rFonts w:ascii="Arial" w:cs="Arial" w:eastAsia="Arial" w:hAnsi="Arial"/>
                <w:color w:val="1C1C1E"/>
                <w:sz w:val="20"/>
                <w:szCs w:val="20"/>
              </w:rPr>
              <w:t xml:space="preserve">  Fund B: Monarch Quality Compounder (Flexi Cap)</w:t>
            </w:r>
          </w:p>
          <w:p>
            <w:pPr>
              <w:spacing w:before="40" w:after="40"/>
            </w:pPr>
            <w:r>
              <w:rPr>
                <w:rFonts w:ascii="Arial" w:cs="Arial" w:eastAsia="Arial" w:hAnsi="Arial"/>
                <w:color w:val="1C1C1E"/>
                <w:sz w:val="20"/>
                <w:szCs w:val="20"/>
              </w:rPr>
              <w:t xml:space="preserve">    — 25–30 stocks, mechanical quality screen (ROCE&gt;15%, D/E&lt;0.5x, FCF 7yr+)  |  BER 0.75%  |  Launch Day 1</w:t>
            </w:r>
          </w:p>
          <w:p>
            <w:pPr>
              <w:spacing w:before="40" w:after="40"/>
            </w:pPr>
            <w:r>
              <w:rPr>
                <w:rFonts w:ascii="Arial" w:cs="Arial" w:eastAsia="Arial" w:hAnsi="Arial"/>
                <w:color w:val="1C1C1E"/>
                <w:sz w:val="20"/>
                <w:szCs w:val="20"/>
              </w:rPr>
              <w:t xml:space="preserve">  Fund C: Monarch India Transition Fund (Thematic)</w:t>
            </w:r>
          </w:p>
          <w:p>
            <w:pPr>
              <w:spacing w:before="40" w:after="40"/>
            </w:pPr>
            <w:r>
              <w:rPr>
                <w:rFonts w:ascii="Arial" w:cs="Arial" w:eastAsia="Arial" w:hAnsi="Arial"/>
                <w:color w:val="1C1C1E"/>
                <w:sz w:val="20"/>
                <w:szCs w:val="20"/>
              </w:rPr>
              <w:t xml:space="preserve">    — 80%+ in energy transition theme  |  BER 1.00%  |  Launch Month 6–9</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PYRAMID TIER 2 (Middle — SIF):</w:t>
            </w:r>
          </w:p>
          <w:p>
            <w:pPr>
              <w:spacing w:before="40" w:after="40"/>
            </w:pPr>
            <w:r>
              <w:rPr>
                <w:rFonts w:ascii="Arial" w:cs="Arial" w:eastAsia="Arial" w:hAnsi="Arial"/>
                <w:color w:val="1C1C1E"/>
                <w:sz w:val="20"/>
                <w:szCs w:val="20"/>
              </w:rPr>
              <w:t xml:space="preserve">  Monarch Ultra Conviction SIF</w:t>
            </w:r>
          </w:p>
          <w:p>
            <w:pPr>
              <w:spacing w:before="40" w:after="40"/>
            </w:pPr>
            <w:r>
              <w:rPr>
                <w:rFonts w:ascii="Arial" w:cs="Arial" w:eastAsia="Arial" w:hAnsi="Arial"/>
                <w:color w:val="1C1C1E"/>
                <w:sz w:val="20"/>
                <w:szCs w:val="20"/>
              </w:rPr>
              <w:t xml:space="preserve">    — 12–15 stocks  |  Up to 15% per position  |  Min ₹10 lakh  |  Quarterly liquidity  |  BER 1.00%</w:t>
            </w:r>
          </w:p>
          <w:p>
            <w:pPr>
              <w:spacing w:before="40" w:after="40"/>
            </w:pPr>
            <w:r>
              <w:rPr>
                <w:rFonts w:ascii="Arial" w:cs="Arial" w:eastAsia="Arial" w:hAnsi="Arial"/>
                <w:color w:val="1C1C1E"/>
                <w:sz w:val="20"/>
                <w:szCs w:val="20"/>
              </w:rPr>
              <w:t xml:space="preserve">    — Launch Month 15–18 (after SIF CIO hired Month 1)</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PYRAMID TIER 3 (Apex — AIF reference only):</w:t>
            </w:r>
          </w:p>
          <w:p>
            <w:pPr>
              <w:spacing w:before="40" w:after="40"/>
            </w:pPr>
            <w:r>
              <w:rPr>
                <w:rFonts w:ascii="Arial" w:cs="Arial" w:eastAsia="Arial" w:hAnsi="Arial"/>
                <w:color w:val="1C1C1E"/>
                <w:sz w:val="20"/>
                <w:szCs w:val="20"/>
              </w:rPr>
              <w:t xml:space="preserve">  MNCL Capital Compounder AIF</w:t>
            </w:r>
          </w:p>
          <w:p>
            <w:pPr>
              <w:spacing w:before="40" w:after="40"/>
            </w:pPr>
            <w:r>
              <w:rPr>
                <w:rFonts w:ascii="Arial" w:cs="Arial" w:eastAsia="Arial" w:hAnsi="Arial"/>
                <w:color w:val="1C1C1E"/>
                <w:sz w:val="20"/>
                <w:szCs w:val="20"/>
              </w:rPr>
              <w:t xml:space="preserve">    — Existing. Separate entity. 8–12 stocks. Min ₹1 crore. Referenced only as philosophy proof.</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RIGHT SIDEBAR — Innovation Callouts:</w:t>
            </w:r>
          </w:p>
          <w:p>
            <w:pPr>
              <w:spacing w:before="40" w:after="40"/>
            </w:pPr>
            <w:r>
              <w:rPr>
                <w:rFonts w:ascii="Arial" w:cs="Arial" w:eastAsia="Arial" w:hAnsi="Arial"/>
                <w:color w:val="1C1C1E"/>
                <w:sz w:val="20"/>
                <w:szCs w:val="20"/>
              </w:rPr>
              <w:t xml:space="preserve">  Box 1: Conviction Delta Score</w:t>
            </w:r>
          </w:p>
          <w:p>
            <w:pPr>
              <w:spacing w:before="40" w:after="40"/>
            </w:pPr>
            <w:r>
              <w:rPr>
                <w:rFonts w:ascii="Arial" w:cs="Arial" w:eastAsia="Arial" w:hAnsi="Arial"/>
                <w:color w:val="1C1C1E"/>
                <w:sz w:val="20"/>
                <w:szCs w:val="20"/>
              </w:rPr>
              <w:t xml:space="preserve">    'Published quarterly. Active share vs. Nifty 500 benchmark. Shows how different we really are from the index. Accountability in numbers.'</w:t>
            </w:r>
          </w:p>
          <w:p>
            <w:pPr>
              <w:spacing w:before="40" w:after="40"/>
            </w:pPr>
            <w:r>
              <w:rPr>
                <w:rFonts w:ascii="Arial" w:cs="Arial" w:eastAsia="Arial" w:hAnsi="Arial"/>
                <w:color w:val="1C1C1E"/>
                <w:sz w:val="20"/>
                <w:szCs w:val="20"/>
              </w:rPr>
              <w:t xml:space="preserve">  Box 2: Real Return Dashboard</w:t>
            </w:r>
          </w:p>
          <w:p>
            <w:pPr>
              <w:spacing w:before="40" w:after="40"/>
            </w:pPr>
            <w:r>
              <w:rPr>
                <w:rFonts w:ascii="Arial" w:cs="Arial" w:eastAsia="Arial" w:hAnsi="Arial"/>
                <w:color w:val="1C1C1E"/>
                <w:sz w:val="20"/>
                <w:szCs w:val="20"/>
              </w:rPr>
              <w:t xml:space="preserve">    'Post-tax, post-inflation quarterly comparison — our funds vs. top 5 in category. Published every quarter. Voluntary transparency no high-fee AMC can match.'</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BOTTOM TIMELINE BAR:</w:t>
            </w:r>
          </w:p>
          <w:p>
            <w:pPr>
              <w:spacing w:before="40" w:after="40"/>
            </w:pPr>
            <w:r>
              <w:rPr>
                <w:rFonts w:ascii="Arial" w:cs="Arial" w:eastAsia="Arial" w:hAnsi="Arial"/>
                <w:color w:val="1C1C1E"/>
                <w:sz w:val="20"/>
                <w:szCs w:val="20"/>
              </w:rPr>
              <w:t xml:space="preserve">  Month 1: MF funds launch + digital platform empanelment</w:t>
            </w:r>
          </w:p>
          <w:p>
            <w:pPr>
              <w:spacing w:before="40" w:after="40"/>
            </w:pPr>
            <w:r>
              <w:rPr>
                <w:rFonts w:ascii="Arial" w:cs="Arial" w:eastAsia="Arial" w:hAnsi="Arial"/>
                <w:color w:val="1C1C1E"/>
                <w:sz w:val="20"/>
                <w:szCs w:val="20"/>
              </w:rPr>
              <w:t xml:space="preserve">  Month 1–3: SIF CIO hired</w:t>
            </w:r>
          </w:p>
          <w:p>
            <w:pPr>
              <w:spacing w:before="40" w:after="40"/>
            </w:pPr>
            <w:r>
              <w:rPr>
                <w:rFonts w:ascii="Arial" w:cs="Arial" w:eastAsia="Arial" w:hAnsi="Arial"/>
                <w:color w:val="1C1C1E"/>
                <w:sz w:val="20"/>
                <w:szCs w:val="20"/>
              </w:rPr>
              <w:t xml:space="preserve">  Month 6–9: Thematic fund launch</w:t>
            </w:r>
          </w:p>
          <w:p>
            <w:pPr>
              <w:spacing w:before="40" w:after="40"/>
            </w:pPr>
            <w:r>
              <w:rPr>
                <w:rFonts w:ascii="Arial" w:cs="Arial" w:eastAsia="Arial" w:hAnsi="Arial"/>
                <w:color w:val="1C1C1E"/>
                <w:sz w:val="20"/>
                <w:szCs w:val="20"/>
              </w:rPr>
              <w:t xml:space="preserve">  Month 15–18: SIF launch</w:t>
            </w:r>
          </w:p>
          <w:p>
            <w:pPr>
              <w:spacing w:before="40" w:after="40"/>
            </w:pPr>
            <w:r>
              <w:rPr>
                <w:rFonts w:ascii="Arial" w:cs="Arial" w:eastAsia="Arial" w:hAnsi="Arial"/>
                <w:color w:val="1C1C1E"/>
                <w:sz w:val="20"/>
                <w:szCs w:val="20"/>
              </w:rPr>
              <w:t xml:space="preserve">  Year 4: Corporate debt fund (optional, conditions-dependent)</w:t>
            </w:r>
          </w:p>
        </w:tc>
      </w:tr>
    </w:tbl>
    <w:p>
      <w:pPr>
        <w:spacing w:before="80" w:after="0"/>
      </w:pPr>
      <w:r>
        <w:rPr>
          <w:rFonts w:ascii="Arial" w:cs="Arial" w:eastAsia="Arial" w:hAnsi="Arial"/>
          <w:color w:val="1C1C1E"/>
          <w:sz w:val="21"/>
          <w:szCs w:val="21"/>
        </w:rPr>
        <w:t xml:space="preserve"/>
      </w:r>
    </w:p>
    <w:p>
      <w:pPr>
        <w:spacing w:before="160" w:after="60"/>
      </w:pPr>
      <w:r>
        <w:rPr>
          <w:rFonts w:ascii="Arial" w:cs="Arial" w:eastAsia="Arial" w:hAnsi="Arial"/>
          <w:b/>
          <w:bCs/>
          <w:i/>
          <w:iCs/>
          <w:color w:val="4A4A4A"/>
          <w:sz w:val="21"/>
          <w:szCs w:val="21"/>
        </w:rPr>
        <w:t xml:space="preserve">Anticipated Judge Question: 'How is Fund 2 (Flexi Cap) different from Fund 1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5FA6" w:sz="4"/>
              <w:left w:val="thick" w:color="1D5FA6" w:sz="20"/>
              <w:bottom w:val="single" w:color="1D5FA6" w:sz="4"/>
              <w:right w:val="single" w:color="1D5FA6" w:sz="4"/>
            </w:tcBorders>
            <w:shd w:fill="D9E8F7" w:val="clear"/>
            <w:tcMar>
              <w:top w:type="dxa" w:w="140"/>
              <w:left w:type="dxa" w:w="220"/>
              <w:bottom w:type="dxa" w:w="140"/>
              <w:right w:type="dxa" w:w="140"/>
            </w:tcMar>
          </w:tcPr>
          <w:p>
            <w:pPr>
              <w:spacing w:before="0" w:after="60"/>
            </w:pPr>
            <w:r>
              <w:rPr>
                <w:rFonts w:ascii="Arial" w:cs="Arial" w:eastAsia="Arial" w:hAnsi="Arial"/>
                <w:b/>
                <w:bCs/>
                <w:color w:val="0E2040"/>
                <w:sz w:val="22"/>
                <w:szCs w:val="22"/>
              </w:rPr>
              <w:t xml:space="preserve">Pre-Built Answer</w:t>
            </w:r>
          </w:p>
          <w:p>
            <w:pPr>
              <w:spacing w:before="40" w:after="40"/>
            </w:pPr>
            <w:r>
              <w:rPr>
                <w:rFonts w:ascii="Arial" w:cs="Arial" w:eastAsia="Arial" w:hAnsi="Arial"/>
                <w:color w:val="1C1C1E"/>
                <w:sz w:val="20"/>
                <w:szCs w:val="20"/>
              </w:rPr>
              <w:t xml:space="preserve">The differentiation is mechanical, not philosophical. Fund 1 (Conviction Fund) can own any stock if conviction is high — including cyclicals, turnarounds, or out-of-favour sectors. Fund 2 (Quality Compounder) operates a quantitative pre-filter: ROCE &gt;15% for 5 consecutive years, D/E &lt;0.5x, earnings growth &gt;15% CAGR over 5 years, positive FCF for 7+ consecutive years. This screen structurally excludes entire categories: no cyclicals (ROCE volatile), no turnaround stories (failing growth screen), no high-debt infrastructure (failing D/E). Same philosophy house, mechanically different investment criteria — producing genuinely different portfolios.</w:t>
            </w:r>
          </w:p>
        </w:tc>
      </w:tr>
    </w:tbl>
    <w:p>
      <w:pPr>
        <w:spacing w:before="16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2040" w:val="clear"/>
            <w:tcMar>
              <w:top w:type="dxa" w:w="180"/>
              <w:left w:type="dxa" w:w="240"/>
              <w:bottom w:type="dxa" w:w="180"/>
              <w:right w:type="dxa" w:w="240"/>
            </w:tcMar>
          </w:tcPr>
          <w:p>
            <w:pPr>
              <w:spacing w:before="0" w:after="40"/>
            </w:pPr>
            <w:r>
              <w:rPr>
                <w:rFonts w:ascii="Arial" w:cs="Arial" w:eastAsia="Arial" w:hAnsi="Arial"/>
                <w:b/>
                <w:bCs/>
                <w:color w:val="C9952A"/>
                <w:sz w:val="17"/>
                <w:szCs w:val="17"/>
              </w:rPr>
              <w:t xml:space="preserve">SLIDE 5  </w:t>
            </w:r>
            <w:r>
              <w:rPr>
                <w:rFonts w:ascii="Arial" w:cs="Arial" w:eastAsia="Arial" w:hAnsi="Arial"/>
                <w:b/>
                <w:bCs/>
                <w:color w:val="FFFFFF"/>
                <w:sz w:val="27"/>
                <w:szCs w:val="27"/>
              </w:rPr>
              <w:t xml:space="preserve">BODY SLIDE 4: BUSINESS MODEL &amp; FINANCIAL VIABILITY</w:t>
            </w:r>
          </w:p>
          <w:p>
            <w:pPr>
              <w:spacing w:before="0" w:after="0"/>
            </w:pPr>
            <w:r>
              <w:rPr>
                <w:rFonts w:ascii="Arial" w:cs="Arial" w:eastAsia="Arial" w:hAnsi="Arial"/>
                <w:i/>
                <w:iCs/>
                <w:color w:val="AACCE0"/>
                <w:sz w:val="20"/>
                <w:szCs w:val="20"/>
              </w:rPr>
              <w:t xml:space="preserve">The economics — path to profitability on a ₹796 crore balance sheet</w:t>
            </w:r>
          </w:p>
        </w:tc>
      </w:tr>
    </w:tbl>
    <w:p>
      <w:pPr>
        <w:spacing w:before="80" w:after="0"/>
      </w:pPr>
      <w:r>
        <w:rPr>
          <w:rFonts w:ascii="Arial" w:cs="Arial" w:eastAsia="Arial" w:hAnsi="Arial"/>
          <w:color w:val="1C1C1E"/>
          <w:sz w:val="21"/>
          <w:szCs w:val="21"/>
        </w:rPr>
        <w:t xml:space="preserve"/>
      </w:r>
    </w:p>
    <w:p>
      <w:pPr>
        <w:spacing w:before="220" w:after="80"/>
      </w:pPr>
      <w:r>
        <w:rPr>
          <w:rFonts w:ascii="Arial" w:cs="Arial" w:eastAsia="Arial" w:hAnsi="Arial"/>
          <w:b/>
          <w:bCs/>
          <w:color w:val="0E2040"/>
          <w:sz w:val="23"/>
          <w:szCs w:val="23"/>
        </w:rPr>
        <w:t xml:space="preserve">SLIDE CONTENT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5FA6" w:sz="4"/>
              <w:left w:val="thick" w:color="1D5FA6" w:sz="20"/>
              <w:bottom w:val="single" w:color="1D5FA6" w:sz="4"/>
              <w:right w:val="single" w:color="1D5FA6" w:sz="4"/>
            </w:tcBorders>
            <w:shd w:fill="EEF5FC" w:val="clear"/>
            <w:tcMar>
              <w:top w:type="dxa" w:w="140"/>
              <w:left w:type="dxa" w:w="220"/>
              <w:bottom w:type="dxa" w:w="140"/>
              <w:right w:type="dxa" w:w="140"/>
            </w:tcMar>
          </w:tcPr>
          <w:p>
            <w:pPr>
              <w:spacing w:before="0" w:after="60"/>
            </w:pPr>
            <w:r>
              <w:rPr>
                <w:rFonts w:ascii="Arial" w:cs="Arial" w:eastAsia="Arial" w:hAnsi="Arial"/>
                <w:b/>
                <w:bCs/>
                <w:color w:val="0E2040"/>
                <w:sz w:val="22"/>
                <w:szCs w:val="22"/>
              </w:rPr>
              <w:t xml:space="preserve">What Goes On This Slide</w:t>
            </w:r>
          </w:p>
          <w:p>
            <w:pPr>
              <w:spacing w:before="40" w:after="40"/>
            </w:pPr>
            <w:r>
              <w:rPr>
                <w:rFonts w:ascii="Arial" w:cs="Arial" w:eastAsia="Arial" w:hAnsi="Arial"/>
                <w:color w:val="1C1C1E"/>
                <w:sz w:val="20"/>
                <w:szCs w:val="20"/>
              </w:rPr>
              <w:t xml:space="preserve">HEADLINE: 'The Economics — Profitable by Year 4. Sustainable Under Any Scenario.'</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LAYOUT: Two columns. Left = Cost Structure. Right = Revenue Model &amp; P&amp;L.</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LEFT COLUMN — Cost Structure:</w:t>
            </w:r>
          </w:p>
          <w:p>
            <w:pPr>
              <w:spacing w:before="40" w:after="40"/>
            </w:pPr>
            <w:r>
              <w:rPr>
                <w:rFonts w:ascii="Arial" w:cs="Arial" w:eastAsia="Arial" w:hAnsi="Arial"/>
                <w:color w:val="1C1C1E"/>
                <w:sz w:val="20"/>
                <w:szCs w:val="20"/>
              </w:rPr>
              <w:t xml:space="preserve">  Annual cost table (simplified, 5 rows + total):</w:t>
            </w:r>
          </w:p>
          <w:p>
            <w:pPr>
              <w:spacing w:before="40" w:after="40"/>
            </w:pPr>
            <w:r>
              <w:rPr>
                <w:rFonts w:ascii="Arial" w:cs="Arial" w:eastAsia="Arial" w:hAnsi="Arial"/>
                <w:color w:val="1C1C1E"/>
                <w:sz w:val="20"/>
                <w:szCs w:val="20"/>
              </w:rPr>
              <w:t xml:space="preserve">    Fund management team (Lead FM + 2nd FM + 2 analysts): ₹6–8 crore</w:t>
            </w:r>
          </w:p>
          <w:p>
            <w:pPr>
              <w:spacing w:before="40" w:after="40"/>
            </w:pPr>
            <w:r>
              <w:rPr>
                <w:rFonts w:ascii="Arial" w:cs="Arial" w:eastAsia="Arial" w:hAnsi="Arial"/>
                <w:color w:val="1C1C1E"/>
                <w:sz w:val="20"/>
                <w:szCs w:val="20"/>
              </w:rPr>
              <w:t xml:space="preserve">    SIF CIO (from Day 1): ₹3–5 crore</w:t>
            </w:r>
          </w:p>
          <w:p>
            <w:pPr>
              <w:spacing w:before="40" w:after="40"/>
            </w:pPr>
            <w:r>
              <w:rPr>
                <w:rFonts w:ascii="Arial" w:cs="Arial" w:eastAsia="Arial" w:hAnsi="Arial"/>
                <w:color w:val="1C1C1E"/>
                <w:sz w:val="20"/>
                <w:szCs w:val="20"/>
              </w:rPr>
              <w:t xml:space="preserve">    Technology (app, portal, Real Return Dashboard): ₹2–3 crore</w:t>
            </w:r>
          </w:p>
          <w:p>
            <w:pPr>
              <w:spacing w:before="40" w:after="40"/>
            </w:pPr>
            <w:r>
              <w:rPr>
                <w:rFonts w:ascii="Arial" w:cs="Arial" w:eastAsia="Arial" w:hAnsi="Arial"/>
                <w:color w:val="1C1C1E"/>
                <w:sz w:val="20"/>
                <w:szCs w:val="20"/>
              </w:rPr>
              <w:t xml:space="preserve">    Content &amp; marketing (conviction letters, webinars): ₹2–3 crore</w:t>
            </w:r>
          </w:p>
          <w:p>
            <w:pPr>
              <w:spacing w:before="40" w:after="40"/>
            </w:pPr>
            <w:r>
              <w:rPr>
                <w:rFonts w:ascii="Arial" w:cs="Arial" w:eastAsia="Arial" w:hAnsi="Arial"/>
                <w:color w:val="1C1C1E"/>
                <w:sz w:val="20"/>
                <w:szCs w:val="20"/>
              </w:rPr>
              <w:t xml:space="preserve">    Operations, compliance, legal, overhead: ₹3–5 crore</w:t>
            </w:r>
          </w:p>
          <w:p>
            <w:pPr>
              <w:spacing w:before="40" w:after="40"/>
            </w:pPr>
            <w:r>
              <w:rPr>
                <w:rFonts w:ascii="Arial" w:cs="Arial" w:eastAsia="Arial" w:hAnsi="Arial"/>
                <w:color w:val="1C1C1E"/>
                <w:sz w:val="20"/>
                <w:szCs w:val="20"/>
              </w:rPr>
              <w:t xml:space="preserve">    TOTAL Year 1: ₹16–24 crore (working figure: ₹18.5 crore)</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RIGHT COLUMN — P&amp;L Milestones (3-row mini table):</w:t>
            </w:r>
          </w:p>
          <w:p>
            <w:pPr>
              <w:spacing w:before="40" w:after="40"/>
            </w:pPr>
            <w:r>
              <w:rPr>
                <w:rFonts w:ascii="Arial" w:cs="Arial" w:eastAsia="Arial" w:hAnsi="Arial"/>
                <w:color w:val="1C1C1E"/>
                <w:sz w:val="20"/>
                <w:szCs w:val="20"/>
              </w:rPr>
              <w:t xml:space="preserve">  Year 1 (₹700cr AUM): Revenue ₹5.1cr | Cost ₹18.5cr | Loss (₹13.4cr)</w:t>
            </w:r>
          </w:p>
          <w:p>
            <w:pPr>
              <w:spacing w:before="40" w:after="40"/>
            </w:pPr>
            <w:r>
              <w:rPr>
                <w:rFonts w:ascii="Arial" w:cs="Arial" w:eastAsia="Arial" w:hAnsi="Arial"/>
                <w:color w:val="1C1C1E"/>
                <w:sz w:val="20"/>
                <w:szCs w:val="20"/>
              </w:rPr>
              <w:t xml:space="preserve">  Year 3 (₹2,400cr AUM): Revenue ₹17.5cr | Cost ₹21.5cr | Loss (₹4.0cr)</w:t>
            </w:r>
          </w:p>
          <w:p>
            <w:pPr>
              <w:spacing w:before="40" w:after="40"/>
            </w:pPr>
            <w:r>
              <w:rPr>
                <w:rFonts w:ascii="Arial" w:cs="Arial" w:eastAsia="Arial" w:hAnsi="Arial"/>
                <w:color w:val="1C1C1E"/>
                <w:sz w:val="20"/>
                <w:szCs w:val="20"/>
              </w:rPr>
              <w:t xml:space="preserve">  Year 4 (₹3,600cr AUM): Revenue ₹26.3cr | Cost ₹22.5cr | PROFIT ₹3.8cr</w:t>
            </w:r>
          </w:p>
          <w:p>
            <w:pPr>
              <w:spacing w:before="40" w:after="40"/>
            </w:pPr>
            <w:r>
              <w:rPr>
                <w:rFonts w:ascii="Arial" w:cs="Arial" w:eastAsia="Arial" w:hAnsi="Arial"/>
                <w:color w:val="1C1C1E"/>
                <w:sz w:val="20"/>
                <w:szCs w:val="20"/>
              </w:rPr>
              <w:t xml:space="preserve">  Year 5 (₹5,600cr AUM): Revenue ₹40.9cr | Cost ₹24.0cr | PROFIT ₹16.9cr (41% margin)</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BREAKEVEN CALLOUT (prominent, center):</w:t>
            </w:r>
          </w:p>
          <w:p>
            <w:pPr>
              <w:spacing w:before="40" w:after="40"/>
            </w:pPr>
            <w:r>
              <w:rPr>
                <w:rFonts w:ascii="Arial" w:cs="Arial" w:eastAsia="Arial" w:hAnsi="Arial"/>
                <w:color w:val="1C1C1E"/>
                <w:sz w:val="20"/>
                <w:szCs w:val="20"/>
              </w:rPr>
              <w:t xml:space="preserve">  'Breakeven: ₹2,750 crore AUM — targeted Year 3–4 (base case)'</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BOTTOM FULL-WIDTH — SUSTAINABILITY BAR:</w:t>
            </w:r>
          </w:p>
          <w:p>
            <w:pPr>
              <w:spacing w:before="40" w:after="40"/>
            </w:pPr>
            <w:r>
              <w:rPr>
                <w:rFonts w:ascii="Arial" w:cs="Arial" w:eastAsia="Arial" w:hAnsi="Arial"/>
                <w:color w:val="1C1C1E"/>
                <w:sz w:val="20"/>
                <w:szCs w:val="20"/>
              </w:rPr>
              <w:t xml:space="preserve">  'Cumulative losses through Year 3 (base case): ~₹27 crore'</w:t>
            </w:r>
          </w:p>
          <w:p>
            <w:pPr>
              <w:spacing w:before="40" w:after="40"/>
            </w:pPr>
            <w:r>
              <w:rPr>
                <w:rFonts w:ascii="Arial" w:cs="Arial" w:eastAsia="Arial" w:hAnsi="Arial"/>
                <w:color w:val="1C1C1E"/>
                <w:sz w:val="20"/>
                <w:szCs w:val="20"/>
              </w:rPr>
              <w:t xml:space="preserve">  '= 3.4% of Monarch's ₹796 crore networth'</w:t>
            </w:r>
          </w:p>
          <w:p>
            <w:pPr>
              <w:spacing w:before="40" w:after="40"/>
            </w:pPr>
            <w:r>
              <w:rPr>
                <w:rFonts w:ascii="Arial" w:cs="Arial" w:eastAsia="Arial" w:hAnsi="Arial"/>
                <w:color w:val="1C1C1E"/>
                <w:sz w:val="20"/>
                <w:szCs w:val="20"/>
              </w:rPr>
              <w:t xml:space="preserve">  '= 18% of a single year's ₹149 crore PBT'</w:t>
            </w:r>
          </w:p>
          <w:p>
            <w:pPr>
              <w:spacing w:before="40" w:after="40"/>
            </w:pPr>
            <w:r>
              <w:rPr>
                <w:rFonts w:ascii="Arial" w:cs="Arial" w:eastAsia="Arial" w:hAnsi="Arial"/>
                <w:color w:val="1C1C1E"/>
                <w:sz w:val="20"/>
                <w:szCs w:val="20"/>
              </w:rPr>
              <w:t xml:space="preserve">  'This is a planned strategic investment. Not financial stress. No external fundraising required.'</w:t>
            </w:r>
          </w:p>
        </w:tc>
      </w:tr>
    </w:tbl>
    <w:p>
      <w:pPr>
        <w:spacing w:before="80" w:after="0"/>
      </w:pPr>
      <w:r>
        <w:rPr>
          <w:rFonts w:ascii="Arial" w:cs="Arial" w:eastAsia="Arial" w:hAnsi="Arial"/>
          <w:color w:val="1C1C1E"/>
          <w:sz w:val="21"/>
          <w:szCs w:val="21"/>
        </w:rPr>
        <w:t xml:space="preserve"/>
      </w:r>
    </w:p>
    <w:p>
      <w:pPr>
        <w:spacing w:before="160" w:after="60"/>
      </w:pPr>
      <w:r>
        <w:rPr>
          <w:rFonts w:ascii="Arial" w:cs="Arial" w:eastAsia="Arial" w:hAnsi="Arial"/>
          <w:b/>
          <w:bCs/>
          <w:i/>
          <w:iCs/>
          <w:color w:val="4A4A4A"/>
          <w:sz w:val="21"/>
          <w:szCs w:val="21"/>
        </w:rPr>
        <w:t xml:space="preserve">Anticipated Judge Question: 'Is the ₹2,750 crore breakeven realistic?'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5FA6" w:sz="4"/>
              <w:left w:val="thick" w:color="1D5FA6" w:sz="20"/>
              <w:bottom w:val="single" w:color="1D5FA6" w:sz="4"/>
              <w:right w:val="single" w:color="1D5FA6" w:sz="4"/>
            </w:tcBorders>
            <w:shd w:fill="D9E8F7" w:val="clear"/>
            <w:tcMar>
              <w:top w:type="dxa" w:w="140"/>
              <w:left w:type="dxa" w:w="220"/>
              <w:bottom w:type="dxa" w:w="140"/>
              <w:right w:type="dxa" w:w="140"/>
            </w:tcMar>
          </w:tcPr>
          <w:p>
            <w:pPr>
              <w:spacing w:before="0" w:after="60"/>
            </w:pPr>
            <w:r>
              <w:rPr>
                <w:rFonts w:ascii="Arial" w:cs="Arial" w:eastAsia="Arial" w:hAnsi="Arial"/>
                <w:b/>
                <w:bCs/>
                <w:color w:val="0E2040"/>
                <w:sz w:val="22"/>
                <w:szCs w:val="22"/>
              </w:rPr>
              <w:t xml:space="preserve">Pre-Built Answer</w:t>
            </w:r>
          </w:p>
          <w:p>
            <w:pPr>
              <w:spacing w:before="40" w:after="40"/>
            </w:pPr>
            <w:r>
              <w:rPr>
                <w:rFonts w:ascii="Arial" w:cs="Arial" w:eastAsia="Arial" w:hAnsi="Arial"/>
                <w:color w:val="1C1C1E"/>
                <w:sz w:val="20"/>
                <w:szCs w:val="20"/>
              </w:rPr>
              <w:t xml:space="preserve">Year 1 warm base from existing relationships alone: ₹410–700 crore (conservative to base case) without a single paid advertisement. Year 3 at ₹2,400 crore requires ~45% CAGR from ₹700cr Year 1 base — achievable given PPFAS grew from ~₹2,500 crore in 2015 to ₹15,000+ crore by 2020 (similar trajectory off a smaller base). Even in the conservative case (₹1,650 crore by Year 3), the path to ₹2,750 crore by Year 4–5 is fully fundable off Monarch's balance sheet.</w:t>
            </w:r>
          </w:p>
        </w:tc>
      </w:tr>
    </w:tbl>
    <w:p>
      <w:pPr>
        <w:spacing w:before="16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2040" w:val="clear"/>
            <w:tcMar>
              <w:top w:type="dxa" w:w="180"/>
              <w:left w:type="dxa" w:w="240"/>
              <w:bottom w:type="dxa" w:w="180"/>
              <w:right w:type="dxa" w:w="240"/>
            </w:tcMar>
          </w:tcPr>
          <w:p>
            <w:pPr>
              <w:spacing w:before="0" w:after="40"/>
            </w:pPr>
            <w:r>
              <w:rPr>
                <w:rFonts w:ascii="Arial" w:cs="Arial" w:eastAsia="Arial" w:hAnsi="Arial"/>
                <w:b/>
                <w:bCs/>
                <w:color w:val="C9952A"/>
                <w:sz w:val="17"/>
                <w:szCs w:val="17"/>
              </w:rPr>
              <w:t xml:space="preserve">SLIDE 6  </w:t>
            </w:r>
            <w:r>
              <w:rPr>
                <w:rFonts w:ascii="Arial" w:cs="Arial" w:eastAsia="Arial" w:hAnsi="Arial"/>
                <w:b/>
                <w:bCs/>
                <w:color w:val="FFFFFF"/>
                <w:sz w:val="27"/>
                <w:szCs w:val="27"/>
              </w:rPr>
              <w:t xml:space="preserve">BODY SLIDE 5: GO-TO-MARKET STRATEGY</w:t>
            </w:r>
          </w:p>
          <w:p>
            <w:pPr>
              <w:spacing w:before="0" w:after="0"/>
            </w:pPr>
            <w:r>
              <w:rPr>
                <w:rFonts w:ascii="Arial" w:cs="Arial" w:eastAsia="Arial" w:hAnsi="Arial"/>
                <w:i/>
                <w:iCs/>
                <w:color w:val="AACCE0"/>
                <w:sz w:val="20"/>
                <w:szCs w:val="20"/>
              </w:rPr>
              <w:t xml:space="preserve">Distribution without dependency — pull model, not push</w:t>
            </w:r>
          </w:p>
        </w:tc>
      </w:tr>
    </w:tbl>
    <w:p>
      <w:pPr>
        <w:spacing w:before="80" w:after="0"/>
      </w:pPr>
      <w:r>
        <w:rPr>
          <w:rFonts w:ascii="Arial" w:cs="Arial" w:eastAsia="Arial" w:hAnsi="Arial"/>
          <w:color w:val="1C1C1E"/>
          <w:sz w:val="21"/>
          <w:szCs w:val="21"/>
        </w:rPr>
        <w:t xml:space="preserve"/>
      </w:r>
    </w:p>
    <w:p>
      <w:pPr>
        <w:spacing w:before="220" w:after="80"/>
      </w:pPr>
      <w:r>
        <w:rPr>
          <w:rFonts w:ascii="Arial" w:cs="Arial" w:eastAsia="Arial" w:hAnsi="Arial"/>
          <w:b/>
          <w:bCs/>
          <w:color w:val="0E2040"/>
          <w:sz w:val="23"/>
          <w:szCs w:val="23"/>
        </w:rPr>
        <w:t xml:space="preserve">SLIDE CONTENT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5FA6" w:sz="4"/>
              <w:left w:val="thick" w:color="1D5FA6" w:sz="20"/>
              <w:bottom w:val="single" w:color="1D5FA6" w:sz="4"/>
              <w:right w:val="single" w:color="1D5FA6" w:sz="4"/>
            </w:tcBorders>
            <w:shd w:fill="EEF5FC" w:val="clear"/>
            <w:tcMar>
              <w:top w:type="dxa" w:w="140"/>
              <w:left w:type="dxa" w:w="220"/>
              <w:bottom w:type="dxa" w:w="140"/>
              <w:right w:type="dxa" w:w="140"/>
            </w:tcMar>
          </w:tcPr>
          <w:p>
            <w:pPr>
              <w:spacing w:before="0" w:after="60"/>
            </w:pPr>
            <w:r>
              <w:rPr>
                <w:rFonts w:ascii="Arial" w:cs="Arial" w:eastAsia="Arial" w:hAnsi="Arial"/>
                <w:b/>
                <w:bCs/>
                <w:color w:val="0E2040"/>
                <w:sz w:val="22"/>
                <w:szCs w:val="22"/>
              </w:rPr>
              <w:t xml:space="preserve">What Goes On This Slide</w:t>
            </w:r>
          </w:p>
          <w:p>
            <w:pPr>
              <w:spacing w:before="40" w:after="40"/>
            </w:pPr>
            <w:r>
              <w:rPr>
                <w:rFonts w:ascii="Arial" w:cs="Arial" w:eastAsia="Arial" w:hAnsi="Arial"/>
                <w:color w:val="1C1C1E"/>
                <w:sz w:val="20"/>
                <w:szCs w:val="20"/>
              </w:rPr>
              <w:t xml:space="preserve">HEADLINE: 'Distribution Without Dependency — Pull Model, Not Push'</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LAYOUT: Two-phase timeline visual spanning the full slide.</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PHASE 1 (Months 1–12) — Warm Launch:</w:t>
            </w:r>
          </w:p>
          <w:p>
            <w:pPr>
              <w:spacing w:before="40" w:after="40"/>
            </w:pPr>
            <w:r>
              <w:rPr>
                <w:rFonts w:ascii="Arial" w:cs="Arial" w:eastAsia="Arial" w:hAnsi="Arial"/>
                <w:color w:val="1C1C1E"/>
                <w:sz w:val="20"/>
                <w:szCs w:val="20"/>
              </w:rPr>
              <w:t xml:space="preserve">  Four channel bubbles, each showing ₹ target and mechanism:</w:t>
            </w:r>
          </w:p>
          <w:p>
            <w:pPr>
              <w:spacing w:before="40" w:after="40"/>
            </w:pPr>
            <w:r>
              <w:rPr>
                <w:rFonts w:ascii="Arial" w:cs="Arial" w:eastAsia="Arial" w:hAnsi="Arial"/>
                <w:color w:val="1C1C1E"/>
                <w:sz w:val="20"/>
                <w:szCs w:val="20"/>
              </w:rPr>
              <w:t xml:space="preserve">  • AIF investor conversions: ₹120–180 crore</w:t>
            </w:r>
          </w:p>
          <w:p>
            <w:pPr>
              <w:spacing w:before="40" w:after="40"/>
            </w:pPr>
            <w:r>
              <w:rPr>
                <w:rFonts w:ascii="Arial" w:cs="Arial" w:eastAsia="Arial" w:hAnsi="Arial"/>
                <w:color w:val="1C1C1E"/>
                <w:sz w:val="20"/>
                <w:szCs w:val="20"/>
              </w:rPr>
              <w:t xml:space="preserve">    (12–18% conversion | existing relationship + same philosophy | avg ticket ₹15–50L)</w:t>
            </w:r>
          </w:p>
          <w:p>
            <w:pPr>
              <w:spacing w:before="40" w:after="40"/>
            </w:pPr>
            <w:r>
              <w:rPr>
                <w:rFonts w:ascii="Arial" w:cs="Arial" w:eastAsia="Arial" w:hAnsi="Arial"/>
                <w:color w:val="1C1C1E"/>
                <w:sz w:val="20"/>
                <w:szCs w:val="20"/>
              </w:rPr>
              <w:t xml:space="preserve">  • Brokerage client activation: ₹100–160 crore</w:t>
            </w:r>
          </w:p>
          <w:p>
            <w:pPr>
              <w:spacing w:before="40" w:after="40"/>
            </w:pPr>
            <w:r>
              <w:rPr>
                <w:rFonts w:ascii="Arial" w:cs="Arial" w:eastAsia="Arial" w:hAnsi="Arial"/>
                <w:color w:val="1C1C1E"/>
                <w:sz w:val="20"/>
                <w:szCs w:val="20"/>
              </w:rPr>
              <w:t xml:space="preserve">    (Top 8–12K clients by volume | RM outreach | 57 branches | avg ₹4–5L per investor)</w:t>
            </w:r>
          </w:p>
          <w:p>
            <w:pPr>
              <w:spacing w:before="40" w:after="40"/>
            </w:pPr>
            <w:r>
              <w:rPr>
                <w:rFonts w:ascii="Arial" w:cs="Arial" w:eastAsia="Arial" w:hAnsi="Arial"/>
                <w:color w:val="1C1C1E"/>
                <w:sz w:val="20"/>
                <w:szCs w:val="20"/>
              </w:rPr>
              <w:t xml:space="preserve">  • Digital platforms — MONTH 1 (highlighted as KEY CHANGE): ₹60–120 crore</w:t>
            </w:r>
          </w:p>
          <w:p>
            <w:pPr>
              <w:spacing w:before="40" w:after="40"/>
            </w:pPr>
            <w:r>
              <w:rPr>
                <w:rFonts w:ascii="Arial" w:cs="Arial" w:eastAsia="Arial" w:hAnsi="Arial"/>
                <w:color w:val="1C1C1E"/>
                <w:sz w:val="20"/>
                <w:szCs w:val="20"/>
              </w:rPr>
              <w:t xml:space="preserve">    (Kuvera, MFCentral, ET Money Pro | direct plan investors outside Monarch network)</w:t>
            </w:r>
          </w:p>
          <w:p>
            <w:pPr>
              <w:spacing w:before="40" w:after="40"/>
            </w:pPr>
            <w:r>
              <w:rPr>
                <w:rFonts w:ascii="Arial" w:cs="Arial" w:eastAsia="Arial" w:hAnsi="Arial"/>
                <w:color w:val="1C1C1E"/>
                <w:sz w:val="20"/>
                <w:szCs w:val="20"/>
              </w:rPr>
              <w:t xml:space="preserve">  • NFO open market: ₹80–150 crore</w:t>
            </w:r>
          </w:p>
          <w:p>
            <w:pPr>
              <w:spacing w:before="40" w:after="40"/>
            </w:pPr>
            <w:r>
              <w:rPr>
                <w:rFonts w:ascii="Arial" w:cs="Arial" w:eastAsia="Arial" w:hAnsi="Arial"/>
                <w:color w:val="1C1C1E"/>
                <w:sz w:val="20"/>
                <w:szCs w:val="20"/>
              </w:rPr>
              <w:t xml:space="preserve">    (₹10cr AMC seed | 30-day pre-launch content | soft close at ₹600cr)</w:t>
            </w:r>
          </w:p>
          <w:p>
            <w:pPr>
              <w:spacing w:before="40" w:after="40"/>
            </w:pPr>
            <w:r>
              <w:rPr>
                <w:rFonts w:ascii="Arial" w:cs="Arial" w:eastAsia="Arial" w:hAnsi="Arial"/>
                <w:color w:val="1C1C1E"/>
                <w:sz w:val="20"/>
                <w:szCs w:val="20"/>
              </w:rPr>
              <w:t xml:space="preserve">  Year 1 Target: ₹410 crore (conservative) → ₹710 crore (base case)</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PHASE 2 (Months 12–36) — Credibility Flywheel:</w:t>
            </w:r>
          </w:p>
          <w:p>
            <w:pPr>
              <w:spacing w:before="40" w:after="40"/>
            </w:pPr>
            <w:r>
              <w:rPr>
                <w:rFonts w:ascii="Arial" w:cs="Arial" w:eastAsia="Arial" w:hAnsi="Arial"/>
                <w:color w:val="1C1C1E"/>
                <w:sz w:val="20"/>
                <w:szCs w:val="20"/>
              </w:rPr>
              <w:t xml:space="preserve">  Show as circular flywheel:</w:t>
            </w:r>
          </w:p>
          <w:p>
            <w:pPr>
              <w:spacing w:before="40" w:after="40"/>
            </w:pPr>
            <w:r>
              <w:rPr>
                <w:rFonts w:ascii="Arial" w:cs="Arial" w:eastAsia="Arial" w:hAnsi="Arial"/>
                <w:color w:val="1C1C1E"/>
                <w:sz w:val="20"/>
                <w:szCs w:val="20"/>
              </w:rPr>
              <w:t xml:space="preserve">  Quarterly Conviction Letters + Real Return Dashboard → Earned Media (ET, Moneycontrol, ValueResearch)</w:t>
            </w:r>
          </w:p>
          <w:p>
            <w:pPr>
              <w:spacing w:before="40" w:after="40"/>
            </w:pPr>
            <w:r>
              <w:rPr>
                <w:rFonts w:ascii="Arial" w:cs="Arial" w:eastAsia="Arial" w:hAnsi="Arial"/>
                <w:color w:val="1C1C1E"/>
                <w:sz w:val="20"/>
                <w:szCs w:val="20"/>
              </w:rPr>
              <w:t xml:space="preserve">  → RIA Discovery and Trust → RIA allocations grow to 200 RIAs × ₹1.5cr = ₹300cr by Year 2</w:t>
            </w:r>
          </w:p>
          <w:p>
            <w:pPr>
              <w:spacing w:before="40" w:after="40"/>
            </w:pPr>
            <w:r>
              <w:rPr>
                <w:rFonts w:ascii="Arial" w:cs="Arial" w:eastAsia="Arial" w:hAnsi="Arial"/>
                <w:color w:val="1C1C1E"/>
                <w:sz w:val="20"/>
                <w:szCs w:val="20"/>
              </w:rPr>
              <w:t xml:space="preserve">  → Better investor quality (longer holding, lower redemption) → Stable AUM → Lower unit cost</w:t>
            </w:r>
          </w:p>
          <w:p>
            <w:pPr>
              <w:spacing w:before="40" w:after="40"/>
            </w:pPr>
            <w:r>
              <w:rPr>
                <w:rFonts w:ascii="Arial" w:cs="Arial" w:eastAsia="Arial" w:hAnsi="Arial"/>
                <w:color w:val="1C1C1E"/>
                <w:sz w:val="20"/>
                <w:szCs w:val="20"/>
              </w:rPr>
              <w:t xml:space="preserve">  → Enables more research investment → Better performance → More media → [repeat]</w:t>
            </w:r>
          </w:p>
          <w:p>
            <w:pPr>
              <w:spacing w:before="40" w:after="40"/>
            </w:pPr>
            <w:r>
              <w:rPr>
                <w:rFonts w:ascii="Arial" w:cs="Arial" w:eastAsia="Arial" w:hAnsi="Arial"/>
                <w:color w:val="1C1C1E"/>
                <w:sz w:val="20"/>
                <w:szCs w:val="20"/>
              </w:rPr>
              <w:t xml:space="preserve">  Year 3 Target: ₹2,000–2,400 crore</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RIGHT SIDEBAR:</w:t>
            </w:r>
          </w:p>
          <w:p>
            <w:pPr>
              <w:spacing w:before="40" w:after="40"/>
            </w:pPr>
            <w:r>
              <w:rPr>
                <w:rFonts w:ascii="Arial" w:cs="Arial" w:eastAsia="Arial" w:hAnsi="Arial"/>
                <w:color w:val="1C1C1E"/>
                <w:sz w:val="20"/>
                <w:szCs w:val="20"/>
              </w:rPr>
              <w:t xml:space="preserve">  Channel Mix Target pie chart:</w:t>
            </w:r>
          </w:p>
          <w:p>
            <w:pPr>
              <w:spacing w:before="40" w:after="40"/>
            </w:pPr>
            <w:r>
              <w:rPr>
                <w:rFonts w:ascii="Arial" w:cs="Arial" w:eastAsia="Arial" w:hAnsi="Arial"/>
                <w:color w:val="1C1C1E"/>
                <w:sz w:val="20"/>
                <w:szCs w:val="20"/>
              </w:rPr>
              <w:t xml:space="preserve">    Direct (Monarch direct + digital platforms): 65%</w:t>
            </w:r>
          </w:p>
          <w:p>
            <w:pPr>
              <w:spacing w:before="40" w:after="40"/>
            </w:pPr>
            <w:r>
              <w:rPr>
                <w:rFonts w:ascii="Arial" w:cs="Arial" w:eastAsia="Arial" w:hAnsi="Arial"/>
                <w:color w:val="1C1C1E"/>
                <w:sz w:val="20"/>
                <w:szCs w:val="20"/>
              </w:rPr>
              <w:t xml:space="preserve">    RIA-referred: 35%</w:t>
            </w:r>
          </w:p>
          <w:p>
            <w:pPr>
              <w:spacing w:before="40" w:after="40"/>
            </w:pPr>
            <w:r>
              <w:rPr>
                <w:rFonts w:ascii="Arial" w:cs="Arial" w:eastAsia="Arial" w:hAnsi="Arial"/>
                <w:color w:val="1C1C1E"/>
                <w:sz w:val="20"/>
                <w:szCs w:val="20"/>
              </w:rPr>
              <w:t xml:space="preserve">    Bank distributors: ZERO</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BOTTOM NOTE: 'Year 3+: Selective Tier 2 expansion via Monarch branch network. SEBI B30 incentives provide additional TER headroom for RM compensation.'</w:t>
            </w:r>
          </w:p>
        </w:tc>
      </w:tr>
    </w:tbl>
    <w:p>
      <w:pPr>
        <w:spacing w:before="80" w:after="0"/>
      </w:pPr>
      <w:r>
        <w:rPr>
          <w:rFonts w:ascii="Arial" w:cs="Arial" w:eastAsia="Arial" w:hAnsi="Arial"/>
          <w:color w:val="1C1C1E"/>
          <w:sz w:val="21"/>
          <w:szCs w:val="21"/>
        </w:rPr>
        <w:t xml:space="preserve"/>
      </w:r>
    </w:p>
    <w:p>
      <w:pPr>
        <w:spacing w:before="160" w:after="60"/>
      </w:pPr>
      <w:r>
        <w:rPr>
          <w:rFonts w:ascii="Arial" w:cs="Arial" w:eastAsia="Arial" w:hAnsi="Arial"/>
          <w:b/>
          <w:bCs/>
          <w:i/>
          <w:iCs/>
          <w:color w:val="4A4A4A"/>
          <w:sz w:val="21"/>
          <w:szCs w:val="21"/>
        </w:rPr>
        <w:t xml:space="preserve">Anticipated Judge Question: 'Why won't you use bank distributors? You're leaving AUM on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5FA6" w:sz="4"/>
              <w:left w:val="thick" w:color="1D5FA6" w:sz="20"/>
              <w:bottom w:val="single" w:color="1D5FA6" w:sz="4"/>
              <w:right w:val="single" w:color="1D5FA6" w:sz="4"/>
            </w:tcBorders>
            <w:shd w:fill="D9E8F7" w:val="clear"/>
            <w:tcMar>
              <w:top w:type="dxa" w:w="140"/>
              <w:left w:type="dxa" w:w="220"/>
              <w:bottom w:type="dxa" w:w="140"/>
              <w:right w:type="dxa" w:w="140"/>
            </w:tcMar>
          </w:tcPr>
          <w:p>
            <w:pPr>
              <w:spacing w:before="0" w:after="60"/>
            </w:pPr>
            <w:r>
              <w:rPr>
                <w:rFonts w:ascii="Arial" w:cs="Arial" w:eastAsia="Arial" w:hAnsi="Arial"/>
                <w:b/>
                <w:bCs/>
                <w:color w:val="0E2040"/>
                <w:sz w:val="22"/>
                <w:szCs w:val="22"/>
              </w:rPr>
              <w:t xml:space="preserve">Pre-Built Answer</w:t>
            </w:r>
          </w:p>
          <w:p>
            <w:pPr>
              <w:spacing w:before="40" w:after="40"/>
            </w:pPr>
            <w:r>
              <w:rPr>
                <w:rFonts w:ascii="Arial" w:cs="Arial" w:eastAsia="Arial" w:hAnsi="Arial"/>
                <w:color w:val="1C1C1E"/>
                <w:sz w:val="20"/>
                <w:szCs w:val="20"/>
              </w:rPr>
              <w:t xml:space="preserve">The commission-paying bank distributor channel produces the wrong investor — one who bought the fund because their HDFC Bank relationship manager pushed it, not because they understand or believe in conviction investing. This investor will redeem at the first 25% drawdown. Their redemption destabilises the fund, forces the fund manager to sell at inopportune prices, hurts remaining investors, and destroys the AMC's economics. One commission-chasing distributor who sends 200 confused investors is worse than zero distributors. We are deliberately selecting for patient, educated investors — even if it means slower AUM accumulation.</w:t>
            </w:r>
          </w:p>
        </w:tc>
      </w:tr>
    </w:tbl>
    <w:p>
      <w:pPr>
        <w:spacing w:before="16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2040" w:val="clear"/>
            <w:tcMar>
              <w:top w:type="dxa" w:w="180"/>
              <w:left w:type="dxa" w:w="240"/>
              <w:bottom w:type="dxa" w:w="180"/>
              <w:right w:type="dxa" w:w="240"/>
            </w:tcMar>
          </w:tcPr>
          <w:p>
            <w:pPr>
              <w:spacing w:before="0" w:after="40"/>
            </w:pPr>
            <w:r>
              <w:rPr>
                <w:rFonts w:ascii="Arial" w:cs="Arial" w:eastAsia="Arial" w:hAnsi="Arial"/>
                <w:b/>
                <w:bCs/>
                <w:color w:val="C9952A"/>
                <w:sz w:val="17"/>
                <w:szCs w:val="17"/>
              </w:rPr>
              <w:t xml:space="preserve">SLIDE 7  </w:t>
            </w:r>
            <w:r>
              <w:rPr>
                <w:rFonts w:ascii="Arial" w:cs="Arial" w:eastAsia="Arial" w:hAnsi="Arial"/>
                <w:b/>
                <w:bCs/>
                <w:color w:val="FFFFFF"/>
                <w:sz w:val="27"/>
                <w:szCs w:val="27"/>
              </w:rPr>
              <w:t xml:space="preserve">BODY SLIDE 6: STRATEGIC COHERENCE &amp; 10-YEAR VISION</w:t>
            </w:r>
          </w:p>
          <w:p>
            <w:pPr>
              <w:spacing w:before="0" w:after="0"/>
            </w:pPr>
            <w:r>
              <w:rPr>
                <w:rFonts w:ascii="Arial" w:cs="Arial" w:eastAsia="Arial" w:hAnsi="Arial"/>
                <w:i/>
                <w:iCs/>
                <w:color w:val="AACCE0"/>
                <w:sz w:val="20"/>
                <w:szCs w:val="20"/>
              </w:rPr>
              <w:t xml:space="preserve">Why this works together — and why it cannot be copied</w:t>
            </w:r>
          </w:p>
        </w:tc>
      </w:tr>
    </w:tbl>
    <w:p>
      <w:pPr>
        <w:spacing w:before="80" w:after="0"/>
      </w:pPr>
      <w:r>
        <w:rPr>
          <w:rFonts w:ascii="Arial" w:cs="Arial" w:eastAsia="Arial" w:hAnsi="Arial"/>
          <w:color w:val="1C1C1E"/>
          <w:sz w:val="21"/>
          <w:szCs w:val="21"/>
        </w:rPr>
        <w:t xml:space="preserve"/>
      </w:r>
    </w:p>
    <w:p>
      <w:pPr>
        <w:spacing w:before="220" w:after="80"/>
      </w:pPr>
      <w:r>
        <w:rPr>
          <w:rFonts w:ascii="Arial" w:cs="Arial" w:eastAsia="Arial" w:hAnsi="Arial"/>
          <w:b/>
          <w:bCs/>
          <w:color w:val="0E2040"/>
          <w:sz w:val="23"/>
          <w:szCs w:val="23"/>
        </w:rPr>
        <w:t xml:space="preserve">SLIDE CONTENT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5FA6" w:sz="4"/>
              <w:left w:val="thick" w:color="1D5FA6" w:sz="20"/>
              <w:bottom w:val="single" w:color="1D5FA6" w:sz="4"/>
              <w:right w:val="single" w:color="1D5FA6" w:sz="4"/>
            </w:tcBorders>
            <w:shd w:fill="EEF5FC" w:val="clear"/>
            <w:tcMar>
              <w:top w:type="dxa" w:w="140"/>
              <w:left w:type="dxa" w:w="220"/>
              <w:bottom w:type="dxa" w:w="140"/>
              <w:right w:type="dxa" w:w="140"/>
            </w:tcMar>
          </w:tcPr>
          <w:p>
            <w:pPr>
              <w:spacing w:before="0" w:after="60"/>
            </w:pPr>
            <w:r>
              <w:rPr>
                <w:rFonts w:ascii="Arial" w:cs="Arial" w:eastAsia="Arial" w:hAnsi="Arial"/>
                <w:b/>
                <w:bCs/>
                <w:color w:val="0E2040"/>
                <w:sz w:val="22"/>
                <w:szCs w:val="22"/>
              </w:rPr>
              <w:t xml:space="preserve">What Goes On This Slide</w:t>
            </w:r>
          </w:p>
          <w:p>
            <w:pPr>
              <w:spacing w:before="40" w:after="40"/>
            </w:pPr>
            <w:r>
              <w:rPr>
                <w:rFonts w:ascii="Arial" w:cs="Arial" w:eastAsia="Arial" w:hAnsi="Arial"/>
                <w:color w:val="1C1C1E"/>
                <w:sz w:val="20"/>
                <w:szCs w:val="20"/>
              </w:rPr>
              <w:t xml:space="preserve">HEADLINE: 'Why This Works Together — And Why It Cannot Be Copied'</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LAYOUT: Left panel (60%): Logic chain visual. Right panel (40%): Three moats over time.</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LEFT PANEL — The Logic Chain (simplified, visual flow):</w:t>
            </w:r>
          </w:p>
          <w:p>
            <w:pPr>
              <w:spacing w:before="40" w:after="40"/>
            </w:pPr>
            <w:r>
              <w:rPr>
                <w:rFonts w:ascii="Arial" w:cs="Arial" w:eastAsia="Arial" w:hAnsi="Arial"/>
                <w:color w:val="1C1C1E"/>
                <w:sz w:val="20"/>
                <w:szCs w:val="20"/>
              </w:rPr>
              <w:t xml:space="preserve">  TARGET INVESTOR</w:t>
            </w:r>
          </w:p>
          <w:p>
            <w:pPr>
              <w:spacing w:before="40" w:after="40"/>
            </w:pPr>
            <w:r>
              <w:rPr>
                <w:rFonts w:ascii="Arial" w:cs="Arial" w:eastAsia="Arial" w:hAnsi="Arial"/>
                <w:color w:val="1C1C1E"/>
                <w:sz w:val="20"/>
                <w:szCs w:val="20"/>
              </w:rPr>
              <w:t xml:space="preserve">  ↓ (arrow)</w:t>
            </w:r>
          </w:p>
          <w:p>
            <w:pPr>
              <w:spacing w:before="40" w:after="40"/>
            </w:pPr>
            <w:r>
              <w:rPr>
                <w:rFonts w:ascii="Arial" w:cs="Arial" w:eastAsia="Arial" w:hAnsi="Arial"/>
                <w:color w:val="1C1C1E"/>
                <w:sz w:val="20"/>
                <w:szCs w:val="20"/>
              </w:rPr>
              <w:t xml:space="preserve">  PROBLEM: Not served by incumbents (scale prison / missing middle / no real transparency)</w:t>
            </w:r>
          </w:p>
          <w:p>
            <w:pPr>
              <w:spacing w:before="40" w:after="40"/>
            </w:pPr>
            <w:r>
              <w:rPr>
                <w:rFonts w:ascii="Arial" w:cs="Arial" w:eastAsia="Arial" w:hAnsi="Arial"/>
                <w:color w:val="1C1C1E"/>
                <w:sz w:val="20"/>
                <w:szCs w:val="20"/>
              </w:rPr>
              <w:t xml:space="preserve">  ↓ (arrow)</w:t>
            </w:r>
          </w:p>
          <w:p>
            <w:pPr>
              <w:spacing w:before="40" w:after="40"/>
            </w:pPr>
            <w:r>
              <w:rPr>
                <w:rFonts w:ascii="Arial" w:cs="Arial" w:eastAsia="Arial" w:hAnsi="Arial"/>
                <w:color w:val="1C1C1E"/>
                <w:sz w:val="20"/>
                <w:szCs w:val="20"/>
              </w:rPr>
              <w:t xml:space="preserve">  OUR SOLUTION: Conviction process + Real Return Dashboard + three-tier access</w:t>
            </w:r>
          </w:p>
          <w:p>
            <w:pPr>
              <w:spacing w:before="40" w:after="40"/>
            </w:pPr>
            <w:r>
              <w:rPr>
                <w:rFonts w:ascii="Arial" w:cs="Arial" w:eastAsia="Arial" w:hAnsi="Arial"/>
                <w:color w:val="1C1C1E"/>
                <w:sz w:val="20"/>
                <w:szCs w:val="20"/>
              </w:rPr>
              <w:t xml:space="preserve">  ↓ (arrow)</w:t>
            </w:r>
          </w:p>
          <w:p>
            <w:pPr>
              <w:spacing w:before="40" w:after="40"/>
            </w:pPr>
            <w:r>
              <w:rPr>
                <w:rFonts w:ascii="Arial" w:cs="Arial" w:eastAsia="Arial" w:hAnsi="Arial"/>
                <w:color w:val="1C1C1E"/>
                <w:sz w:val="20"/>
                <w:szCs w:val="20"/>
              </w:rPr>
              <w:t xml:space="preserve">  DISTRIBUTION: Pull model — existing clients + digital + RIAs (no commission dependency)</w:t>
            </w:r>
          </w:p>
          <w:p>
            <w:pPr>
              <w:spacing w:before="40" w:after="40"/>
            </w:pPr>
            <w:r>
              <w:rPr>
                <w:rFonts w:ascii="Arial" w:cs="Arial" w:eastAsia="Arial" w:hAnsi="Arial"/>
                <w:color w:val="1C1C1E"/>
                <w:sz w:val="20"/>
                <w:szCs w:val="20"/>
              </w:rPr>
              <w:t xml:space="preserve">  ↓ (arrow)</w:t>
            </w:r>
          </w:p>
          <w:p>
            <w:pPr>
              <w:spacing w:before="40" w:after="40"/>
            </w:pPr>
            <w:r>
              <w:rPr>
                <w:rFonts w:ascii="Arial" w:cs="Arial" w:eastAsia="Arial" w:hAnsi="Arial"/>
                <w:color w:val="1C1C1E"/>
                <w:sz w:val="20"/>
                <w:szCs w:val="20"/>
              </w:rPr>
              <w:t xml:space="preserve">  ECONOMICS: Low fixed cost base → breakeven ₹2,750cr → 41% margin at ₹5,600cr</w:t>
            </w:r>
          </w:p>
          <w:p>
            <w:pPr>
              <w:spacing w:before="40" w:after="40"/>
            </w:pPr>
            <w:r>
              <w:rPr>
                <w:rFonts w:ascii="Arial" w:cs="Arial" w:eastAsia="Arial" w:hAnsi="Arial"/>
                <w:color w:val="1C1C1E"/>
                <w:sz w:val="20"/>
                <w:szCs w:val="20"/>
              </w:rPr>
              <w:t xml:space="preserve">  ↓ (arrow)</w:t>
            </w:r>
          </w:p>
          <w:p>
            <w:pPr>
              <w:spacing w:before="40" w:after="40"/>
            </w:pPr>
            <w:r>
              <w:rPr>
                <w:rFonts w:ascii="Arial" w:cs="Arial" w:eastAsia="Arial" w:hAnsi="Arial"/>
                <w:color w:val="1C1C1E"/>
                <w:sz w:val="20"/>
                <w:szCs w:val="20"/>
              </w:rPr>
              <w:t xml:space="preserve">  DURABILITY: ₹796cr networth absorbs losses → 3-year track record → community moat</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RIGHT PANEL — Three Moats Over Time:</w:t>
            </w:r>
          </w:p>
          <w:p>
            <w:pPr>
              <w:spacing w:before="40" w:after="40"/>
            </w:pPr>
            <w:r>
              <w:rPr>
                <w:rFonts w:ascii="Arial" w:cs="Arial" w:eastAsia="Arial" w:hAnsi="Arial"/>
                <w:color w:val="1C1C1E"/>
                <w:sz w:val="20"/>
                <w:szCs w:val="20"/>
              </w:rPr>
              <w:t xml:space="preserve">  Year 1–2: TRUST TRANSFER</w:t>
            </w:r>
          </w:p>
          <w:p>
            <w:pPr>
              <w:spacing w:before="40" w:after="40"/>
            </w:pPr>
            <w:r>
              <w:rPr>
                <w:rFonts w:ascii="Arial" w:cs="Arial" w:eastAsia="Arial" w:hAnsi="Arial"/>
                <w:color w:val="1C1C1E"/>
                <w:sz w:val="20"/>
                <w:szCs w:val="20"/>
              </w:rPr>
              <w:t xml:space="preserve">    '30-year brand + AIF track record + 300K clients'</w:t>
            </w:r>
          </w:p>
          <w:p>
            <w:pPr>
              <w:spacing w:before="40" w:after="40"/>
            </w:pPr>
            <w:r>
              <w:rPr>
                <w:rFonts w:ascii="Arial" w:cs="Arial" w:eastAsia="Arial" w:hAnsi="Arial"/>
                <w:color w:val="1C1C1E"/>
                <w:sz w:val="20"/>
                <w:szCs w:val="20"/>
              </w:rPr>
              <w:t xml:space="preserve">    Status: Launch fuel — temporary but powerful</w:t>
            </w:r>
          </w:p>
          <w:p>
            <w:pPr>
              <w:spacing w:before="40" w:after="40"/>
            </w:pPr>
            <w:r>
              <w:rPr>
                <w:rFonts w:ascii="Arial" w:cs="Arial" w:eastAsia="Arial" w:hAnsi="Arial"/>
                <w:color w:val="1C1C1E"/>
                <w:sz w:val="20"/>
                <w:szCs w:val="20"/>
              </w:rPr>
              <w:t xml:space="preserve">  Year 3–5: PROCESS VERIFICATION</w:t>
            </w:r>
          </w:p>
          <w:p>
            <w:pPr>
              <w:spacing w:before="40" w:after="40"/>
            </w:pPr>
            <w:r>
              <w:rPr>
                <w:rFonts w:ascii="Arial" w:cs="Arial" w:eastAsia="Arial" w:hAnsi="Arial"/>
                <w:color w:val="1C1C1E"/>
                <w:sz w:val="20"/>
                <w:szCs w:val="20"/>
              </w:rPr>
              <w:t xml:space="preserve">    '3-year SEBI-audited performance + 12 quarters Real Return Dashboard data'</w:t>
            </w:r>
          </w:p>
          <w:p>
            <w:pPr>
              <w:spacing w:before="40" w:after="40"/>
            </w:pPr>
            <w:r>
              <w:rPr>
                <w:rFonts w:ascii="Arial" w:cs="Arial" w:eastAsia="Arial" w:hAnsi="Arial"/>
                <w:color w:val="1C1C1E"/>
                <w:sz w:val="20"/>
                <w:szCs w:val="20"/>
              </w:rPr>
              <w:t xml:space="preserve">    Status: Structural — takes years to replicate</w:t>
            </w:r>
          </w:p>
          <w:p>
            <w:pPr>
              <w:spacing w:before="40" w:after="40"/>
            </w:pPr>
            <w:r>
              <w:rPr>
                <w:rFonts w:ascii="Arial" w:cs="Arial" w:eastAsia="Arial" w:hAnsi="Arial"/>
                <w:color w:val="1C1C1E"/>
                <w:sz w:val="20"/>
                <w:szCs w:val="20"/>
              </w:rPr>
              <w:t xml:space="preserve">  Year 5+: COMMUNITY MOAT</w:t>
            </w:r>
          </w:p>
          <w:p>
            <w:pPr>
              <w:spacing w:before="40" w:after="40"/>
            </w:pPr>
            <w:r>
              <w:rPr>
                <w:rFonts w:ascii="Arial" w:cs="Arial" w:eastAsia="Arial" w:hAnsi="Arial"/>
                <w:color w:val="1C1C1E"/>
                <w:sz w:val="20"/>
                <w:szCs w:val="20"/>
              </w:rPr>
              <w:t xml:space="preserve">    'Investors who held through a full cycle become advocates. 5-year dashboard data is proprietary.'</w:t>
            </w:r>
          </w:p>
          <w:p>
            <w:pPr>
              <w:spacing w:before="40" w:after="40"/>
            </w:pPr>
            <w:r>
              <w:rPr>
                <w:rFonts w:ascii="Arial" w:cs="Arial" w:eastAsia="Arial" w:hAnsi="Arial"/>
                <w:color w:val="1C1C1E"/>
                <w:sz w:val="20"/>
                <w:szCs w:val="20"/>
              </w:rPr>
              <w:t xml:space="preserve">    Status: Durable — compounds every quarter</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BOTTOM FULL-WIDTH — 10-Year Vision Statement:</w:t>
            </w:r>
          </w:p>
          <w:p>
            <w:pPr>
              <w:spacing w:before="40" w:after="40"/>
            </w:pPr>
            <w:r>
              <w:rPr>
                <w:rFonts w:ascii="Arial" w:cs="Arial" w:eastAsia="Arial" w:hAnsi="Arial"/>
                <w:color w:val="1C1C1E"/>
                <w:sz w:val="20"/>
                <w:szCs w:val="20"/>
              </w:rPr>
              <w:t xml:space="preserve">  '10-Year Vision: ₹15,000–20,000 crore AUM. India's only conviction AMC with a decade of publicly verifiable post-tax outperformance. The benchmark for what investor-first fund management looks like.'</w:t>
            </w:r>
          </w:p>
        </w:tc>
      </w:tr>
    </w:tbl>
    <w:p>
      <w:pPr>
        <w:spacing w:before="80" w:after="0"/>
      </w:pPr>
      <w:r>
        <w:rPr>
          <w:rFonts w:ascii="Arial" w:cs="Arial" w:eastAsia="Arial" w:hAnsi="Arial"/>
          <w:color w:val="1C1C1E"/>
          <w:sz w:val="21"/>
          <w:szCs w:val="21"/>
        </w:rPr>
        <w:t xml:space="preserve"/>
      </w:r>
    </w:p>
    <w:p>
      <w:pPr>
        <w:spacing w:before="160" w:after="60"/>
      </w:pPr>
      <w:r>
        <w:rPr>
          <w:rFonts w:ascii="Arial" w:cs="Arial" w:eastAsia="Arial" w:hAnsi="Arial"/>
          <w:b/>
          <w:bCs/>
          <w:i/>
          <w:iCs/>
          <w:color w:val="4A4A4A"/>
          <w:sz w:val="21"/>
          <w:szCs w:val="21"/>
        </w:rPr>
        <w:t xml:space="preserve">Anticipated Judge Question: 'Why won't PPFAS or Helios just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5FA6" w:sz="4"/>
              <w:left w:val="thick" w:color="1D5FA6" w:sz="20"/>
              <w:bottom w:val="single" w:color="1D5FA6" w:sz="4"/>
              <w:right w:val="single" w:color="1D5FA6" w:sz="4"/>
            </w:tcBorders>
            <w:shd w:fill="D9E8F7" w:val="clear"/>
            <w:tcMar>
              <w:top w:type="dxa" w:w="140"/>
              <w:left w:type="dxa" w:w="220"/>
              <w:bottom w:type="dxa" w:w="140"/>
              <w:right w:type="dxa" w:w="140"/>
            </w:tcMar>
          </w:tcPr>
          <w:p>
            <w:pPr>
              <w:spacing w:before="0" w:after="60"/>
            </w:pPr>
            <w:r>
              <w:rPr>
                <w:rFonts w:ascii="Arial" w:cs="Arial" w:eastAsia="Arial" w:hAnsi="Arial"/>
                <w:b/>
                <w:bCs/>
                <w:color w:val="0E2040"/>
                <w:sz w:val="22"/>
                <w:szCs w:val="22"/>
              </w:rPr>
              <w:t xml:space="preserve">Pre-Built Answer</w:t>
            </w:r>
          </w:p>
          <w:p>
            <w:pPr>
              <w:spacing w:before="40" w:after="40"/>
            </w:pPr>
            <w:r>
              <w:rPr>
                <w:rFonts w:ascii="Arial" w:cs="Arial" w:eastAsia="Arial" w:hAnsi="Arial"/>
                <w:color w:val="1C1C1E"/>
                <w:sz w:val="20"/>
                <w:szCs w:val="20"/>
              </w:rPr>
              <w:t xml:space="preserve">PPFAS now has 7 schemes including debt, arbitrage, and hybrid — they are the establishment. Adopting the Real Return Dashboard would require them to show comparative post-tax returns on their entire scheme lineup, including funds where high fees or turnover drag on real returns. The comparison would disadvantage them vs. Monarch. WhiteOak runs 60-stock portfolios — their published Conviction Delta Score would show low active share, undermining their 'high conviction' narrative. Helios lacks the AIF anchor and the warm client base. None of them can adopt our full architecture without abandoning positions they have already committed to.</w:t>
            </w:r>
          </w:p>
        </w:tc>
      </w:tr>
    </w:tbl>
    <w:p>
      <w:pPr>
        <w:spacing w:before="16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2040" w:val="clear"/>
            <w:tcMar>
              <w:top w:type="dxa" w:w="180"/>
              <w:left w:type="dxa" w:w="240"/>
              <w:bottom w:type="dxa" w:w="180"/>
              <w:right w:type="dxa" w:w="240"/>
            </w:tcMar>
          </w:tcPr>
          <w:p>
            <w:pPr>
              <w:spacing w:before="0" w:after="40"/>
            </w:pPr>
            <w:r>
              <w:rPr>
                <w:rFonts w:ascii="Arial" w:cs="Arial" w:eastAsia="Arial" w:hAnsi="Arial"/>
                <w:b/>
                <w:bCs/>
                <w:color w:val="C9952A"/>
                <w:sz w:val="17"/>
                <w:szCs w:val="17"/>
              </w:rPr>
              <w:t xml:space="preserve">SLIDE 8  </w:t>
            </w:r>
            <w:r>
              <w:rPr>
                <w:rFonts w:ascii="Arial" w:cs="Arial" w:eastAsia="Arial" w:hAnsi="Arial"/>
                <w:b/>
                <w:bCs/>
                <w:color w:val="FFFFFF"/>
                <w:sz w:val="27"/>
                <w:szCs w:val="27"/>
              </w:rPr>
              <w:t xml:space="preserve">APPENDIX 1: COMPETITIVE LANDSCAPE MATRIX</w:t>
            </w:r>
          </w:p>
          <w:p>
            <w:pPr>
              <w:spacing w:before="0" w:after="0"/>
            </w:pPr>
            <w:r>
              <w:rPr>
                <w:rFonts w:ascii="Arial" w:cs="Arial" w:eastAsia="Arial" w:hAnsi="Arial"/>
                <w:i/>
                <w:iCs/>
                <w:color w:val="AACCE0"/>
                <w:sz w:val="20"/>
                <w:szCs w:val="20"/>
              </w:rPr>
              <w:t xml:space="preserve">Full competitive analysis — the unoccupied quadrant</w:t>
            </w:r>
          </w:p>
        </w:tc>
      </w:tr>
    </w:tbl>
    <w:p>
      <w:pPr>
        <w:spacing w:before="80" w:after="0"/>
      </w:pPr>
      <w:r>
        <w:rPr>
          <w:rFonts w:ascii="Arial" w:cs="Arial" w:eastAsia="Arial" w:hAnsi="Arial"/>
          <w:color w:val="1C1C1E"/>
          <w:sz w:val="21"/>
          <w:szCs w:val="21"/>
        </w:rPr>
        <w:t xml:space="preserve"/>
      </w:r>
    </w:p>
    <w:p>
      <w:pPr>
        <w:spacing w:before="220" w:after="80"/>
      </w:pPr>
      <w:r>
        <w:rPr>
          <w:rFonts w:ascii="Arial" w:cs="Arial" w:eastAsia="Arial" w:hAnsi="Arial"/>
          <w:b/>
          <w:bCs/>
          <w:color w:val="0E2040"/>
          <w:sz w:val="23"/>
          <w:szCs w:val="23"/>
        </w:rPr>
        <w:t xml:space="preserve">SLIDE CONTENT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5FA6" w:sz="4"/>
              <w:left w:val="thick" w:color="1D5FA6" w:sz="20"/>
              <w:bottom w:val="single" w:color="1D5FA6" w:sz="4"/>
              <w:right w:val="single" w:color="1D5FA6" w:sz="4"/>
            </w:tcBorders>
            <w:shd w:fill="EEF5FC" w:val="clear"/>
            <w:tcMar>
              <w:top w:type="dxa" w:w="140"/>
              <w:left w:type="dxa" w:w="220"/>
              <w:bottom w:type="dxa" w:w="140"/>
              <w:right w:type="dxa" w:w="140"/>
            </w:tcMar>
          </w:tcPr>
          <w:p>
            <w:pPr>
              <w:spacing w:before="0" w:after="60"/>
            </w:pPr>
            <w:r>
              <w:rPr>
                <w:rFonts w:ascii="Arial" w:cs="Arial" w:eastAsia="Arial" w:hAnsi="Arial"/>
                <w:b/>
                <w:bCs/>
                <w:color w:val="0E2040"/>
                <w:sz w:val="22"/>
                <w:szCs w:val="22"/>
              </w:rPr>
              <w:t xml:space="preserve">What Goes On This Slide</w:t>
            </w:r>
          </w:p>
          <w:p>
            <w:pPr>
              <w:spacing w:before="40" w:after="40"/>
            </w:pPr>
            <w:r>
              <w:rPr>
                <w:rFonts w:ascii="Arial" w:cs="Arial" w:eastAsia="Arial" w:hAnsi="Arial"/>
                <w:color w:val="1C1C1E"/>
                <w:sz w:val="20"/>
                <w:szCs w:val="20"/>
              </w:rPr>
              <w:t xml:space="preserve">HEADLINE: 'We Are Not Competing With HDFC. We Are Building What PPFAS Was in 2013.'</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LAYOUT: Full competitive comparison table (top half) + 2x2 positioning map (bottom half).</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TABLE (6 rows, 5 columns):</w:t>
            </w:r>
          </w:p>
          <w:p>
            <w:pPr>
              <w:spacing w:before="40" w:after="40"/>
            </w:pPr>
            <w:r>
              <w:rPr>
                <w:rFonts w:ascii="Arial" w:cs="Arial" w:eastAsia="Arial" w:hAnsi="Arial"/>
                <w:color w:val="1C1C1E"/>
                <w:sz w:val="20"/>
                <w:szCs w:val="20"/>
              </w:rPr>
              <w:t xml:space="preserve">  Columns: AMC | AUM | Genuine Concentration | Investor Alignment | Real Return Dashboard</w:t>
            </w:r>
          </w:p>
          <w:p>
            <w:pPr>
              <w:spacing w:before="40" w:after="40"/>
            </w:pPr>
            <w:r>
              <w:rPr>
                <w:rFonts w:ascii="Arial" w:cs="Arial" w:eastAsia="Arial" w:hAnsi="Arial"/>
                <w:color w:val="1C1C1E"/>
                <w:sz w:val="20"/>
                <w:szCs w:val="20"/>
              </w:rPr>
              <w:t xml:space="preserve">  Row 1: PPFAS — ₹1,32,181cr | High (25–30 stocks) | High (55%+ direct) | No</w:t>
            </w:r>
          </w:p>
          <w:p>
            <w:pPr>
              <w:spacing w:before="40" w:after="40"/>
            </w:pPr>
            <w:r>
              <w:rPr>
                <w:rFonts w:ascii="Arial" w:cs="Arial" w:eastAsia="Arial" w:hAnsi="Arial"/>
                <w:color w:val="1C1C1E"/>
                <w:sz w:val="20"/>
                <w:szCs w:val="20"/>
              </w:rPr>
              <w:t xml:space="preserve">  Row 2: WhiteOak — ₹78,556cr | Low-Medium (60–80 stocks) | Growing | No</w:t>
            </w:r>
          </w:p>
          <w:p>
            <w:pPr>
              <w:spacing w:before="40" w:after="40"/>
            </w:pPr>
            <w:r>
              <w:rPr>
                <w:rFonts w:ascii="Arial" w:cs="Arial" w:eastAsia="Arial" w:hAnsi="Arial"/>
                <w:color w:val="1C1C1E"/>
                <w:sz w:val="20"/>
                <w:szCs w:val="20"/>
              </w:rPr>
              <w:t xml:space="preserve">  Row 3: Helios — ₹1,500cr | Medium (30–40 stocks) | Growing | No</w:t>
            </w:r>
          </w:p>
          <w:p>
            <w:pPr>
              <w:spacing w:before="40" w:after="40"/>
            </w:pPr>
            <w:r>
              <w:rPr>
                <w:rFonts w:ascii="Arial" w:cs="Arial" w:eastAsia="Arial" w:hAnsi="Arial"/>
                <w:color w:val="1C1C1E"/>
                <w:sz w:val="20"/>
                <w:szCs w:val="20"/>
              </w:rPr>
              <w:t xml:space="preserve">  Row 4: Samco — ₹700cr | Medium (quant-driven) | High (60%+ digital) | No</w:t>
            </w:r>
          </w:p>
          <w:p>
            <w:pPr>
              <w:spacing w:before="40" w:after="40"/>
            </w:pPr>
            <w:r>
              <w:rPr>
                <w:rFonts w:ascii="Arial" w:cs="Arial" w:eastAsia="Arial" w:hAnsi="Arial"/>
                <w:color w:val="1C1C1E"/>
                <w:sz w:val="20"/>
                <w:szCs w:val="20"/>
              </w:rPr>
              <w:t xml:space="preserve">  Row 5: Zerodha FH — ₹2,800cr | Passive only | 100% direct | N/A</w:t>
            </w:r>
          </w:p>
          <w:p>
            <w:pPr>
              <w:spacing w:before="40" w:after="40"/>
            </w:pPr>
            <w:r>
              <w:rPr>
                <w:rFonts w:ascii="Arial" w:cs="Arial" w:eastAsia="Arial" w:hAnsi="Arial"/>
                <w:color w:val="1C1C1E"/>
                <w:sz w:val="20"/>
                <w:szCs w:val="20"/>
              </w:rPr>
              <w:t xml:space="preserve">  Row 6: MONARCH (target) — ₹5,600cr (Yr5) | HIGHEST (20–25 MF / 12–15 SIF) | 65% direct | YES [highlighted]</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POSITIONING MAP (2x2):</w:t>
            </w:r>
          </w:p>
          <w:p>
            <w:pPr>
              <w:spacing w:before="40" w:after="40"/>
            </w:pPr>
            <w:r>
              <w:rPr>
                <w:rFonts w:ascii="Arial" w:cs="Arial" w:eastAsia="Arial" w:hAnsi="Arial"/>
                <w:color w:val="1C1C1E"/>
                <w:sz w:val="20"/>
                <w:szCs w:val="20"/>
              </w:rPr>
              <w:t xml:space="preserve">  X-axis: Genuine Portfolio Concentration (Low → High)</w:t>
            </w:r>
          </w:p>
          <w:p>
            <w:pPr>
              <w:spacing w:before="40" w:after="40"/>
            </w:pPr>
            <w:r>
              <w:rPr>
                <w:rFonts w:ascii="Arial" w:cs="Arial" w:eastAsia="Arial" w:hAnsi="Arial"/>
                <w:color w:val="1C1C1E"/>
                <w:sz w:val="20"/>
                <w:szCs w:val="20"/>
              </w:rPr>
              <w:t xml:space="preserve">  Y-axis: Investor Alignment (Distributor-dependent → Direct-first)</w:t>
            </w:r>
          </w:p>
          <w:p>
            <w:pPr>
              <w:spacing w:before="40" w:after="40"/>
            </w:pPr>
            <w:r>
              <w:rPr>
                <w:rFonts w:ascii="Arial" w:cs="Arial" w:eastAsia="Arial" w:hAnsi="Arial"/>
                <w:color w:val="1C1C1E"/>
                <w:sz w:val="20"/>
                <w:szCs w:val="20"/>
              </w:rPr>
              <w:t xml:space="preserve">  Plot each competitor. Monarch occupies top-right quadrant, alone.</w:t>
            </w:r>
          </w:p>
          <w:p>
            <w:pPr>
              <w:spacing w:before="40" w:after="40"/>
            </w:pPr>
            <w:r>
              <w:rPr>
                <w:rFonts w:ascii="Arial" w:cs="Arial" w:eastAsia="Arial" w:hAnsi="Arial"/>
                <w:color w:val="1C1C1E"/>
                <w:sz w:val="20"/>
                <w:szCs w:val="20"/>
              </w:rPr>
              <w:t xml:space="preserve">  Label quadrant: 'THE UNOCCUPIED POSITION'</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Note: Real Return Dashboard column is the differentiating row — Monarch is the ONLY 'Yes'.</w:t>
            </w:r>
          </w:p>
        </w:tc>
      </w:tr>
    </w:tbl>
    <w:p>
      <w:pPr>
        <w:spacing w:before="16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2040" w:val="clear"/>
            <w:tcMar>
              <w:top w:type="dxa" w:w="180"/>
              <w:left w:type="dxa" w:w="240"/>
              <w:bottom w:type="dxa" w:w="180"/>
              <w:right w:type="dxa" w:w="240"/>
            </w:tcMar>
          </w:tcPr>
          <w:p>
            <w:pPr>
              <w:spacing w:before="0" w:after="40"/>
            </w:pPr>
            <w:r>
              <w:rPr>
                <w:rFonts w:ascii="Arial" w:cs="Arial" w:eastAsia="Arial" w:hAnsi="Arial"/>
                <w:b/>
                <w:bCs/>
                <w:color w:val="C9952A"/>
                <w:sz w:val="17"/>
                <w:szCs w:val="17"/>
              </w:rPr>
              <w:t xml:space="preserve">SLIDE 9  </w:t>
            </w:r>
            <w:r>
              <w:rPr>
                <w:rFonts w:ascii="Arial" w:cs="Arial" w:eastAsia="Arial" w:hAnsi="Arial"/>
                <w:b/>
                <w:bCs/>
                <w:color w:val="FFFFFF"/>
                <w:sz w:val="27"/>
                <w:szCs w:val="27"/>
              </w:rPr>
              <w:t xml:space="preserve">APPENDIX 2: REGULATORY COMPLIANCE SUMMARY</w:t>
            </w:r>
          </w:p>
          <w:p>
            <w:pPr>
              <w:spacing w:before="0" w:after="0"/>
            </w:pPr>
            <w:r>
              <w:rPr>
                <w:rFonts w:ascii="Arial" w:cs="Arial" w:eastAsia="Arial" w:hAnsi="Arial"/>
                <w:i/>
                <w:iCs/>
                <w:color w:val="AACCE0"/>
                <w:sz w:val="20"/>
                <w:szCs w:val="20"/>
              </w:rPr>
              <w:t xml:space="preserve">Every element is SEBI-compliant. No regulatory arbitrage.</w:t>
            </w:r>
          </w:p>
        </w:tc>
      </w:tr>
    </w:tbl>
    <w:p>
      <w:pPr>
        <w:spacing w:before="80" w:after="0"/>
      </w:pPr>
      <w:r>
        <w:rPr>
          <w:rFonts w:ascii="Arial" w:cs="Arial" w:eastAsia="Arial" w:hAnsi="Arial"/>
          <w:color w:val="1C1C1E"/>
          <w:sz w:val="21"/>
          <w:szCs w:val="21"/>
        </w:rPr>
        <w:t xml:space="preserve"/>
      </w:r>
    </w:p>
    <w:p>
      <w:pPr>
        <w:spacing w:before="220" w:after="80"/>
      </w:pPr>
      <w:r>
        <w:rPr>
          <w:rFonts w:ascii="Arial" w:cs="Arial" w:eastAsia="Arial" w:hAnsi="Arial"/>
          <w:b/>
          <w:bCs/>
          <w:color w:val="0E2040"/>
          <w:sz w:val="23"/>
          <w:szCs w:val="23"/>
        </w:rPr>
        <w:t xml:space="preserve">SLIDE CONTENT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5FA6" w:sz="4"/>
              <w:left w:val="thick" w:color="1D5FA6" w:sz="20"/>
              <w:bottom w:val="single" w:color="1D5FA6" w:sz="4"/>
              <w:right w:val="single" w:color="1D5FA6" w:sz="4"/>
            </w:tcBorders>
            <w:shd w:fill="EEF5FC" w:val="clear"/>
            <w:tcMar>
              <w:top w:type="dxa" w:w="140"/>
              <w:left w:type="dxa" w:w="220"/>
              <w:bottom w:type="dxa" w:w="140"/>
              <w:right w:type="dxa" w:w="140"/>
            </w:tcMar>
          </w:tcPr>
          <w:p>
            <w:pPr>
              <w:spacing w:before="0" w:after="60"/>
            </w:pPr>
            <w:r>
              <w:rPr>
                <w:rFonts w:ascii="Arial" w:cs="Arial" w:eastAsia="Arial" w:hAnsi="Arial"/>
                <w:b/>
                <w:bCs/>
                <w:color w:val="0E2040"/>
                <w:sz w:val="22"/>
                <w:szCs w:val="22"/>
              </w:rPr>
              <w:t xml:space="preserve">What Goes On This Slide</w:t>
            </w:r>
          </w:p>
          <w:p>
            <w:pPr>
              <w:spacing w:before="40" w:after="40"/>
            </w:pPr>
            <w:r>
              <w:rPr>
                <w:rFonts w:ascii="Arial" w:cs="Arial" w:eastAsia="Arial" w:hAnsi="Arial"/>
                <w:color w:val="1C1C1E"/>
                <w:sz w:val="20"/>
                <w:szCs w:val="20"/>
              </w:rPr>
              <w:t xml:space="preserve">HEADLINE: 'Every Element Is SEBI-Compliant. No Regulatory Arbitrage.'</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LAYOUT: Three-column compliance table.</w:t>
            </w:r>
          </w:p>
          <w:p>
            <w:pPr>
              <w:spacing w:before="40" w:after="40"/>
            </w:pPr>
            <w:r>
              <w:rPr>
                <w:rFonts w:ascii="Arial" w:cs="Arial" w:eastAsia="Arial" w:hAnsi="Arial"/>
                <w:color w:val="1C1C1E"/>
                <w:sz w:val="20"/>
                <w:szCs w:val="20"/>
              </w:rPr>
              <w:t xml:space="preserve">Columns: Requirement | How We Comply | Notes</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KEY ROWS TO INCLUDE:</w:t>
            </w:r>
          </w:p>
          <w:p>
            <w:pPr>
              <w:spacing w:before="40" w:after="40"/>
            </w:pPr>
            <w:r>
              <w:rPr>
                <w:rFonts w:ascii="Arial" w:cs="Arial" w:eastAsia="Arial" w:hAnsi="Arial"/>
                <w:color w:val="1C1C1E"/>
                <w:sz w:val="20"/>
                <w:szCs w:val="20"/>
              </w:rPr>
              <w:t xml:space="preserve">  AMC Setup: Networth ≥₹150cr → Monarch ₹796cr (5.3x) ✅</w:t>
            </w:r>
          </w:p>
          <w:p>
            <w:pPr>
              <w:spacing w:before="40" w:after="40"/>
            </w:pPr>
            <w:r>
              <w:rPr>
                <w:rFonts w:ascii="Arial" w:cs="Arial" w:eastAsia="Arial" w:hAnsi="Arial"/>
                <w:color w:val="1C1C1E"/>
                <w:sz w:val="20"/>
                <w:szCs w:val="20"/>
              </w:rPr>
              <w:t xml:space="preserve">  Sponsor stake: ≥40% for 5yr → Monarch as sole sponsor ✅</w:t>
            </w:r>
          </w:p>
          <w:p>
            <w:pPr>
              <w:spacing w:before="40" w:after="40"/>
            </w:pPr>
            <w:r>
              <w:rPr>
                <w:rFonts w:ascii="Arial" w:cs="Arial" w:eastAsia="Arial" w:hAnsi="Arial"/>
                <w:color w:val="1C1C1E"/>
                <w:sz w:val="20"/>
                <w:szCs w:val="20"/>
              </w:rPr>
              <w:t xml:space="preserve">  Fund categories: One per category → Focused + Flexi Cap + Thematic (3 different) ✅</w:t>
            </w:r>
          </w:p>
          <w:p>
            <w:pPr>
              <w:spacing w:before="40" w:after="40"/>
            </w:pPr>
            <w:r>
              <w:rPr>
                <w:rFonts w:ascii="Arial" w:cs="Arial" w:eastAsia="Arial" w:hAnsi="Arial"/>
                <w:color w:val="1C1C1E"/>
                <w:sz w:val="20"/>
                <w:szCs w:val="20"/>
              </w:rPr>
              <w:t xml:space="preserve">  Focused Fund max 30 stocks → Our design: 20–25 stocks ✅</w:t>
            </w:r>
          </w:p>
          <w:p>
            <w:pPr>
              <w:spacing w:before="40" w:after="40"/>
            </w:pPr>
            <w:r>
              <w:rPr>
                <w:rFonts w:ascii="Arial" w:cs="Arial" w:eastAsia="Arial" w:hAnsi="Arial"/>
                <w:color w:val="1C1C1E"/>
                <w:sz w:val="20"/>
                <w:szCs w:val="20"/>
              </w:rPr>
              <w:t xml:space="preserve">  Thematic min 80% in theme → All securities in energy transition ecosystem ✅</w:t>
            </w:r>
          </w:p>
          <w:p>
            <w:pPr>
              <w:spacing w:before="40" w:after="40"/>
            </w:pPr>
            <w:r>
              <w:rPr>
                <w:rFonts w:ascii="Arial" w:cs="Arial" w:eastAsia="Arial" w:hAnsi="Arial"/>
                <w:color w:val="1C1C1E"/>
                <w:sz w:val="20"/>
                <w:szCs w:val="20"/>
              </w:rPr>
              <w:t xml:space="preserve">  BER caps: Direct ≤2.10% → Our 0.75–1.00% (large buffer) ✅</w:t>
            </w:r>
          </w:p>
          <w:p>
            <w:pPr>
              <w:spacing w:before="40" w:after="40"/>
            </w:pPr>
            <w:r>
              <w:rPr>
                <w:rFonts w:ascii="Arial" w:cs="Arial" w:eastAsia="Arial" w:hAnsi="Arial"/>
                <w:color w:val="1C1C1E"/>
                <w:sz w:val="20"/>
                <w:szCs w:val="20"/>
              </w:rPr>
              <w:t xml:space="preserve">  Direct plan mandatory → Both plans offered ✅</w:t>
            </w:r>
          </w:p>
          <w:p>
            <w:pPr>
              <w:spacing w:before="40" w:after="40"/>
            </w:pPr>
            <w:r>
              <w:rPr>
                <w:rFonts w:ascii="Arial" w:cs="Arial" w:eastAsia="Arial" w:hAnsi="Arial"/>
                <w:color w:val="1C1C1E"/>
                <w:sz w:val="20"/>
                <w:szCs w:val="20"/>
              </w:rPr>
              <w:t xml:space="preserve">  SIF Route 2: CIO with 10yr+, ₹5,000cr AUM → Hired Month 1 ✅</w:t>
            </w:r>
          </w:p>
          <w:p>
            <w:pPr>
              <w:spacing w:before="40" w:after="40"/>
            </w:pPr>
            <w:r>
              <w:rPr>
                <w:rFonts w:ascii="Arial" w:cs="Arial" w:eastAsia="Arial" w:hAnsi="Arial"/>
                <w:color w:val="1C1C1E"/>
                <w:sz w:val="20"/>
                <w:szCs w:val="20"/>
              </w:rPr>
              <w:t xml:space="preserve">  SIF investor minimum: ₹10 lakh per PAN → Hardcoded ✅</w:t>
            </w:r>
          </w:p>
          <w:p>
            <w:pPr>
              <w:spacing w:before="40" w:after="40"/>
            </w:pPr>
            <w:r>
              <w:rPr>
                <w:rFonts w:ascii="Arial" w:cs="Arial" w:eastAsia="Arial" w:hAnsi="Arial"/>
                <w:color w:val="1C1C1E"/>
                <w:sz w:val="20"/>
                <w:szCs w:val="20"/>
              </w:rPr>
              <w:t xml:space="preserve">  AIF constraint: No alternative structure integration → AIF = historical marketing reference only ✅</w:t>
            </w:r>
          </w:p>
          <w:p>
            <w:pPr>
              <w:spacing w:before="40" w:after="40"/>
            </w:pPr>
            <w:r>
              <w:rPr>
                <w:rFonts w:ascii="Arial" w:cs="Arial" w:eastAsia="Arial" w:hAnsi="Arial"/>
                <w:color w:val="1C1C1E"/>
                <w:sz w:val="20"/>
                <w:szCs w:val="20"/>
              </w:rPr>
              <w:t xml:space="preserve">  Dedicated fund managers: No dual AIF/MF designation → Separate dedicated MF team ✅</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BOTTOM NOTE: 'SEBI in-principle approval received July 2025. Trustee company to be incorporated. SIF registration follows CIO hire.'</w:t>
            </w:r>
          </w:p>
        </w:tc>
      </w:tr>
    </w:tbl>
    <w:p>
      <w:pPr>
        <w:spacing w:before="16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2040" w:val="clear"/>
            <w:tcMar>
              <w:top w:type="dxa" w:w="180"/>
              <w:left w:type="dxa" w:w="240"/>
              <w:bottom w:type="dxa" w:w="180"/>
              <w:right w:type="dxa" w:w="240"/>
            </w:tcMar>
          </w:tcPr>
          <w:p>
            <w:pPr>
              <w:spacing w:before="0" w:after="40"/>
            </w:pPr>
            <w:r>
              <w:rPr>
                <w:rFonts w:ascii="Arial" w:cs="Arial" w:eastAsia="Arial" w:hAnsi="Arial"/>
                <w:b/>
                <w:bCs/>
                <w:color w:val="C9952A"/>
                <w:sz w:val="17"/>
                <w:szCs w:val="17"/>
              </w:rPr>
              <w:t xml:space="preserve">SLIDE 10  </w:t>
            </w:r>
            <w:r>
              <w:rPr>
                <w:rFonts w:ascii="Arial" w:cs="Arial" w:eastAsia="Arial" w:hAnsi="Arial"/>
                <w:b/>
                <w:bCs/>
                <w:color w:val="FFFFFF"/>
                <w:sz w:val="27"/>
                <w:szCs w:val="27"/>
              </w:rPr>
              <w:t xml:space="preserve">APPENDIX 3: FINANCIAL MODEL DETAIL &amp; DUAL SCENARIO</w:t>
            </w:r>
          </w:p>
          <w:p>
            <w:pPr>
              <w:spacing w:before="0" w:after="0"/>
            </w:pPr>
            <w:r>
              <w:rPr>
                <w:rFonts w:ascii="Arial" w:cs="Arial" w:eastAsia="Arial" w:hAnsi="Arial"/>
                <w:i/>
                <w:iCs/>
                <w:color w:val="AACCE0"/>
                <w:sz w:val="20"/>
                <w:szCs w:val="20"/>
              </w:rPr>
              <w:t xml:space="preserve">Base case and conservative case — viable under both</w:t>
            </w:r>
          </w:p>
        </w:tc>
      </w:tr>
    </w:tbl>
    <w:p>
      <w:pPr>
        <w:spacing w:before="80" w:after="0"/>
      </w:pPr>
      <w:r>
        <w:rPr>
          <w:rFonts w:ascii="Arial" w:cs="Arial" w:eastAsia="Arial" w:hAnsi="Arial"/>
          <w:color w:val="1C1C1E"/>
          <w:sz w:val="21"/>
          <w:szCs w:val="21"/>
        </w:rPr>
        <w:t xml:space="preserve"/>
      </w:r>
    </w:p>
    <w:p>
      <w:pPr>
        <w:spacing w:before="220" w:after="80"/>
      </w:pPr>
      <w:r>
        <w:rPr>
          <w:rFonts w:ascii="Arial" w:cs="Arial" w:eastAsia="Arial" w:hAnsi="Arial"/>
          <w:b/>
          <w:bCs/>
          <w:color w:val="0E2040"/>
          <w:sz w:val="23"/>
          <w:szCs w:val="23"/>
        </w:rPr>
        <w:t xml:space="preserve">SLIDE CONTENT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5FA6" w:sz="4"/>
              <w:left w:val="thick" w:color="1D5FA6" w:sz="20"/>
              <w:bottom w:val="single" w:color="1D5FA6" w:sz="4"/>
              <w:right w:val="single" w:color="1D5FA6" w:sz="4"/>
            </w:tcBorders>
            <w:shd w:fill="EEF5FC" w:val="clear"/>
            <w:tcMar>
              <w:top w:type="dxa" w:w="140"/>
              <w:left w:type="dxa" w:w="220"/>
              <w:bottom w:type="dxa" w:w="140"/>
              <w:right w:type="dxa" w:w="140"/>
            </w:tcMar>
          </w:tcPr>
          <w:p>
            <w:pPr>
              <w:spacing w:before="0" w:after="60"/>
            </w:pPr>
            <w:r>
              <w:rPr>
                <w:rFonts w:ascii="Arial" w:cs="Arial" w:eastAsia="Arial" w:hAnsi="Arial"/>
                <w:b/>
                <w:bCs/>
                <w:color w:val="0E2040"/>
                <w:sz w:val="22"/>
                <w:szCs w:val="22"/>
              </w:rPr>
              <w:t xml:space="preserve">What Goes On This Slide</w:t>
            </w:r>
          </w:p>
          <w:p>
            <w:pPr>
              <w:spacing w:before="40" w:after="40"/>
            </w:pPr>
            <w:r>
              <w:rPr>
                <w:rFonts w:ascii="Arial" w:cs="Arial" w:eastAsia="Arial" w:hAnsi="Arial"/>
                <w:color w:val="1C1C1E"/>
                <w:sz w:val="20"/>
                <w:szCs w:val="20"/>
              </w:rPr>
              <w:t xml:space="preserve">HEADLINE: 'Base Case and Conservative Case — The AMC Is Viable Under Both'</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LAYOUT: Two projection tables side by side (base left, conservative right) + breakeven chart below.</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BASE CASE TABLE (5 rows: FY27–FY31):</w:t>
            </w:r>
          </w:p>
          <w:p>
            <w:pPr>
              <w:spacing w:before="40" w:after="40"/>
            </w:pPr>
            <w:r>
              <w:rPr>
                <w:rFonts w:ascii="Arial" w:cs="Arial" w:eastAsia="Arial" w:hAnsi="Arial"/>
                <w:color w:val="1C1C1E"/>
                <w:sz w:val="20"/>
                <w:szCs w:val="20"/>
              </w:rPr>
              <w:t xml:space="preserve">  Columns: Year | MF AUM | SIF AUM | Total AUM | Revenue | Costs | PBT | Margin</w:t>
            </w:r>
          </w:p>
          <w:p>
            <w:pPr>
              <w:spacing w:before="40" w:after="40"/>
            </w:pPr>
            <w:r>
              <w:rPr>
                <w:rFonts w:ascii="Arial" w:cs="Arial" w:eastAsia="Arial" w:hAnsi="Arial"/>
                <w:color w:val="1C1C1E"/>
                <w:sz w:val="20"/>
                <w:szCs w:val="20"/>
              </w:rPr>
              <w:t xml:space="preserve">  FY27: ₹700cr | — | ₹700cr | ₹5.1cr | ₹18.5cr | (₹13.4cr) | —</w:t>
            </w:r>
          </w:p>
          <w:p>
            <w:pPr>
              <w:spacing w:before="40" w:after="40"/>
            </w:pPr>
            <w:r>
              <w:rPr>
                <w:rFonts w:ascii="Arial" w:cs="Arial" w:eastAsia="Arial" w:hAnsi="Arial"/>
                <w:color w:val="1C1C1E"/>
                <w:sz w:val="20"/>
                <w:szCs w:val="20"/>
              </w:rPr>
              <w:t xml:space="preserve">  FY28: ₹1,200cr | ₹300cr | ₹1,500cr | ₹11.0cr | ₹20.5cr | (₹9.5cr) | —</w:t>
            </w:r>
          </w:p>
          <w:p>
            <w:pPr>
              <w:spacing w:before="40" w:after="40"/>
            </w:pPr>
            <w:r>
              <w:rPr>
                <w:rFonts w:ascii="Arial" w:cs="Arial" w:eastAsia="Arial" w:hAnsi="Arial"/>
                <w:color w:val="1C1C1E"/>
                <w:sz w:val="20"/>
                <w:szCs w:val="20"/>
              </w:rPr>
              <w:t xml:space="preserve">  FY29: ₹1,800cr | ₹600cr | ₹2,400cr | ₹17.5cr | ₹21.5cr | (₹4.0cr) | —</w:t>
            </w:r>
          </w:p>
          <w:p>
            <w:pPr>
              <w:spacing w:before="40" w:after="40"/>
            </w:pPr>
            <w:r>
              <w:rPr>
                <w:rFonts w:ascii="Arial" w:cs="Arial" w:eastAsia="Arial" w:hAnsi="Arial"/>
                <w:color w:val="1C1C1E"/>
                <w:sz w:val="20"/>
                <w:szCs w:val="20"/>
              </w:rPr>
              <w:t xml:space="preserve">  FY30: ₹2,600cr | ₹1,000cr | ₹3,600cr | ₹26.3cr | ₹22.5cr | ₹3.8cr | 14%</w:t>
            </w:r>
          </w:p>
          <w:p>
            <w:pPr>
              <w:spacing w:before="40" w:after="40"/>
            </w:pPr>
            <w:r>
              <w:rPr>
                <w:rFonts w:ascii="Arial" w:cs="Arial" w:eastAsia="Arial" w:hAnsi="Arial"/>
                <w:color w:val="1C1C1E"/>
                <w:sz w:val="20"/>
                <w:szCs w:val="20"/>
              </w:rPr>
              <w:t xml:space="preserve">  FY31: ₹3,800cr | ₹1,800cr | ₹5,600cr | ₹40.9cr | ₹24.0cr | ₹16.9cr | 41%</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CONSERVATIVE CASE TABLE (5 rows):</w:t>
            </w:r>
          </w:p>
          <w:p>
            <w:pPr>
              <w:spacing w:before="40" w:after="40"/>
            </w:pPr>
            <w:r>
              <w:rPr>
                <w:rFonts w:ascii="Arial" w:cs="Arial" w:eastAsia="Arial" w:hAnsi="Arial"/>
                <w:color w:val="1C1C1E"/>
                <w:sz w:val="20"/>
                <w:szCs w:val="20"/>
              </w:rPr>
              <w:t xml:space="preserve">  FY27: ₹410cr | — | ₹410cr | ₹3.0cr | ₹18.0cr | (₹15.0cr) | —</w:t>
            </w:r>
          </w:p>
          <w:p>
            <w:pPr>
              <w:spacing w:before="40" w:after="40"/>
            </w:pPr>
            <w:r>
              <w:rPr>
                <w:rFonts w:ascii="Arial" w:cs="Arial" w:eastAsia="Arial" w:hAnsi="Arial"/>
                <w:color w:val="1C1C1E"/>
                <w:sz w:val="20"/>
                <w:szCs w:val="20"/>
              </w:rPr>
              <w:t xml:space="preserve">  FY28: ₹800cr | ₹150cr | ₹950cr | ₹6.9cr | ₹19.5cr | (₹12.6cr) | —</w:t>
            </w:r>
          </w:p>
          <w:p>
            <w:pPr>
              <w:spacing w:before="40" w:after="40"/>
            </w:pPr>
            <w:r>
              <w:rPr>
                <w:rFonts w:ascii="Arial" w:cs="Arial" w:eastAsia="Arial" w:hAnsi="Arial"/>
                <w:color w:val="1C1C1E"/>
                <w:sz w:val="20"/>
                <w:szCs w:val="20"/>
              </w:rPr>
              <w:t xml:space="preserve">  FY29: ₹1,300cr | ₹350cr | ₹1,650cr | ₹12.0cr | ₹20.5cr | (₹8.5cr) | —</w:t>
            </w:r>
          </w:p>
          <w:p>
            <w:pPr>
              <w:spacing w:before="40" w:after="40"/>
            </w:pPr>
            <w:r>
              <w:rPr>
                <w:rFonts w:ascii="Arial" w:cs="Arial" w:eastAsia="Arial" w:hAnsi="Arial"/>
                <w:color w:val="1C1C1E"/>
                <w:sz w:val="20"/>
                <w:szCs w:val="20"/>
              </w:rPr>
              <w:t xml:space="preserve">  FY30: ₹1,900cr | ₹600cr | ₹2,500cr | ₹18.3cr | ₹21.5cr | (₹3.2cr) | —</w:t>
            </w:r>
          </w:p>
          <w:p>
            <w:pPr>
              <w:spacing w:before="40" w:after="40"/>
            </w:pPr>
            <w:r>
              <w:rPr>
                <w:rFonts w:ascii="Arial" w:cs="Arial" w:eastAsia="Arial" w:hAnsi="Arial"/>
                <w:color w:val="1C1C1E"/>
                <w:sz w:val="20"/>
                <w:szCs w:val="20"/>
              </w:rPr>
              <w:t xml:space="preserve">  FY31: ₹2,800cr | ₹1,000cr | ₹3,800cr | ₹27.7cr | ₹23.0cr | ₹4.7cr | 17%</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BOTTOM: Sustainability calculation — 'Cumulative losses base case: ~₹27cr = 3.4% networth. Conservative: ~₹34cr = 4.3% networth. Operating leverage: cost line flat after Year 3. Revenue curve steepens sharply post-breakeven.'</w:t>
            </w:r>
          </w:p>
        </w:tc>
      </w:tr>
    </w:tbl>
    <w:p>
      <w:pPr>
        <w:spacing w:before="16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2040" w:val="clear"/>
            <w:tcMar>
              <w:top w:type="dxa" w:w="180"/>
              <w:left w:type="dxa" w:w="240"/>
              <w:bottom w:type="dxa" w:w="180"/>
              <w:right w:type="dxa" w:w="240"/>
            </w:tcMar>
          </w:tcPr>
          <w:p>
            <w:pPr>
              <w:spacing w:before="0" w:after="40"/>
            </w:pPr>
            <w:r>
              <w:rPr>
                <w:rFonts w:ascii="Arial" w:cs="Arial" w:eastAsia="Arial" w:hAnsi="Arial"/>
                <w:b/>
                <w:bCs/>
                <w:color w:val="C9952A"/>
                <w:sz w:val="17"/>
                <w:szCs w:val="17"/>
              </w:rPr>
              <w:t xml:space="preserve">SLIDE 11  </w:t>
            </w:r>
            <w:r>
              <w:rPr>
                <w:rFonts w:ascii="Arial" w:cs="Arial" w:eastAsia="Arial" w:hAnsi="Arial"/>
                <w:b/>
                <w:bCs/>
                <w:color w:val="FFFFFF"/>
                <w:sz w:val="27"/>
                <w:szCs w:val="27"/>
              </w:rPr>
              <w:t xml:space="preserve">APPENDIX 4: THE REAL RETURN DASHBOARD</w:t>
            </w:r>
          </w:p>
          <w:p>
            <w:pPr>
              <w:spacing w:before="0" w:after="0"/>
            </w:pPr>
            <w:r>
              <w:rPr>
                <w:rFonts w:ascii="Arial" w:cs="Arial" w:eastAsia="Arial" w:hAnsi="Arial"/>
                <w:i/>
                <w:iCs/>
                <w:color w:val="AACCE0"/>
                <w:sz w:val="20"/>
                <w:szCs w:val="20"/>
              </w:rPr>
              <w:t xml:space="preserve">Our signature innovation — the first post-tax transparency standard in Indian MFs</w:t>
            </w:r>
          </w:p>
        </w:tc>
      </w:tr>
    </w:tbl>
    <w:p>
      <w:pPr>
        <w:spacing w:before="80" w:after="0"/>
      </w:pPr>
      <w:r>
        <w:rPr>
          <w:rFonts w:ascii="Arial" w:cs="Arial" w:eastAsia="Arial" w:hAnsi="Arial"/>
          <w:color w:val="1C1C1E"/>
          <w:sz w:val="21"/>
          <w:szCs w:val="21"/>
        </w:rPr>
        <w:t xml:space="preserve"/>
      </w:r>
    </w:p>
    <w:p>
      <w:pPr>
        <w:spacing w:before="220" w:after="80"/>
      </w:pPr>
      <w:r>
        <w:rPr>
          <w:rFonts w:ascii="Arial" w:cs="Arial" w:eastAsia="Arial" w:hAnsi="Arial"/>
          <w:b/>
          <w:bCs/>
          <w:color w:val="0E2040"/>
          <w:sz w:val="23"/>
          <w:szCs w:val="23"/>
        </w:rPr>
        <w:t xml:space="preserve">SLIDE CONTENT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5FA6" w:sz="4"/>
              <w:left w:val="thick" w:color="1D5FA6" w:sz="20"/>
              <w:bottom w:val="single" w:color="1D5FA6" w:sz="4"/>
              <w:right w:val="single" w:color="1D5FA6" w:sz="4"/>
            </w:tcBorders>
            <w:shd w:fill="EEF5FC" w:val="clear"/>
            <w:tcMar>
              <w:top w:type="dxa" w:w="140"/>
              <w:left w:type="dxa" w:w="220"/>
              <w:bottom w:type="dxa" w:w="140"/>
              <w:right w:type="dxa" w:w="140"/>
            </w:tcMar>
          </w:tcPr>
          <w:p>
            <w:pPr>
              <w:spacing w:before="0" w:after="60"/>
            </w:pPr>
            <w:r>
              <w:rPr>
                <w:rFonts w:ascii="Arial" w:cs="Arial" w:eastAsia="Arial" w:hAnsi="Arial"/>
                <w:b/>
                <w:bCs/>
                <w:color w:val="0E2040"/>
                <w:sz w:val="22"/>
                <w:szCs w:val="22"/>
              </w:rPr>
              <w:t xml:space="preserve">What Goes On This Slide</w:t>
            </w:r>
          </w:p>
          <w:p>
            <w:pPr>
              <w:spacing w:before="40" w:after="40"/>
            </w:pPr>
            <w:r>
              <w:rPr>
                <w:rFonts w:ascii="Arial" w:cs="Arial" w:eastAsia="Arial" w:hAnsi="Arial"/>
                <w:color w:val="1C1C1E"/>
                <w:sz w:val="20"/>
                <w:szCs w:val="20"/>
              </w:rPr>
              <w:t xml:space="preserve">HEADLINE: 'Our Signature Innovation — The First Post-Tax Transparency Standard in Indian Mutual Funds'</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LAYOUT: Mock-up of the Real Return Dashboard quarterly publication (main visual, fills 70% of slide).</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DASHBOARD MOCK-UP STRUCTURE:</w:t>
            </w:r>
          </w:p>
          <w:p>
            <w:pPr>
              <w:spacing w:before="40" w:after="40"/>
            </w:pPr>
            <w:r>
              <w:rPr>
                <w:rFonts w:ascii="Arial" w:cs="Arial" w:eastAsia="Arial" w:hAnsi="Arial"/>
                <w:color w:val="1C1C1E"/>
                <w:sz w:val="20"/>
                <w:szCs w:val="20"/>
              </w:rPr>
              <w:t xml:space="preserve">  Title: 'Monarch Real Return Dashboard — Q3 FY27'</w:t>
            </w:r>
          </w:p>
          <w:p>
            <w:pPr>
              <w:spacing w:before="40" w:after="40"/>
            </w:pPr>
            <w:r>
              <w:rPr>
                <w:rFonts w:ascii="Arial" w:cs="Arial" w:eastAsia="Arial" w:hAnsi="Arial"/>
                <w:color w:val="1C1C1E"/>
                <w:sz w:val="20"/>
                <w:szCs w:val="20"/>
              </w:rPr>
              <w:t xml:space="preserve">  Period: 'For the 1-year period ending 31 December 2026'</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  TABLE (5 rows: 4 competitors + Monarch):</w:t>
            </w:r>
          </w:p>
          <w:p>
            <w:pPr>
              <w:spacing w:before="40" w:after="40"/>
            </w:pPr>
            <w:r>
              <w:rPr>
                <w:rFonts w:ascii="Arial" w:cs="Arial" w:eastAsia="Arial" w:hAnsi="Arial"/>
                <w:color w:val="1C1C1E"/>
                <w:sz w:val="20"/>
                <w:szCs w:val="20"/>
              </w:rPr>
              <w:t xml:space="preserve">  Columns: Fund Name | BER | Gross NAV Return | Post-BER Return | Post-Tax Return* | Post-Inflation Real Return | Tax Efficiency Score</w:t>
            </w:r>
          </w:p>
          <w:p>
            <w:pPr>
              <w:spacing w:before="40" w:after="40"/>
            </w:pPr>
            <w:r>
              <w:rPr>
                <w:rFonts w:ascii="Arial" w:cs="Arial" w:eastAsia="Arial" w:hAnsi="Arial"/>
                <w:color w:val="1C1C1E"/>
                <w:sz w:val="20"/>
                <w:szCs w:val="20"/>
              </w:rPr>
              <w:t xml:space="preserve">  Row 1: Competitor A Focused Fund | 1.75% | 16.2% | 14.45% | 12.7% | 6.4% | ₹15.2 per ₹100</w:t>
            </w:r>
          </w:p>
          <w:p>
            <w:pPr>
              <w:spacing w:before="40" w:after="40"/>
            </w:pPr>
            <w:r>
              <w:rPr>
                <w:rFonts w:ascii="Arial" w:cs="Arial" w:eastAsia="Arial" w:hAnsi="Arial"/>
                <w:color w:val="1C1C1E"/>
                <w:sz w:val="20"/>
                <w:szCs w:val="20"/>
              </w:rPr>
              <w:t xml:space="preserve">  Row 2: Competitor B Flexi Cap | 1.65% | 15.8% | 14.15% | 12.4% | 6.1% | ₹12.8 per ₹100</w:t>
            </w:r>
          </w:p>
          <w:p>
            <w:pPr>
              <w:spacing w:before="40" w:after="40"/>
            </w:pPr>
            <w:r>
              <w:rPr>
                <w:rFonts w:ascii="Arial" w:cs="Arial" w:eastAsia="Arial" w:hAnsi="Arial"/>
                <w:color w:val="1C1C1E"/>
                <w:sz w:val="20"/>
                <w:szCs w:val="20"/>
              </w:rPr>
              <w:t xml:space="preserve">  Row 3: Competitor C Focused | 1.80% | 15.1% | 13.30% | 11.7% | 5.4% | ₹16.4 per ₹100</w:t>
            </w:r>
          </w:p>
          <w:p>
            <w:pPr>
              <w:spacing w:before="40" w:after="40"/>
            </w:pPr>
            <w:r>
              <w:rPr>
                <w:rFonts w:ascii="Arial" w:cs="Arial" w:eastAsia="Arial" w:hAnsi="Arial"/>
                <w:color w:val="1C1C1E"/>
                <w:sz w:val="20"/>
                <w:szCs w:val="20"/>
              </w:rPr>
              <w:t xml:space="preserve">  Row 4: Category Avg | 1.70% | 15.5% | 13.80% | 12.1% | 5.8% | ₹14.1 per ₹100</w:t>
            </w:r>
          </w:p>
          <w:p>
            <w:pPr>
              <w:spacing w:before="40" w:after="40"/>
            </w:pPr>
            <w:r>
              <w:rPr>
                <w:rFonts w:ascii="Arial" w:cs="Arial" w:eastAsia="Arial" w:hAnsi="Arial"/>
                <w:color w:val="1C1C1E"/>
                <w:sz w:val="20"/>
                <w:szCs w:val="20"/>
              </w:rPr>
              <w:t xml:space="preserve">  Row 5 (MONARCH — highlighted): Monarch Conviction Fund | 0.80% | 17.3% | 16.50% | 14.5% | 8.2% | ₹6.3 per ₹100</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  * Post-tax at standard 12.5% LTCG rate on applicable gains. Actual tax varies by investor.</w:t>
            </w:r>
          </w:p>
          <w:p>
            <w:pPr>
              <w:spacing w:before="40" w:after="40"/>
            </w:pPr>
            <w:r>
              <w:rPr>
                <w:rFonts w:ascii="Arial" w:cs="Arial" w:eastAsia="Arial" w:hAnsi="Arial"/>
                <w:color w:val="1C1C1E"/>
                <w:sz w:val="20"/>
                <w:szCs w:val="20"/>
              </w:rPr>
              <w:t xml:space="preserve">  ** Tax Efficiency Score = capital gains distributions per ₹100 of gross return. Lower = better.</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SIDE ANNOTATIONS (arrow callouts on mock-up):</w:t>
            </w:r>
          </w:p>
          <w:p>
            <w:pPr>
              <w:spacing w:before="40" w:after="40"/>
            </w:pPr>
            <w:r>
              <w:rPr>
                <w:rFonts w:ascii="Arial" w:cs="Arial" w:eastAsia="Arial" w:hAnsi="Arial"/>
                <w:color w:val="1C1C1E"/>
                <w:sz w:val="20"/>
                <w:szCs w:val="20"/>
              </w:rPr>
              <w:t xml:space="preserve">  Arrow 1 → BER column: 'Monarch at 0.80% vs. category avg 1.70% = 0.90% annual advantage'</w:t>
            </w:r>
          </w:p>
          <w:p>
            <w:pPr>
              <w:spacing w:before="40" w:after="40"/>
            </w:pPr>
            <w:r>
              <w:rPr>
                <w:rFonts w:ascii="Arial" w:cs="Arial" w:eastAsia="Arial" w:hAnsi="Arial"/>
                <w:color w:val="1C1C1E"/>
                <w:sz w:val="20"/>
                <w:szCs w:val="20"/>
              </w:rPr>
              <w:t xml:space="preserve">  Arrow 2 → Tax Efficiency: 'Low turnover = ₹6.3 tax drag vs. category ₹14.1 = 55% lower tax leakage'</w:t>
            </w:r>
          </w:p>
          <w:p>
            <w:pPr>
              <w:spacing w:before="40" w:after="40"/>
            </w:pPr>
            <w:r>
              <w:rPr>
                <w:rFonts w:ascii="Arial" w:cs="Arial" w:eastAsia="Arial" w:hAnsi="Arial"/>
                <w:color w:val="1C1C1E"/>
                <w:sz w:val="20"/>
                <w:szCs w:val="20"/>
              </w:rPr>
              <w:t xml:space="preserve">  Arrow 3 → Real Return: 'Monarch real return: 8.2% vs. category 5.8% = 240 bps real outperformance'</w:t>
            </w:r>
          </w:p>
          <w:p>
            <w:pPr>
              <w:spacing w:before="40" w:after="40"/>
            </w:pPr>
            <w:r>
              <w:rPr>
                <w:rFonts w:ascii="Arial" w:cs="Arial" w:eastAsia="Arial" w:hAnsi="Arial"/>
                <w:color w:val="1C1C1E"/>
                <w:sz w:val="20"/>
                <w:szCs w:val="20"/>
              </w:rPr>
              <w:t xml:space="preserve"/>
            </w:r>
          </w:p>
          <w:p>
            <w:pPr>
              <w:spacing w:before="40" w:after="40"/>
            </w:pPr>
            <w:r>
              <w:rPr>
                <w:rFonts w:ascii="Arial" w:cs="Arial" w:eastAsia="Arial" w:hAnsi="Arial"/>
                <w:color w:val="1C1C1E"/>
                <w:sz w:val="20"/>
                <w:szCs w:val="20"/>
              </w:rPr>
              <w:t xml:space="preserve">REGULATORY NOTE (bottom, small text):</w:t>
            </w:r>
          </w:p>
          <w:p>
            <w:pPr>
              <w:spacing w:before="40" w:after="40"/>
            </w:pPr>
            <w:r>
              <w:rPr>
                <w:rFonts w:ascii="Arial" w:cs="Arial" w:eastAsia="Arial" w:hAnsi="Arial"/>
                <w:color w:val="1C1C1E"/>
                <w:sz w:val="20"/>
                <w:szCs w:val="20"/>
              </w:rPr>
              <w:t xml:space="preserve">  'This is voluntary quarterly disclosure. No SEBI restriction on publishing post-tax return estimates for investor education. Standard disclaimer: actual tax liability varies by investor profile and should be confirmed with a tax advisor. Post-tax calculation assumes standard LTCG at 12.5% with ₹1.25 lakh annual exemption applied.'</w:t>
            </w:r>
          </w:p>
        </w:tc>
      </w:tr>
    </w:tbl>
    <w:p>
      <w:pPr>
        <w:spacing w:before="80" w:after="0"/>
      </w:pPr>
      <w:r>
        <w:rPr>
          <w:rFonts w:ascii="Arial" w:cs="Arial" w:eastAsia="Arial" w:hAnsi="Arial"/>
          <w:color w:val="1C1C1E"/>
          <w:sz w:val="21"/>
          <w:szCs w:val="21"/>
        </w:rPr>
        <w:t xml:space="preserve"/>
      </w:r>
    </w:p>
    <w:p>
      <w:pPr>
        <w:spacing w:before="160" w:after="60"/>
      </w:pPr>
      <w:r>
        <w:rPr>
          <w:rFonts w:ascii="Arial" w:cs="Arial" w:eastAsia="Arial" w:hAnsi="Arial"/>
          <w:b/>
          <w:bCs/>
          <w:i/>
          <w:iCs/>
          <w:color w:val="4A4A4A"/>
          <w:sz w:val="21"/>
          <w:szCs w:val="21"/>
        </w:rPr>
        <w:t xml:space="preserve">Why This Slide Wins the Presentation</w:t>
      </w:r>
    </w:p>
    <w:p>
      <w:pPr>
        <w:pStyle w:val="ListParagraph"/>
        <w:numPr>
          <w:ilvl w:val="0"/>
          <w:numId w:val="2"/>
        </w:numPr>
        <w:spacing w:before="40" w:after="40"/>
      </w:pPr>
      <w:r>
        <w:rPr>
          <w:rFonts w:ascii="Arial" w:cs="Arial" w:eastAsia="Arial" w:hAnsi="Arial"/>
          <w:color w:val="1C1C1E"/>
          <w:sz w:val="21"/>
          <w:szCs w:val="21"/>
        </w:rPr>
        <w:t xml:space="preserve">Most competing teams will have vague 'transparency' claims. This slide shows exactly what transparency looks like in practice — a specific, quarterly published format with real numbers.</w:t>
      </w:r>
    </w:p>
    <w:p>
      <w:pPr>
        <w:pStyle w:val="ListParagraph"/>
        <w:numPr>
          <w:ilvl w:val="0"/>
          <w:numId w:val="2"/>
        </w:numPr>
        <w:spacing w:before="40" w:after="40"/>
      </w:pPr>
      <w:r>
        <w:rPr>
          <w:rFonts w:ascii="Arial" w:cs="Arial" w:eastAsia="Arial" w:hAnsi="Arial"/>
          <w:color w:val="1C1C1E"/>
          <w:sz w:val="21"/>
          <w:szCs w:val="21"/>
        </w:rPr>
        <w:t xml:space="preserve">The Tax Efficiency Score is a new metric that no judge will have seen before — showing Monarch generates 55% lower tax drag per ₹100 of gross return vs. category average.</w:t>
      </w:r>
    </w:p>
    <w:p>
      <w:pPr>
        <w:pStyle w:val="ListParagraph"/>
        <w:numPr>
          <w:ilvl w:val="0"/>
          <w:numId w:val="2"/>
        </w:numPr>
        <w:spacing w:before="40" w:after="40"/>
      </w:pPr>
      <w:r>
        <w:rPr>
          <w:rFonts w:ascii="Arial" w:cs="Arial" w:eastAsia="Arial" w:hAnsi="Arial"/>
          <w:color w:val="1C1C1E"/>
          <w:sz w:val="21"/>
          <w:szCs w:val="21"/>
        </w:rPr>
        <w:t xml:space="preserve">The 240 bps real return advantage (8.2% vs. 5.8%) tells the investor the only number that matters: what did you actually accumulate in purchasing power after fees, taxes, and inflation.</w:t>
      </w:r>
    </w:p>
    <w:p>
      <w:pPr>
        <w:spacing w:before="160" w:after="0"/>
      </w:pPr>
      <w:r>
        <w:rPr>
          <w:rFonts w:ascii="Arial" w:cs="Arial" w:eastAsia="Arial" w:hAnsi="Arial"/>
          <w:color w:val="1C1C1E"/>
          <w:sz w:val="21"/>
          <w:szCs w:val="21"/>
        </w:rPr>
        <w:t xml:space="preserve"/>
      </w:r>
    </w:p>
    <w:p>
      <w:pPr>
        <w:pStyle w:val="Heading1"/>
        <w:pBdr>
          <w:bottom w:val="thick" w:color="1D5FA6" w:sz="6" w:space="4"/>
        </w:pBdr>
        <w:spacing w:before="480" w:after="200"/>
      </w:pPr>
      <w:r>
        <w:rPr>
          <w:rFonts w:ascii="Arial" w:cs="Arial" w:eastAsia="Arial" w:hAnsi="Arial"/>
          <w:b/>
          <w:bCs/>
          <w:color w:val="0E2040"/>
          <w:sz w:val="34"/>
          <w:szCs w:val="34"/>
        </w:rPr>
        <w:t xml:space="preserve">COMPLETE JUDGE Q&amp;A PREPARATION</w:t>
      </w:r>
    </w:p>
    <w:p>
      <w:pPr>
        <w:spacing w:before="80" w:after="80"/>
      </w:pPr>
      <w:r>
        <w:rPr>
          <w:rFonts w:ascii="Arial" w:cs="Arial" w:eastAsia="Arial" w:hAnsi="Arial"/>
          <w:color w:val="1C1C1E"/>
          <w:sz w:val="21"/>
          <w:szCs w:val="21"/>
        </w:rPr>
        <w:t xml:space="preserve">The following questions and pre-built answers cover all high-probability judge challenges. Every answer is designed to be delivered in 45–60 seconds maximum.</w:t>
      </w:r>
    </w:p>
    <w:p>
      <w:pPr>
        <w:spacing w:before="80" w:after="0"/>
      </w:pPr>
      <w:r>
        <w:rPr>
          <w:rFonts w:ascii="Arial" w:cs="Arial" w:eastAsia="Arial" w:hAnsi="Arial"/>
          <w:color w:val="1C1C1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Anticipated Question</w:t>
            </w:r>
          </w:p>
        </w:tc>
        <w:tc>
          <w:tcPr>
            <w:tcW w:type="dxa" w:w="53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Pre-Built Answer (Summary)</w:t>
            </w:r>
          </w:p>
        </w:tc>
      </w:tr>
      <w:tr>
        <w:tc>
          <w:tcPr>
            <w:tcW w:type="dxa" w:w="4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Isn't the AIF reference a prohibited alternative structure?</w:t>
            </w:r>
          </w:p>
        </w:tc>
        <w:tc>
          <w:tcPr>
            <w:tcW w:type="dxa" w:w="5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AIF is referenced identically to how any AMC cites prior employer track records of fund managers. No AIF assets, investors, or operations are integrated into MF entity. Separate team, separate compliance, separate entity. Factual credibility transfer, not operational integration.</w:t>
            </w:r>
          </w:p>
        </w:tc>
      </w:tr>
      <w:tr>
        <w:tc>
          <w:tcPr>
            <w:tcW w:type="dxa" w:w="4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Why won't PPFAS or Helios just copy this?</w:t>
            </w:r>
          </w:p>
        </w:tc>
        <w:tc>
          <w:tcPr>
            <w:tcW w:type="dxa" w:w="5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PPFAS has 7 schemes and is now establishment — Real Return Dashboard exposes their own multi-scheme fee drag. Helios lacks the AIF anchor and 300K warm client base. Neither can adopt our full architecture without abandoning existing commitments.</w:t>
            </w:r>
          </w:p>
        </w:tc>
      </w:tr>
      <w:tr>
        <w:tc>
          <w:tcPr>
            <w:tcW w:type="dxa" w:w="4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Is ₹2,750 crore AUM breakeven realistic?</w:t>
            </w:r>
          </w:p>
        </w:tc>
        <w:tc>
          <w:tcPr>
            <w:tcW w:type="dxa" w:w="5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Year 1 warm base: ₹410–700 crore from existing relationships without advertising. PPFAS grew ₹2,500cr to ₹15,000cr in 5 years off similar dynamics. Conservative case (₹1,650cr Year 3) still paths to breakeven by Year 4–5 — fully fundable on Monarch's balance sheet.</w:t>
            </w:r>
          </w:p>
        </w:tc>
      </w:tr>
      <w:tr>
        <w:tc>
          <w:tcPr>
            <w:tcW w:type="dxa" w:w="4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What if a bad year destroys AUM?</w:t>
            </w:r>
          </w:p>
        </w:tc>
        <w:tc>
          <w:tcPr>
            <w:tcW w:type="dxa" w:w="5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Our investor selection strategy (existing Monarch clients, RIA-referred, direct platform buyers who read conviction letters) produces an investor base that understands and accepts volatility. Quarterly letters pre-arm investors against panic-redemption. This is by design, not by accident.</w:t>
            </w:r>
          </w:p>
        </w:tc>
      </w:tr>
      <w:tr>
        <w:tc>
          <w:tcPr>
            <w:tcW w:type="dxa" w:w="4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How is this different from PPFAS in 2013?</w:t>
            </w:r>
          </w:p>
        </w:tc>
        <w:tc>
          <w:tcPr>
            <w:tcW w:type="dxa" w:w="5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Three ways: (1) Monarch starts with ₹1,000cr AIF track record — PPFAS started zero. (2) 300,000 warm client base — PPFAS built cold. (3) Real Return Dashboard — no AMC has done this. Starting position is fundamentally stronger.</w:t>
            </w:r>
          </w:p>
        </w:tc>
      </w:tr>
      <w:tr>
        <w:tc>
          <w:tcPr>
            <w:tcW w:type="dxa" w:w="4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Can one person (fund manager) really drive all this?</w:t>
            </w:r>
          </w:p>
        </w:tc>
        <w:tc>
          <w:tcPr>
            <w:tcW w:type="dxa" w:w="5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Investment committee model: minimum 3 people on every major decision. Conviction letters written by team, not individual. Process documented in writing. 4-year equity vesting for key hires. Departure pre-managed structurally.</w:t>
            </w:r>
          </w:p>
        </w:tc>
      </w:tr>
      <w:tr>
        <w:tc>
          <w:tcPr>
            <w:tcW w:type="dxa" w:w="4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Why not just launch an index fund? Market is growing anyway.</w:t>
            </w:r>
          </w:p>
        </w:tc>
        <w:tc>
          <w:tcPr>
            <w:tcW w:type="dxa" w:w="5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We have no competitive advantage in passive. Zerodha Fund House does this at near-zero cost with massive scale. Our advantage is fundamental conviction research + investor education + post-tax transparency — none of which applies to passive investing.</w:t>
            </w:r>
          </w:p>
        </w:tc>
      </w:tr>
      <w:tr>
        <w:tc>
          <w:tcPr>
            <w:tcW w:type="dxa" w:w="4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What's the real innovation here? Every AMC claims conviction.</w:t>
            </w:r>
          </w:p>
        </w:tc>
        <w:tc>
          <w:tcPr>
            <w:tcW w:type="dxa" w:w="5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Conviction Delta Score (published active share vs. benchmark, quarterly) + Real Return Dashboard (post-tax, post-inflation comparison vs. top 5 competitors, quarterly). These are not vague claims — they are specific, measurable, accountability-creating product features that no other AMC publishes.</w:t>
            </w:r>
          </w:p>
        </w:tc>
      </w:tr>
    </w:tbl>
    <w:p>
      <w:r>
        <w:br w:type="page"/>
      </w:r>
    </w:p>
    <w:p>
      <w:pPr>
        <w:pStyle w:val="Heading1"/>
        <w:pBdr>
          <w:bottom w:val="thick" w:color="1D5FA6" w:sz="6" w:space="4"/>
        </w:pBdr>
        <w:spacing w:before="480" w:after="200"/>
      </w:pPr>
      <w:r>
        <w:rPr>
          <w:rFonts w:ascii="Arial" w:cs="Arial" w:eastAsia="Arial" w:hAnsi="Arial"/>
          <w:b/>
          <w:bCs/>
          <w:color w:val="0E2040"/>
          <w:sz w:val="34"/>
          <w:szCs w:val="34"/>
        </w:rPr>
        <w:t xml:space="preserve">EXECUTION TIMELINE — MONTH-BY-MONTH FIRST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2000"/>
        <w:gridCol w:w="2660"/>
      </w:tblGrid>
      <w:tr>
        <w:trPr>
          <w:tblHeader/>
        </w:trPr>
        <w:tc>
          <w:tcPr>
            <w:tcW w:type="dxa" w:w="9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Month</w:t>
            </w:r>
          </w:p>
        </w:tc>
        <w:tc>
          <w:tcPr>
            <w:tcW w:type="dxa" w:w="38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Action</w:t>
            </w:r>
          </w:p>
        </w:tc>
        <w:tc>
          <w:tcPr>
            <w:tcW w:type="dxa" w:w="20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Owner</w:t>
            </w:r>
          </w:p>
        </w:tc>
        <w:tc>
          <w:tcPr>
            <w:tcW w:type="dxa" w:w="26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Milestone</w:t>
            </w:r>
          </w:p>
        </w:tc>
      </w:tr>
      <w:tr>
        <w:tc>
          <w:tcPr>
            <w:tcW w:type="dxa" w:w="9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Month 0–1</w:t>
            </w:r>
          </w:p>
        </w:tc>
        <w:tc>
          <w:tcPr>
            <w:tcW w:type="dxa" w:w="38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Finalize AMC registration, trustee company incorporation, SEBI final approval</w:t>
            </w:r>
          </w:p>
        </w:tc>
        <w:tc>
          <w:tcPr>
            <w:tcW w:type="dxa" w:w="2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Monarch leadership + legal</w:t>
            </w:r>
          </w:p>
        </w:tc>
        <w:tc>
          <w:tcPr>
            <w:tcW w:type="dxa" w:w="26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AMC entity live</w:t>
            </w:r>
          </w:p>
        </w:tc>
      </w:tr>
      <w:tr>
        <w:tc>
          <w:tcPr>
            <w:tcW w:type="dxa" w:w="9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Month 1–3</w:t>
            </w:r>
          </w:p>
        </w:tc>
        <w:tc>
          <w:tcPr>
            <w:tcW w:type="dxa" w:w="38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Hire SIF CIO (10yr+, ₹5,000cr AUM track record). Announce publicly as pre-launch signal.</w:t>
            </w:r>
          </w:p>
        </w:tc>
        <w:tc>
          <w:tcPr>
            <w:tcW w:type="dxa" w:w="2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HR + Board</w:t>
            </w:r>
          </w:p>
        </w:tc>
        <w:tc>
          <w:tcPr>
            <w:tcW w:type="dxa" w:w="26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SIF eligibility established</w:t>
            </w:r>
          </w:p>
        </w:tc>
      </w:tr>
      <w:tr>
        <w:tc>
          <w:tcPr>
            <w:tcW w:type="dxa" w:w="9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Month 1–3</w:t>
            </w:r>
          </w:p>
        </w:tc>
        <w:tc>
          <w:tcPr>
            <w:tcW w:type="dxa" w:w="38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Hire Lead Fund Manager (MF dedicated) and 2nd Fund Manager. 4-year vesting contracts.</w:t>
            </w:r>
          </w:p>
        </w:tc>
        <w:tc>
          <w:tcPr>
            <w:tcW w:type="dxa" w:w="2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HR + SIF CIO</w:t>
            </w:r>
          </w:p>
        </w:tc>
        <w:tc>
          <w:tcPr>
            <w:tcW w:type="dxa" w:w="26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Core investment team formed</w:t>
            </w:r>
          </w:p>
        </w:tc>
      </w:tr>
      <w:tr>
        <w:tc>
          <w:tcPr>
            <w:tcW w:type="dxa" w:w="9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Month 1–3</w:t>
            </w:r>
          </w:p>
        </w:tc>
        <w:tc>
          <w:tcPr>
            <w:tcW w:type="dxa" w:w="38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Hire 2 research analysts, MF compliance officer. Build investment committee process.</w:t>
            </w:r>
          </w:p>
        </w:tc>
        <w:tc>
          <w:tcPr>
            <w:tcW w:type="dxa" w:w="2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HR</w:t>
            </w:r>
          </w:p>
        </w:tc>
        <w:tc>
          <w:tcPr>
            <w:tcW w:type="dxa" w:w="26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Full team operational</w:t>
            </w:r>
          </w:p>
        </w:tc>
      </w:tr>
      <w:tr>
        <w:tc>
          <w:tcPr>
            <w:tcW w:type="dxa" w:w="9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Month 1–3</w:t>
            </w:r>
          </w:p>
        </w:tc>
        <w:tc>
          <w:tcPr>
            <w:tcW w:type="dxa" w:w="38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Build investor app, direct plan portal, Real Return Dashboard infrastructure. CAMS/KFintech R&amp;T empanelment.</w:t>
            </w:r>
          </w:p>
        </w:tc>
        <w:tc>
          <w:tcPr>
            <w:tcW w:type="dxa" w:w="2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Technology</w:t>
            </w:r>
          </w:p>
        </w:tc>
        <w:tc>
          <w:tcPr>
            <w:tcW w:type="dxa" w:w="26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Digital infrastructure ready</w:t>
            </w:r>
          </w:p>
        </w:tc>
      </w:tr>
      <w:tr>
        <w:tc>
          <w:tcPr>
            <w:tcW w:type="dxa" w:w="9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Month 1</w:t>
            </w:r>
          </w:p>
        </w:tc>
        <w:tc>
          <w:tcPr>
            <w:tcW w:type="dxa" w:w="38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Empanel on Kuvera (CRED), MFCentral, ET Money Pro. Digital platforms live from Day 1.</w:t>
            </w:r>
          </w:p>
        </w:tc>
        <w:tc>
          <w:tcPr>
            <w:tcW w:type="dxa" w:w="2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Distribution</w:t>
            </w:r>
          </w:p>
        </w:tc>
        <w:tc>
          <w:tcPr>
            <w:tcW w:type="dxa" w:w="26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Digital distribution active</w:t>
            </w:r>
          </w:p>
        </w:tc>
      </w:tr>
      <w:tr>
        <w:tc>
          <w:tcPr>
            <w:tcW w:type="dxa" w:w="9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Month 3–6</w:t>
            </w:r>
          </w:p>
        </w:tc>
        <w:tc>
          <w:tcPr>
            <w:tcW w:type="dxa" w:w="38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Write first conviction letter (pre-NFO: 'What We Will Own and Why'). Launch fund manager video.</w:t>
            </w:r>
          </w:p>
        </w:tc>
        <w:tc>
          <w:tcPr>
            <w:tcW w:type="dxa" w:w="2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Fund Managers</w:t>
            </w:r>
          </w:p>
        </w:tc>
        <w:tc>
          <w:tcPr>
            <w:tcW w:type="dxa" w:w="26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Content engine started</w:t>
            </w:r>
          </w:p>
        </w:tc>
      </w:tr>
      <w:tr>
        <w:tc>
          <w:tcPr>
            <w:tcW w:type="dxa" w:w="9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Month 3–6</w:t>
            </w:r>
          </w:p>
        </w:tc>
        <w:tc>
          <w:tcPr>
            <w:tcW w:type="dxa" w:w="38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File NFO documents with SEBI. Begin AIF investor and top brokerage client outreach.</w:t>
            </w:r>
          </w:p>
        </w:tc>
        <w:tc>
          <w:tcPr>
            <w:tcW w:type="dxa" w:w="2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AMC + RM network</w:t>
            </w:r>
          </w:p>
        </w:tc>
        <w:tc>
          <w:tcPr>
            <w:tcW w:type="dxa" w:w="26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Pipeline built</w:t>
            </w:r>
          </w:p>
        </w:tc>
      </w:tr>
      <w:tr>
        <w:tc>
          <w:tcPr>
            <w:tcW w:type="dxa" w:w="9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Month 6</w:t>
            </w:r>
          </w:p>
        </w:tc>
        <w:tc>
          <w:tcPr>
            <w:tcW w:type="dxa" w:w="38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NFO opens. 15-day subscription period. Soft close at ₹600 crore.</w:t>
            </w:r>
          </w:p>
        </w:tc>
        <w:tc>
          <w:tcPr>
            <w:tcW w:type="dxa" w:w="2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AMC</w:t>
            </w:r>
          </w:p>
        </w:tc>
        <w:tc>
          <w:tcPr>
            <w:tcW w:type="dxa" w:w="26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Fund 1 + Fund 2 launched</w:t>
            </w:r>
          </w:p>
        </w:tc>
      </w:tr>
      <w:tr>
        <w:tc>
          <w:tcPr>
            <w:tcW w:type="dxa" w:w="9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Month 6–9</w:t>
            </w:r>
          </w:p>
        </w:tc>
        <w:tc>
          <w:tcPr>
            <w:tcW w:type="dxa" w:w="38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India Transition Thematic Fund NFO (sequential, after conviction funds stable)</w:t>
            </w:r>
          </w:p>
        </w:tc>
        <w:tc>
          <w:tcPr>
            <w:tcW w:type="dxa" w:w="2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AMC</w:t>
            </w:r>
          </w:p>
        </w:tc>
        <w:tc>
          <w:tcPr>
            <w:tcW w:type="dxa" w:w="26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Fund 3 launched</w:t>
            </w:r>
          </w:p>
        </w:tc>
      </w:tr>
      <w:tr>
        <w:tc>
          <w:tcPr>
            <w:tcW w:type="dxa" w:w="9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Month 12</w:t>
            </w:r>
          </w:p>
        </w:tc>
        <w:tc>
          <w:tcPr>
            <w:tcW w:type="dxa" w:w="38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First quarterly conviction letter published. Real Return Dashboard goes live — 3 months of data.</w:t>
            </w:r>
          </w:p>
        </w:tc>
        <w:tc>
          <w:tcPr>
            <w:tcW w:type="dxa" w:w="20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Fund Managers</w:t>
            </w:r>
          </w:p>
        </w:tc>
        <w:tc>
          <w:tcPr>
            <w:tcW w:type="dxa" w:w="26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Credibility engine started</w:t>
            </w:r>
          </w:p>
        </w:tc>
      </w:tr>
      <w:tr>
        <w:tc>
          <w:tcPr>
            <w:tcW w:type="dxa" w:w="9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Month 15–18</w:t>
            </w:r>
          </w:p>
        </w:tc>
        <w:tc>
          <w:tcPr>
            <w:tcW w:type="dxa" w:w="38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SIF ISID prepared and filed. SIF NFO launch (after SEBI SIF registration confirmed).</w:t>
            </w:r>
          </w:p>
        </w:tc>
        <w:tc>
          <w:tcPr>
            <w:tcW w:type="dxa" w:w="20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AMC</w:t>
            </w:r>
          </w:p>
        </w:tc>
        <w:tc>
          <w:tcPr>
            <w:tcW w:type="dxa" w:w="26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SIF launched</w:t>
            </w:r>
          </w:p>
        </w:tc>
      </w:tr>
    </w:tbl>
    <w:p>
      <w:r>
        <w:br w:type="page"/>
      </w:r>
    </w:p>
    <w:p>
      <w:pPr>
        <w:pStyle w:val="Heading1"/>
        <w:pBdr>
          <w:bottom w:val="thick" w:color="1D5FA6" w:sz="6" w:space="4"/>
        </w:pBdr>
        <w:spacing w:before="480" w:after="200"/>
      </w:pPr>
      <w:r>
        <w:rPr>
          <w:rFonts w:ascii="Arial" w:cs="Arial" w:eastAsia="Arial" w:hAnsi="Arial"/>
          <w:b/>
          <w:bCs/>
          <w:color w:val="0E2040"/>
          <w:sz w:val="34"/>
          <w:szCs w:val="34"/>
        </w:rPr>
        <w:t xml:space="preserve">FINAL CHECKLIST — COMPETITION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rPr>
          <w:tblHeader/>
        </w:trPr>
        <w:tc>
          <w:tcPr>
            <w:tcW w:type="dxa" w:w="45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Element</w:t>
            </w:r>
          </w:p>
        </w:tc>
        <w:tc>
          <w:tcPr>
            <w:tcW w:type="dxa" w:w="150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c>
          <w:tcPr>
            <w:tcW w:type="dxa" w:w="3360"/>
            <w:tcBorders>
              <w:top w:val="single" w:color="0E2040" w:sz="4"/>
              <w:left w:val="single" w:color="0E2040" w:sz="4"/>
              <w:bottom w:val="single" w:color="0E2040" w:sz="4"/>
              <w:right w:val="single" w:color="0E2040" w:sz="4"/>
            </w:tcBorders>
            <w:shd w:fill="0E204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Where in Document</w:t>
            </w:r>
          </w:p>
        </w:tc>
      </w:tr>
      <w:tr>
        <w:tc>
          <w:tcPr>
            <w:tcW w:type="dxa" w:w="4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Five-year financial projections (base + conservative)</w:t>
            </w:r>
          </w:p>
        </w:tc>
        <w:tc>
          <w:tcPr>
            <w:tcW w:type="dxa" w:w="1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 Complete</w:t>
            </w:r>
          </w:p>
        </w:tc>
        <w:tc>
          <w:tcPr>
            <w:tcW w:type="dxa" w:w="3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Section 10 + Slide 10</w:t>
            </w:r>
          </w:p>
        </w:tc>
      </w:tr>
      <w:tr>
        <w:tc>
          <w:tcPr>
            <w:tcW w:type="dxa" w:w="4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India Transition Thematic Fund designed</w:t>
            </w:r>
          </w:p>
        </w:tc>
        <w:tc>
          <w:tcPr>
            <w:tcW w:type="dxa" w:w="1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 Complete</w:t>
            </w:r>
          </w:p>
        </w:tc>
        <w:tc>
          <w:tcPr>
            <w:tcW w:type="dxa" w:w="3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Section 4.3 + Slide 4</w:t>
            </w:r>
          </w:p>
        </w:tc>
      </w:tr>
      <w:tr>
        <w:tc>
          <w:tcPr>
            <w:tcW w:type="dxa" w:w="4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Flexi Cap differentiation — mechanical screen (not just philosophy)</w:t>
            </w:r>
          </w:p>
        </w:tc>
        <w:tc>
          <w:tcPr>
            <w:tcW w:type="dxa" w:w="1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 Complete</w:t>
            </w:r>
          </w:p>
        </w:tc>
        <w:tc>
          <w:tcPr>
            <w:tcW w:type="dxa" w:w="3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Section 4.2 + Slide 4 Q&amp;A</w:t>
            </w:r>
          </w:p>
        </w:tc>
      </w:tr>
      <w:tr>
        <w:tc>
          <w:tcPr>
            <w:tcW w:type="dxa" w:w="4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AIF constraint explicitly resolved</w:t>
            </w:r>
          </w:p>
        </w:tc>
        <w:tc>
          <w:tcPr>
            <w:tcW w:type="dxa" w:w="1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 Complete</w:t>
            </w:r>
          </w:p>
        </w:tc>
        <w:tc>
          <w:tcPr>
            <w:tcW w:type="dxa" w:w="3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Section 1 critical box + Slide 3 Q&amp;A</w:t>
            </w:r>
          </w:p>
        </w:tc>
      </w:tr>
      <w:tr>
        <w:tc>
          <w:tcPr>
            <w:tcW w:type="dxa" w:w="4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Digital strategy (Month 1 empanelment, not Year 3)</w:t>
            </w:r>
          </w:p>
        </w:tc>
        <w:tc>
          <w:tcPr>
            <w:tcW w:type="dxa" w:w="1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 Corrected</w:t>
            </w:r>
          </w:p>
        </w:tc>
        <w:tc>
          <w:tcPr>
            <w:tcW w:type="dxa" w:w="3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Section 6.2 + Slide 6</w:t>
            </w:r>
          </w:p>
        </w:tc>
      </w:tr>
      <w:tr>
        <w:tc>
          <w:tcPr>
            <w:tcW w:type="dxa" w:w="4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RIA projections corrected (₹1.5cr avg not ₹5cr avg)</w:t>
            </w:r>
          </w:p>
        </w:tc>
        <w:tc>
          <w:tcPr>
            <w:tcW w:type="dxa" w:w="1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 Corrected</w:t>
            </w:r>
          </w:p>
        </w:tc>
        <w:tc>
          <w:tcPr>
            <w:tcW w:type="dxa" w:w="3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Section 6.3</w:t>
            </w:r>
          </w:p>
        </w:tc>
      </w:tr>
      <w:tr>
        <w:tc>
          <w:tcPr>
            <w:tcW w:type="dxa" w:w="4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Post-Tax Transparency Void — new fourth problem</w:t>
            </w:r>
          </w:p>
        </w:tc>
        <w:tc>
          <w:tcPr>
            <w:tcW w:type="dxa" w:w="1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 New insight</w:t>
            </w:r>
          </w:p>
        </w:tc>
        <w:tc>
          <w:tcPr>
            <w:tcW w:type="dxa" w:w="3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Section 2.4 + Slide 2</w:t>
            </w:r>
          </w:p>
        </w:tc>
      </w:tr>
      <w:tr>
        <w:tc>
          <w:tcPr>
            <w:tcW w:type="dxa" w:w="4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Real Return Dashboard — full specification</w:t>
            </w:r>
          </w:p>
        </w:tc>
        <w:tc>
          <w:tcPr>
            <w:tcW w:type="dxa" w:w="1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 Complete</w:t>
            </w:r>
          </w:p>
        </w:tc>
        <w:tc>
          <w:tcPr>
            <w:tcW w:type="dxa" w:w="3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Section 2.4 + Slide 11</w:t>
            </w:r>
          </w:p>
        </w:tc>
      </w:tr>
      <w:tr>
        <w:tc>
          <w:tcPr>
            <w:tcW w:type="dxa" w:w="4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Conviction Delta Score — defined and positioned</w:t>
            </w:r>
          </w:p>
        </w:tc>
        <w:tc>
          <w:tcPr>
            <w:tcW w:type="dxa" w:w="1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 Complete</w:t>
            </w:r>
          </w:p>
        </w:tc>
        <w:tc>
          <w:tcPr>
            <w:tcW w:type="dxa" w:w="3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Section 4 + Slides 4,7</w:t>
            </w:r>
          </w:p>
        </w:tc>
      </w:tr>
      <w:tr>
        <w:tc>
          <w:tcPr>
            <w:tcW w:type="dxa" w:w="4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Competitive landscape — Helios and WhiteOak honestly assessed</w:t>
            </w:r>
          </w:p>
        </w:tc>
        <w:tc>
          <w:tcPr>
            <w:tcW w:type="dxa" w:w="1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 Complete</w:t>
            </w:r>
          </w:p>
        </w:tc>
        <w:tc>
          <w:tcPr>
            <w:tcW w:type="dxa" w:w="3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Section 7</w:t>
            </w:r>
          </w:p>
        </w:tc>
      </w:tr>
      <w:tr>
        <w:tc>
          <w:tcPr>
            <w:tcW w:type="dxa" w:w="4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Three-layer moat — revised and detailed</w:t>
            </w:r>
          </w:p>
        </w:tc>
        <w:tc>
          <w:tcPr>
            <w:tcW w:type="dxa" w:w="1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 Complete</w:t>
            </w:r>
          </w:p>
        </w:tc>
        <w:tc>
          <w:tcPr>
            <w:tcW w:type="dxa" w:w="3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Section 7.3 + Slide 7</w:t>
            </w:r>
          </w:p>
        </w:tc>
      </w:tr>
      <w:tr>
        <w:tc>
          <w:tcPr>
            <w:tcW w:type="dxa" w:w="4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Regulatory compliance — full SEBI checklist</w:t>
            </w:r>
          </w:p>
        </w:tc>
        <w:tc>
          <w:tcPr>
            <w:tcW w:type="dxa" w:w="1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 Complete</w:t>
            </w:r>
          </w:p>
        </w:tc>
        <w:tc>
          <w:tcPr>
            <w:tcW w:type="dxa" w:w="3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Section 8 + Slide 9</w:t>
            </w:r>
          </w:p>
        </w:tc>
      </w:tr>
      <w:tr>
        <w:tc>
          <w:tcPr>
            <w:tcW w:type="dxa" w:w="4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Risk register — six risks with mitigations</w:t>
            </w:r>
          </w:p>
        </w:tc>
        <w:tc>
          <w:tcPr>
            <w:tcW w:type="dxa" w:w="1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 Complete</w:t>
            </w:r>
          </w:p>
        </w:tc>
        <w:tc>
          <w:tcPr>
            <w:tcW w:type="dxa" w:w="3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Section 9 + distributed in Q&amp;A</w:t>
            </w:r>
          </w:p>
        </w:tc>
      </w:tr>
      <w:tr>
        <w:tc>
          <w:tcPr>
            <w:tcW w:type="dxa" w:w="4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Fund manager retention — structural mechanism</w:t>
            </w:r>
          </w:p>
        </w:tc>
        <w:tc>
          <w:tcPr>
            <w:tcW w:type="dxa" w:w="1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 Complete</w:t>
            </w:r>
          </w:p>
        </w:tc>
        <w:tc>
          <w:tcPr>
            <w:tcW w:type="dxa" w:w="3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Section 9 (key person risk)</w:t>
            </w:r>
          </w:p>
        </w:tc>
      </w:tr>
      <w:tr>
        <w:tc>
          <w:tcPr>
            <w:tcW w:type="dxa" w:w="4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Execution timeline — month-by-month</w:t>
            </w:r>
          </w:p>
        </w:tc>
        <w:tc>
          <w:tcPr>
            <w:tcW w:type="dxa" w:w="1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 Complete</w:t>
            </w:r>
          </w:p>
        </w:tc>
        <w:tc>
          <w:tcPr>
            <w:tcW w:type="dxa" w:w="3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Final section above</w:t>
            </w:r>
          </w:p>
        </w:tc>
      </w:tr>
      <w:tr>
        <w:tc>
          <w:tcPr>
            <w:tcW w:type="dxa" w:w="4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Judge Q&amp;A — eight questions pre-built</w:t>
            </w:r>
          </w:p>
        </w:tc>
        <w:tc>
          <w:tcPr>
            <w:tcW w:type="dxa" w:w="1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 Complete</w:t>
            </w:r>
          </w:p>
        </w:tc>
        <w:tc>
          <w:tcPr>
            <w:tcW w:type="dxa" w:w="3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End of Part B</w:t>
            </w:r>
          </w:p>
        </w:tc>
      </w:tr>
      <w:tr>
        <w:tc>
          <w:tcPr>
            <w:tcW w:type="dxa" w:w="4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Strategic coherence test — full logic chain</w:t>
            </w:r>
          </w:p>
        </w:tc>
        <w:tc>
          <w:tcPr>
            <w:tcW w:type="dxa" w:w="150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 Complete</w:t>
            </w:r>
          </w:p>
        </w:tc>
        <w:tc>
          <w:tcPr>
            <w:tcW w:type="dxa" w:w="3360"/>
            <w:tcBorders>
              <w:top w:val="single" w:color="0E2040" w:sz="4"/>
              <w:left w:val="single" w:color="0E2040" w:sz="4"/>
              <w:bottom w:val="single" w:color="0E2040" w:sz="4"/>
              <w:right w:val="single" w:color="0E2040" w:sz="4"/>
            </w:tcBorders>
            <w:shd w:fill="EEF5FC"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Section 11 + Slide 7</w:t>
            </w:r>
          </w:p>
        </w:tc>
      </w:tr>
      <w:tr>
        <w:tc>
          <w:tcPr>
            <w:tcW w:type="dxa" w:w="4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All 11 slide blueprints with exact content</w:t>
            </w:r>
          </w:p>
        </w:tc>
        <w:tc>
          <w:tcPr>
            <w:tcW w:type="dxa" w:w="150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 Complete</w:t>
            </w:r>
          </w:p>
        </w:tc>
        <w:tc>
          <w:tcPr>
            <w:tcW w:type="dxa" w:w="3360"/>
            <w:tcBorders>
              <w:top w:val="single" w:color="0E2040" w:sz="4"/>
              <w:left w:val="single" w:color="0E2040" w:sz="4"/>
              <w:bottom w:val="single" w:color="0E2040" w:sz="4"/>
              <w:right w:val="single" w:color="0E2040"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C1C1E"/>
                <w:sz w:val="18"/>
                <w:szCs w:val="18"/>
              </w:rPr>
              <w:t xml:space="preserve">Part B — Slides 1 through 11</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5FA6" w:sz="4" w:space="2"/>
      </w:pBdr>
      <w:spacing w:before="80" w:after="0"/>
    </w:pPr>
    <w:r>
      <w:rPr>
        <w:rFonts w:ascii="Arial" w:cs="Arial" w:eastAsia="Arial" w:hAnsi="Arial"/>
        <w:color w:val="4A4A4A"/>
        <w:sz w:val="17"/>
        <w:szCs w:val="17"/>
      </w:rPr>
      <w:t xml:space="preserve">Confidential — Competition Submission  |  Deadline: 26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5FA6" w:sz="4" w:space="2"/>
      </w:pBdr>
      <w:spacing w:before="0" w:after="80"/>
    </w:pPr>
    <w:r>
      <w:rPr>
        <w:rFonts w:ascii="Arial" w:cs="Arial" w:eastAsia="Arial" w:hAnsi="Arial"/>
        <w:color w:val="4A4A4A"/>
        <w:sz w:val="17"/>
        <w:szCs w:val="17"/>
      </w:rPr>
      <w:t xml:space="preserve">MONARCH CONVICTION AMC  |  Launchpad Alpha 2026  |  IIM Ahmedabad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E2040"/>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1D5FA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2026-02-25T13:04:50.410Z</dcterms:created>
  <dcterms:modified xsi:type="dcterms:W3CDTF">2026-02-25T13:04:50.411Z</dcterms:modified>
</cp:coreProperties>
</file>

<file path=docProps/custom.xml><?xml version="1.0" encoding="utf-8"?>
<Properties xmlns="http://schemas.openxmlformats.org/officeDocument/2006/custom-properties" xmlns:vt="http://schemas.openxmlformats.org/officeDocument/2006/docPropsVTypes"/>
</file>