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Dynamic Context-Aware Tries for Knowledge Graph-Constrained Large Language Model Generation</w:t>
      </w:r>
    </w:p>
    <w:p>
      <w:pPr>
        <w:pStyle w:val="Author"/>
      </w:pPr>
      <w:r>
        <w:t xml:space="preserve">Bernard Kirk Adjanor Katamanso, Erica Amonor, Joseph Osei Nyarko, Jessica Afua Etornam Nsafuah</w:t>
      </w:r>
    </w:p>
    <w:p>
      <w:pPr>
        <w:pStyle w:val="Date"/>
      </w:pPr>
      <w:r>
        <w:t xml:space="preserve">August 2026</w:t>
      </w:r>
    </w:p>
    <w:p>
      <w:pPr>
        <w:pStyle w:val="AbstractTitle"/>
      </w:pPr>
      <w:r>
        <w:t xml:space="preserve">Abstract</w:t>
      </w:r>
    </w:p>
    <w:p>
      <w:pPr>
        <w:pStyle w:val="Abstract"/>
      </w:pPr>
      <w:r>
        <w:t xml:space="preserve">Knowledge Graph constrained decoding eliminates hallucination in large language model (LLM) reasoning by restricting output to verified paths. The leading approach, Graph Constrained Reasoning (GCR),achieves zero hallucination on Knowledge Graph Question Answering (KGQA) benchmarks by encoding all structurally valid paths in a static trie. The constraint is absolute but indifferent to the question: a three-hop query with twenty out-degree relations admits roughly 24</w:t>
      </w:r>
      <w:r>
        <w:t xml:space="preserve">,</w:t>
      </w:r>
      <w:r>
        <w:t xml:space="preserve">000 paths, and the LLM must navigate among them using the same internal knowledge that causes hallucination. We introduce Dynamic Context-Aware Tries (DCA-Trie), a dynamic constrained decoding framework that prunes the valid path set during generation using a TypeOracle, a lightweight symbolic module that checks two ontology gates per candidate triple. On WebQSP, DCA-Trie removes 85.5% of semantically irrelevant paths while maintaining a false negative rate below 5%. We further introduce the Semantic Irrelevance Ratio (SIR), a metric that separates constraint quality from answer accuracy, enabling independent evaluation of what the oracle filters versus what the LLM actually uses. SIR reveals a non-monotone relationship between constraint tightness and answer correctness: tighter constraints reduce the search space but do not improve Hits@1. We identify four mechanisms that drive this decoupling and show that the result holds across ablation conditions. DCA-Trie and SIR together provide the first framework for independently evaluating constraint quality and answer accuracy in knowledge graph-constrained decoding.</w:t>
      </w:r>
    </w:p>
    <w:p>
      <w:pPr>
        <w:pStyle w:val="FirstParagraph"/>
      </w:pPr>
      <w:r>
        <w:rPr>
          <w:b/>
          <w:bCs/>
        </w:rPr>
        <w:t xml:space="preserve">Keywords:</w:t>
      </w:r>
      <w:r>
        <w:t xml:space="preserve"> </w:t>
      </w:r>
      <w:r>
        <w:t xml:space="preserve">knowledge graph question answering, constrained decoding, large language models, hallucination mitigation, trie-based decoding, semantic filtering, type oracle</w:t>
      </w:r>
    </w:p>
    <w:bookmarkStart w:id="21" w:name="sec:intro"/>
    <w:p>
      <w:pPr>
        <w:pStyle w:val="Heading1"/>
      </w:pPr>
      <w:r>
        <w:t xml:space="preserve">Introduction</w:t>
      </w:r>
    </w:p>
    <w:p>
      <w:pPr>
        <w:pStyle w:val="FirstParagraph"/>
      </w:pPr>
      <w:r>
        <w:t xml:space="preserve">Large language models reason through generation by sampling each token from a distribution conditioned on all previous</w:t>
      </w:r>
      <w:r>
        <w:t xml:space="preserve"> </w:t>
      </w:r>
      <w:r>
        <w:t xml:space="preserve">tokens </w:t>
      </w:r>
      <w:r>
        <w:t xml:space="preserve">. This process produces fluent text, but fluency is not factual accuracy. LLMs hallucinate, generating confident claims that contradict source material or cannot be verified against any authoritative</w:t>
      </w:r>
      <w:r>
        <w:t xml:space="preserve"> </w:t>
      </w:r>
      <w:r>
        <w:t xml:space="preserve">source </w:t>
      </w:r>
      <w:r>
        <w:t xml:space="preserve">. The problem worsens with scale where larger models hallucinate more convincingly, not less </w:t>
      </w:r>
      <w:r>
        <w:t xml:space="preserve">.</w:t>
      </w:r>
    </w:p>
    <w:p>
      <w:pPr>
        <w:pStyle w:val="BodyText"/>
      </w:pPr>
      <w:r>
        <w:t xml:space="preserve">Despite this, many studies utilize knowledge graphs (KGs), which encapsulate extensive factual information in a structured format, to improve the reasoning abilities of LLMs </w:t>
      </w:r>
      <w:r>
        <w:t xml:space="preserve">. Because of the unstructured nature of LLMs, directly applying them to reason on KGs is challenging. Existing KG-enhanced LLM reasoning methods can be roughly categorized into three threads. Retrieval-based methods train specialized subgraph retrievers to extract question-focused subgraphs from the</w:t>
      </w:r>
      <w:r>
        <w:t xml:space="preserve"> </w:t>
      </w:r>
      <w:r>
        <w:t xml:space="preserve">complete KG </w:t>
      </w:r>
      <w:r>
        <w:t xml:space="preserve">. The concentrated subgraph is then fed to the LLM for answer prediction. These methods shift the burden of graph traversal</w:t>
      </w:r>
      <w:r>
        <w:t xml:space="preserve"> </w:t>
      </w:r>
      <w:r>
        <w:t xml:space="preserve">to the retriever while the LLM merely selects from a pre-filtered set of candidates. Training the retriever requires annotated data, and the trained retriever may struggle with out-of-domain scenarios where the KG taxonomy differs from the training distribution </w:t>
      </w:r>
      <w:r>
        <w:t xml:space="preserve">.</w:t>
      </w:r>
    </w:p>
    <w:p>
      <w:pPr>
        <w:pStyle w:val="BodyText"/>
      </w:pPr>
      <w:r>
        <w:t xml:space="preserve">Agent-based methods take the opposite approach where the LLM itself interacts with the KG iteratively, executing operations such as neighbor exploration and path selection </w:t>
      </w:r>
      <w:r>
        <w:t xml:space="preserve">. These methods demand substantial computational resources and place high demands on the LLM’s instruction-following ability, which limits their applicability to small-scale models </w:t>
      </w:r>
      <w:r>
        <w:t xml:space="preserve">.</w:t>
      </w:r>
    </w:p>
    <w:p>
      <w:pPr>
        <w:pStyle w:val="BodyText"/>
      </w:pPr>
      <w:r>
        <w:t xml:space="preserve">Constrained decoding methods occupy a middle ground. Graph Constrained Reasoning </w:t>
      </w:r>
      <w:r>
        <w:t xml:space="preserve">, the leading framework, converts the KG into a trie-based index and constrains the LLM’s output to valid paths, achieving zero hallucination in the reasoning trace. Decoding on Graphs </w:t>
      </w:r>
      <w:r>
        <w:t xml:space="preserve"> </w:t>
      </w:r>
      <w:r>
        <w:t xml:space="preserve">extends this by dynamically expanding the local trie as reasoning proceeds, adapting the constraint set to the partially generated chain. Both methods, however, share a common assumption: every structurally valid path should be admitted. Within</w:t>
      </w:r>
      <w:r>
        <w:t xml:space="preserve"> </w:t>
      </w:r>
      <m:oMath>
        <m:r>
          <m:t>L</m:t>
        </m:r>
      </m:oMath>
      <w:r>
        <w:t xml:space="preserve"> </w:t>
      </w:r>
      <w:r>
        <w:t xml:space="preserve">hops, GCR admits everything. At each step, DoG admits every topologically adjacent path. Neither filters for semantic relevance: whether a path is actually related to the question being asked.</w:t>
      </w:r>
    </w:p>
    <w:p>
      <w:pPr>
        <w:pStyle w:val="BodyText"/>
      </w:pPr>
      <w:r>
        <w:t xml:space="preserve">The constraint is indifferent to what the question asks. In the worst case, a</w:t>
      </w:r>
      <w:r>
        <w:t xml:space="preserve"> </w:t>
      </w:r>
      <w:r>
        <w:t xml:space="preserve">three-hop query with twenty out-degree relations and three question entities admits</w:t>
      </w:r>
      <w:r>
        <w:t xml:space="preserve"> </w:t>
      </w:r>
      <w:r>
        <w:t xml:space="preserve">roughly 24</w:t>
      </w:r>
      <w:r>
        <w:t xml:space="preserve">,</w:t>
      </w:r>
      <w:r>
        <w:t xml:space="preserve">000 structurally valid paths. On WebQSP, where questions average 2.1</w:t>
      </w:r>
      <w:r>
        <w:t xml:space="preserve"> </w:t>
      </w:r>
      <w:r>
        <w:t xml:space="preserve">entities and 2 hops of reasoning depth, GCR still admits roughly 1</w:t>
      </w:r>
      <w:r>
        <w:t xml:space="preserve">,</w:t>
      </w:r>
      <w:r>
        <w:t xml:space="preserve">600 paths per</w:t>
      </w:r>
      <w:r>
        <w:t xml:space="preserve"> </w:t>
      </w:r>
      <w:r>
        <w:t xml:space="preserve">question. Only one leads to the correct answer. The LLM must navigate among the rest</w:t>
      </w:r>
      <w:r>
        <w:t xml:space="preserve"> </w:t>
      </w:r>
      <w:r>
        <w:t xml:space="preserve">using the same internal knowledge that produced hallucination in the first place.</w:t>
      </w:r>
      <w:r>
        <w:t xml:space="preserve"> </w:t>
      </w:r>
      <w:r>
        <w:t xml:space="preserve">Tightening the constraint, filtering out irrelevant paths, seems like the obvious fix.</w:t>
      </w:r>
      <w:r>
        <w:t xml:space="preserve"> </w:t>
      </w:r>
      <w:r>
        <w:t xml:space="preserve">We show that it is not.</w:t>
      </w:r>
    </w:p>
    <w:p>
      <w:pPr>
        <w:pStyle w:val="BodyText"/>
      </w:pPr>
      <w:r>
        <w:t xml:space="preserve">We introduce DCA-Trie, a dynamic constrained decoding framework that conditions the</w:t>
      </w:r>
      <w:r>
        <w:t xml:space="preserve"> </w:t>
      </w:r>
      <w:r>
        <w:t xml:space="preserve">valid token set on the knowledge graph, the input question, and the partially generated</w:t>
      </w:r>
      <w:r>
        <w:t xml:space="preserve"> </w:t>
      </w:r>
      <w:r>
        <w:t xml:space="preserve">reasoning chain:</w:t>
      </w:r>
    </w:p>
    <w:p>
      <w:pPr>
        <w:pStyle w:val="BodyText"/>
      </w:pPr>
      <m:oMathPara>
        <m:oMathParaPr>
          <m:jc m:val="center"/>
        </m:oMathParaPr>
        <m:oMath>
          <m:sSubSup>
            <m:e>
              <m:r>
                <m:t>W</m:t>
              </m:r>
            </m:e>
            <m:sub>
              <m:r>
                <m:rPr>
                  <m:nor/>
                  <m:sty m:val="p"/>
                </m:rPr>
                <m:t>val</m:t>
              </m:r>
            </m:sub>
            <m:sup>
              <m:r>
                <m:rPr>
                  <m:nor/>
                  <m:sty m:val="p"/>
                </m:rPr>
                <m:t>DCA</m:t>
              </m:r>
            </m:sup>
          </m:sSubSup>
          <m:d>
            <m:dPr>
              <m:begChr m:val="("/>
              <m:sepChr m:val=""/>
              <m:endChr m:val=")"/>
              <m:grow/>
            </m:dPr>
            <m:e>
              <m:r>
                <m:t>t</m:t>
              </m:r>
            </m:e>
          </m:d>
          <m:r>
            <m:rPr>
              <m:sty m:val="p"/>
            </m:rPr>
            <m:t>=</m:t>
          </m:r>
          <m:r>
            <m:t>f</m:t>
          </m:r>
          <m:d>
            <m:dPr>
              <m:begChr m:val="("/>
              <m:sepChr m:val=""/>
              <m:endChr m:val=")"/>
              <m:grow/>
            </m:dPr>
            <m:e>
              <m:r>
                <m:t>G</m:t>
              </m:r>
              <m:r>
                <m:rPr>
                  <m:sty m:val="p"/>
                </m:rPr>
                <m:t>,</m:t>
              </m:r>
              <m:sSub>
                <m:e>
                  <m:r>
                    <m:t>E</m:t>
                  </m:r>
                </m:e>
                <m:sub>
                  <m:r>
                    <m:t>q</m:t>
                  </m:r>
                </m:sub>
              </m:sSub>
              <m:r>
                <m:rPr>
                  <m:sty m:val="p"/>
                </m:rPr>
                <m:t>,</m:t>
              </m:r>
              <m:r>
                <m:t>q</m:t>
              </m:r>
              <m:r>
                <m:rPr>
                  <m:sty m:val="p"/>
                </m:rPr>
                <m:t>,</m:t>
              </m:r>
              <m:sSup>
                <m:e>
                  <m:r>
                    <m:t>y</m:t>
                  </m:r>
                </m:e>
                <m:sup>
                  <m:r>
                    <m:rPr>
                      <m:sty m:val="p"/>
                    </m:rPr>
                    <m:t>&lt;</m:t>
                  </m:r>
                  <m:r>
                    <m:t>t</m:t>
                  </m:r>
                </m:sup>
              </m:sSup>
            </m:e>
          </m:d>
        </m:oMath>
      </m:oMathPara>
    </w:p>
    <w:p>
      <w:pPr>
        <w:pStyle w:val="FirstParagraph"/>
      </w:pPr>
      <w:r>
        <w:t xml:space="preserve">The constraint set adapts at each decoding step. A lightweight symbolic module, the</w:t>
      </w:r>
      <w:r>
        <w:t xml:space="preserve"> </w:t>
      </w:r>
      <w:r>
        <w:t xml:space="preserve">TypeOracle, checks two ontology gates per candidate triple. The range gate verifies</w:t>
      </w:r>
      <w:r>
        <w:t xml:space="preserve"> </w:t>
      </w:r>
      <w:r>
        <w:t xml:space="preserve">that the tail entity’s type matches the relation’s range at every hop. The type gate</w:t>
      </w:r>
      <w:r>
        <w:t xml:space="preserve"> </w:t>
      </w:r>
      <w:r>
        <w:t xml:space="preserve">verifies that the terminal entity’s type matches the inferred answer type at the final</w:t>
      </w:r>
      <w:r>
        <w:t xml:space="preserve"> </w:t>
      </w:r>
      <w:r>
        <w:t xml:space="preserve">hop. Paths failing either gate are pruned before the LLM sees them.</w:t>
      </w:r>
    </w:p>
    <w:p>
      <w:pPr>
        <w:pStyle w:val="BodyText"/>
      </w:pPr>
      <w:r>
        <w:t xml:space="preserve">Unlike embedding-based relevance scorers, the TypeOracle requires no neural encoder, no</w:t>
      </w:r>
      <w:r>
        <w:t xml:space="preserve"> </w:t>
      </w:r>
      <w:r>
        <w:t xml:space="preserve">learned threshold, no per-dataset calibration, and no GPU memory for encoder inference.</w:t>
      </w:r>
      <w:r>
        <w:t xml:space="preserve"> </w:t>
      </w:r>
      <w:r>
        <w:t xml:space="preserve">Gate evaluation is</w:t>
      </w:r>
      <w:r>
        <w:t xml:space="preserve"> </w:t>
      </w:r>
      <m:oMath>
        <m:r>
          <m:t>O</m:t>
        </m:r>
        <m:d>
          <m:dPr>
            <m:begChr m:val="("/>
            <m:sepChr m:val=""/>
            <m:endChr m:val=")"/>
            <m:grow/>
          </m:dPr>
          <m:e>
            <m:r>
              <m:t>1</m:t>
            </m:r>
          </m:e>
        </m:d>
      </m:oMath>
      <w:r>
        <w:t xml:space="preserve"> </w:t>
      </w:r>
      <w:r>
        <w:t xml:space="preserve">per candidate triple, adding negligible overhead to the</w:t>
      </w:r>
      <w:r>
        <w:t xml:space="preserve"> </w:t>
      </w:r>
      <w:r>
        <w:t xml:space="preserve">decoding process.</w:t>
      </w:r>
    </w:p>
    <w:p>
      <w:pPr>
        <w:pStyle w:val="BodyText"/>
      </w:pPr>
      <w:r>
        <w:t xml:space="preserve">We introduce the Semantic Irrelevance Ratio (SIR), a metric that measures the fraction</w:t>
      </w:r>
      <w:r>
        <w:t xml:space="preserve"> </w:t>
      </w:r>
      <w:r>
        <w:t xml:space="preserve">of structurally valid paths that are semantically irrelevant to the question. SIR</w:t>
      </w:r>
      <w:r>
        <w:t xml:space="preserve"> </w:t>
      </w:r>
      <w:r>
        <w:t xml:space="preserve">separates constraint quality from answer accuracy: a system can have excellent SIR</w:t>
      </w:r>
      <w:r>
        <w:t xml:space="preserve"> </w:t>
      </w:r>
      <w:r>
        <w:t xml:space="preserve">(tight constraints) and poor Hits@1 (wrong answer), or poor SIR (loose constraints) and</w:t>
      </w:r>
      <w:r>
        <w:t xml:space="preserve"> </w:t>
      </w:r>
      <w:r>
        <w:t xml:space="preserve">excellent Hits@1 (correct answer). Without SIR, these two dimensions are entangled. A</w:t>
      </w:r>
      <w:r>
        <w:t xml:space="preserve"> </w:t>
      </w:r>
      <w:r>
        <w:t xml:space="preserve">system with 91.6% Hits@1 and SIR = 1.0 (all paths admitted) looks identical to one</w:t>
      </w:r>
      <w:r>
        <w:t xml:space="preserve"> </w:t>
      </w:r>
      <w:r>
        <w:t xml:space="preserve">with the same accuracy and SIR = 0.1 (90% filtered) if only Hits@1 is reported. SIR</w:t>
      </w:r>
      <w:r>
        <w:t xml:space="preserve"> </w:t>
      </w:r>
      <w:r>
        <w:t xml:space="preserve">reveals which scenario holds.</w:t>
      </w:r>
    </w:p>
    <w:p>
      <w:pPr>
        <w:pStyle w:val="BodyText"/>
      </w:pPr>
      <w:r>
        <w:t xml:space="preserve">On WebQSP, DCA-Trie reduces SIR from 1.0 to 0.145, an 85.5% removal of</w:t>
      </w:r>
      <w:r>
        <w:t xml:space="preserve"> </w:t>
      </w:r>
      <w:r>
        <w:t xml:space="preserve">irrelevant paths, while maintaining a false negative rate below 5%. The TypeOracle</w:t>
      </w:r>
      <w:r>
        <w:t xml:space="preserve"> </w:t>
      </w:r>
      <w:r>
        <w:t xml:space="preserve">that drives this filtering is purely symbolic: two ontology gates,</w:t>
      </w:r>
      <w:r>
        <w:t xml:space="preserve"> </w:t>
      </w:r>
      <m:oMath>
        <m:r>
          <m:t>O</m:t>
        </m:r>
        <m:d>
          <m:dPr>
            <m:begChr m:val="("/>
            <m:sepChr m:val=""/>
            <m:endChr m:val=")"/>
            <m:grow/>
          </m:dPr>
          <m:e>
            <m:r>
              <m:t>1</m:t>
            </m:r>
          </m:e>
        </m:d>
      </m:oMath>
      <w:r>
        <w:t xml:space="preserve"> </w:t>
      </w:r>
      <w:r>
        <w:t xml:space="preserve">per candidate</w:t>
      </w:r>
      <w:r>
        <w:t xml:space="preserve"> </w:t>
      </w:r>
      <w:r>
        <w:t xml:space="preserve">triple, no neural encoder, no learned threshold.</w:t>
      </w:r>
    </w:p>
    <w:p>
      <w:pPr>
        <w:pStyle w:val="BodyText"/>
      </w:pPr>
      <w:r>
        <w:t xml:space="preserve">SIR also reveals that constraint tightness and answer accuracy are independently</w:t>
      </w:r>
      <w:r>
        <w:t xml:space="preserve"> </w:t>
      </w:r>
      <w:r>
        <w:t xml:space="preserve">controlled variables. Tighter constraints reduce the search space but do not improve</w:t>
      </w:r>
      <w:r>
        <w:t xml:space="preserve"> </w:t>
      </w:r>
      <w:r>
        <w:t xml:space="preserve">Hits@1. Four mechanisms govern this relationship: gold-path exclusion (the TypeOracle</w:t>
      </w:r>
      <w:r>
        <w:t xml:space="preserve"> </w:t>
      </w:r>
      <w:r>
        <w:t xml:space="preserve">occasionally removes the correct path), beam competition (fewer paths reduce diversity</w:t>
      </w:r>
      <w:r>
        <w:t xml:space="preserve"> </w:t>
      </w:r>
      <w:r>
        <w:t xml:space="preserve">in beam search), type-inference noise (the regex-based question classifier has</w:t>
      </w:r>
      <w:r>
        <w:t xml:space="preserve"> </w:t>
      </w:r>
      <w:r>
        <w:t xml:space="preserve">imperfect accuracy), and the precision-recall trade-off (tighter constraints improve</w:t>
      </w:r>
      <w:r>
        <w:t xml:space="preserve"> </w:t>
      </w:r>
      <w:r>
        <w:t xml:space="preserve">precision but reduce recall). The result holds across ablation conditions.</w:t>
      </w:r>
    </w:p>
    <w:p>
      <w:pPr>
        <w:pStyle w:val="BodyText"/>
      </w:pPr>
      <w:bookmarkStart w:id="20" w:name="sec:intro:results"/>
      <w:bookmarkEnd w:id="20"/>
      <w:r>
        <w:t xml:space="preserve"> </w:t>
      </w:r>
      <w:r>
        <w:t xml:space="preserve">The contributions of this work are:</w:t>
      </w:r>
    </w:p>
    <w:p>
      <w:pPr>
        <w:numPr>
          <w:ilvl w:val="0"/>
          <w:numId w:val="1001"/>
        </w:numPr>
      </w:pPr>
      <w:r>
        <w:t xml:space="preserve">We introduce the Semantic Irrelevance Ratio (SIR), a metric that separates</w:t>
      </w:r>
      <w:r>
        <w:t xml:space="preserve"> </w:t>
      </w:r>
      <w:r>
        <w:t xml:space="preserve">constraint quality from answer accuracy, enabling independent evaluation of what</w:t>
      </w:r>
      <w:r>
        <w:t xml:space="preserve"> </w:t>
      </w:r>
      <w:r>
        <w:t xml:space="preserve">constrained decoding filters versus what the LLM actually uses.</w:t>
      </w:r>
    </w:p>
    <w:p>
      <w:pPr>
        <w:numPr>
          <w:ilvl w:val="0"/>
          <w:numId w:val="1001"/>
        </w:numPr>
      </w:pPr>
      <w:r>
        <w:t xml:space="preserve">We propose DCA-Trie, a dynamic constrained decoding framework that conditions</w:t>
      </w:r>
      <w:r>
        <w:t xml:space="preserve"> </w:t>
      </w:r>
      <w:r>
        <w:t xml:space="preserve">the valid token set on the question and partial output via a TypeOracle with two</w:t>
      </w:r>
      <w:r>
        <w:t xml:space="preserve"> </w:t>
      </w:r>
      <w:r>
        <w:t xml:space="preserve">ontology gates, reducing SIR by 85.5% with negligible latency overhead.</w:t>
      </w:r>
    </w:p>
    <w:p>
      <w:pPr>
        <w:numPr>
          <w:ilvl w:val="0"/>
          <w:numId w:val="1001"/>
        </w:numPr>
      </w:pPr>
      <w:r>
        <w:t xml:space="preserve">We establish that constraint tightness and answer accuracy are independently</w:t>
      </w:r>
      <w:r>
        <w:t xml:space="preserve"> </w:t>
      </w:r>
      <w:r>
        <w:t xml:space="preserve">controlled variables, and characterise the four mechanisms (gold-path exclusion,</w:t>
      </w:r>
      <w:r>
        <w:t xml:space="preserve"> </w:t>
      </w:r>
      <w:r>
        <w:t xml:space="preserve">beam competition, type-inference noise, and the precision-recall trade-off) that</w:t>
      </w:r>
      <w:r>
        <w:t xml:space="preserve"> </w:t>
      </w:r>
      <w:r>
        <w:t xml:space="preserve">govern their relationship.</w:t>
      </w:r>
    </w:p>
    <w:p>
      <w:pPr>
        <w:pStyle w:val="FirstParagraph"/>
      </w:pPr>
      <w:r>
        <w:t xml:space="preserve">The remainder of this paper is organized as follows. Section </w:t>
      </w:r>
      <w:hyperlink w:anchor="sec:related">
        <w:r>
          <w:rPr>
            <w:rStyle w:val="Hyperlink"/>
          </w:rPr>
          <w:t xml:space="preserve">2</w:t>
        </w:r>
      </w:hyperlink>
      <w:r>
        <w:t xml:space="preserve"> </w:t>
      </w:r>
      <w:r>
        <w:t xml:space="preserve">reviews</w:t>
      </w:r>
      <w:r>
        <w:t xml:space="preserve"> </w:t>
      </w:r>
      <w:r>
        <w:t xml:space="preserve">related work on hallucination mitigation, knowledge graph reasoning, and constrained</w:t>
      </w:r>
      <w:r>
        <w:t xml:space="preserve"> </w:t>
      </w:r>
      <w:r>
        <w:t xml:space="preserve">decoding. Section </w:t>
      </w:r>
      <w:hyperlink w:anchor="sec:method">
        <w:r>
          <w:rPr>
            <w:rStyle w:val="Hyperlink"/>
          </w:rPr>
          <w:t xml:space="preserve">[sec:method]</w:t>
        </w:r>
      </w:hyperlink>
      <w:r>
        <w:t xml:space="preserve"> </w:t>
      </w:r>
      <w:r>
        <w:t xml:space="preserve">presents the DCA-Trie framework, including the</w:t>
      </w:r>
      <w:r>
        <w:t xml:space="preserve"> </w:t>
      </w:r>
      <w:r>
        <w:t xml:space="preserve">TypeOracle, the two-gate mechanism, and the SIR metric.</w:t>
      </w:r>
      <w:r>
        <w:t xml:space="preserve"> </w:t>
      </w:r>
      <w:r>
        <w:t xml:space="preserve">Section </w:t>
      </w:r>
      <w:hyperlink w:anchor="sec:theoretical">
        <w:r>
          <w:rPr>
            <w:rStyle w:val="Hyperlink"/>
          </w:rPr>
          <w:t xml:space="preserve">[sec:theoretical]</w:t>
        </w:r>
      </w:hyperlink>
      <w:r>
        <w:t xml:space="preserve"> </w:t>
      </w:r>
      <w:r>
        <w:t xml:space="preserve">provides theoretical analysis of correctness and</w:t>
      </w:r>
      <w:r>
        <w:t xml:space="preserve"> </w:t>
      </w:r>
      <w:r>
        <w:t xml:space="preserve">search-space reduction. Section </w:t>
      </w:r>
      <w:hyperlink w:anchor="sec:exp_design">
        <w:r>
          <w:rPr>
            <w:rStyle w:val="Hyperlink"/>
          </w:rPr>
          <w:t xml:space="preserve">[sec:exp_design]</w:t>
        </w:r>
      </w:hyperlink>
      <w:r>
        <w:t xml:space="preserve"> </w:t>
      </w:r>
      <w:r>
        <w:t xml:space="preserve">describes the experimental</w:t>
      </w:r>
      <w:r>
        <w:t xml:space="preserve"> </w:t>
      </w:r>
      <w:r>
        <w:t xml:space="preserve">design, and Section </w:t>
      </w:r>
      <w:hyperlink w:anchor="sec:results">
        <w:r>
          <w:rPr>
            <w:rStyle w:val="Hyperlink"/>
          </w:rPr>
          <w:t xml:space="preserve">[sec:results]</w:t>
        </w:r>
      </w:hyperlink>
      <w:r>
        <w:t xml:space="preserve"> </w:t>
      </w:r>
      <w:r>
        <w:t xml:space="preserve">reports results. Section </w:t>
      </w:r>
      <w:hyperlink w:anchor="sec:analysis">
        <w:r>
          <w:rPr>
            <w:rStyle w:val="Hyperlink"/>
          </w:rPr>
          <w:t xml:space="preserve">[sec:analysis]</w:t>
        </w:r>
      </w:hyperlink>
      <w:r>
        <w:t xml:space="preserve"> </w:t>
      </w:r>
      <w:r>
        <w:t xml:space="preserve">presents extended analysis including ablation and sensitivity studies.</w:t>
      </w:r>
      <w:r>
        <w:t xml:space="preserve"> </w:t>
      </w:r>
      <w:r>
        <w:t xml:space="preserve">Section </w:t>
      </w:r>
      <w:hyperlink w:anchor="sec:discussion">
        <w:r>
          <w:rPr>
            <w:rStyle w:val="Hyperlink"/>
          </w:rPr>
          <w:t xml:space="preserve">[sec:discussion]</w:t>
        </w:r>
      </w:hyperlink>
      <w:r>
        <w:t xml:space="preserve"> </w:t>
      </w:r>
      <w:r>
        <w:t xml:space="preserve">discusses implications and limitations, and</w:t>
      </w:r>
      <w:r>
        <w:t xml:space="preserve"> </w:t>
      </w:r>
      <w:r>
        <w:t xml:space="preserve">Section </w:t>
      </w:r>
      <w:hyperlink w:anchor="sec:conclusion">
        <w:r>
          <w:rPr>
            <w:rStyle w:val="Hyperlink"/>
          </w:rPr>
          <w:t xml:space="preserve">[sec:conclusion]</w:t>
        </w:r>
      </w:hyperlink>
      <w:r>
        <w:t xml:space="preserve"> </w:t>
      </w:r>
      <w:r>
        <w:t xml:space="preserve">concludes.</w:t>
      </w:r>
    </w:p>
    <w:bookmarkEnd w:id="21"/>
    <w:bookmarkStart w:id="27" w:name="sec:related"/>
    <w:p>
      <w:pPr>
        <w:pStyle w:val="Heading1"/>
      </w:pPr>
      <w:r>
        <w:t xml:space="preserve">Related Work</w:t>
      </w:r>
    </w:p>
    <w:p>
      <w:pPr>
        <w:pStyle w:val="FirstParagraph"/>
      </w:pPr>
      <w:r>
        <w:t xml:space="preserve">This section organizes the literature around four competing approaches to the same</w:t>
      </w:r>
      <w:r>
        <w:t xml:space="preserve"> </w:t>
      </w:r>
      <w:r>
        <w:t xml:space="preserve">problem: generating text that is both fluent and factually grounded. Each subsection</w:t>
      </w:r>
      <w:r>
        <w:t xml:space="preserve"> </w:t>
      </w:r>
      <w:r>
        <w:t xml:space="preserve">identifies what the approach achieves and where it stops, building toward the specific</w:t>
      </w:r>
      <w:r>
        <w:t xml:space="preserve"> </w:t>
      </w:r>
      <w:r>
        <w:t xml:space="preserve">gap that DCA-Trie addresses.</w:t>
      </w:r>
    </w:p>
    <w:bookmarkStart w:id="22" w:name="sec:related:hallucination"/>
    <w:p>
      <w:pPr>
        <w:pStyle w:val="Heading2"/>
      </w:pPr>
      <w:r>
        <w:t xml:space="preserve">Hallucination Mitigation</w:t>
      </w:r>
    </w:p>
    <w:p>
      <w:pPr>
        <w:pStyle w:val="FirstParagraph"/>
      </w:pPr>
      <w:r>
        <w:t xml:space="preserve">The most widely deployed defense against hallucination is retrieval-augmented generation</w:t>
      </w:r>
      <w:r>
        <w:t xml:space="preserve"> </w:t>
      </w:r>
      <w:r>
        <w:t xml:space="preserve">(RAG) </w:t>
      </w:r>
      <w:r>
        <w:t xml:space="preserve">. A dense retriever selects passages by embedding similarity,</w:t>
      </w:r>
      <w:r>
        <w:t xml:space="preserve"> </w:t>
      </w:r>
      <w:r>
        <w:t xml:space="preserve">and the LLM generates from the retrieved context. Extensions such as</w:t>
      </w:r>
      <w:r>
        <w:t xml:space="preserve"> </w:t>
      </w:r>
      <w:r>
        <w:t xml:space="preserve">FLARE </w:t>
      </w:r>
      <w:r>
        <w:t xml:space="preserve"> </w:t>
      </w:r>
      <w:r>
        <w:t xml:space="preserve">trigger retrieval when next-token confidence drops, and</w:t>
      </w:r>
      <w:r>
        <w:t xml:space="preserve"> </w:t>
      </w:r>
      <w:r>
        <w:t xml:space="preserve">IRCoT </w:t>
      </w:r>
      <w:r>
        <w:t xml:space="preserve"> </w:t>
      </w:r>
      <w:r>
        <w:t xml:space="preserve">interleaves retrieval with chain-of-thought steps to</w:t>
      </w:r>
      <w:r>
        <w:t xml:space="preserve"> </w:t>
      </w:r>
      <w:r>
        <w:t xml:space="preserve">improve multi-hop accuracy. Self-RAG </w:t>
      </w:r>
      <w:r>
        <w:t xml:space="preserve"> </w:t>
      </w:r>
      <w:r>
        <w:t xml:space="preserve">adds reflection tokens</w:t>
      </w:r>
      <w:r>
        <w:t xml:space="preserve"> </w:t>
      </w:r>
      <w:r>
        <w:t xml:space="preserve">that control when to retrieve and whether retrieved passages support the generated</w:t>
      </w:r>
      <w:r>
        <w:t xml:space="preserve"> </w:t>
      </w:r>
      <w:r>
        <w:t xml:space="preserve">claims.</w:t>
      </w:r>
    </w:p>
    <w:p>
      <w:pPr>
        <w:pStyle w:val="BodyText"/>
      </w:pPr>
      <w:r>
        <w:t xml:space="preserve">These methods share a structural limitation. The retriever determines what the LLM</w:t>
      </w:r>
      <w:r>
        <w:t xml:space="preserve"> </w:t>
      </w:r>
      <w:r>
        <w:rPr>
          <w:i/>
          <w:iCs/>
        </w:rPr>
        <w:t xml:space="preserve">sees</w:t>
      </w:r>
      <w:r>
        <w:t xml:space="preserve">; it does not determine what the LLM is</w:t>
      </w:r>
      <w:r>
        <w:t xml:space="preserve"> </w:t>
      </w:r>
      <w:r>
        <w:rPr>
          <w:i/>
          <w:iCs/>
        </w:rPr>
        <w:t xml:space="preserve">permitted to generate</w:t>
      </w:r>
      <w:r>
        <w:t xml:space="preserve">.</w:t>
      </w:r>
      <w:r>
        <w:t xml:space="preserve"> </w:t>
      </w:r>
      <w:r>
        <w:t xml:space="preserve">Because the generation mechanism remains unchanged, any token in the vocabulary retains</w:t>
      </w:r>
      <w:r>
        <w:t xml:space="preserve"> </w:t>
      </w:r>
      <w:r>
        <w:t xml:space="preserve">a positive probability at every step, including tokens that correspond to no verified</w:t>
      </w:r>
      <w:r>
        <w:t xml:space="preserve"> </w:t>
      </w:r>
      <w:r>
        <w:t xml:space="preserve">fact. Structural faithfulness with probability one cannot be achieved under any</w:t>
      </w:r>
      <w:r>
        <w:t xml:space="preserve"> </w:t>
      </w:r>
      <w:r>
        <w:t xml:space="preserve">architecture that modifies only the input context without modifying the token selection</w:t>
      </w:r>
      <w:r>
        <w:t xml:space="preserve"> </w:t>
      </w:r>
      <w:r>
        <w:t xml:space="preserve">mechanism </w:t>
      </w:r>
      <w:r>
        <w:t xml:space="preserve">.</w:t>
      </w:r>
    </w:p>
    <w:p>
      <w:pPr>
        <w:pStyle w:val="BodyText"/>
      </w:pPr>
      <w:r>
        <w:t xml:space="preserve">Chain-of-thought (CoT) prompting </w:t>
      </w:r>
      <w:r>
        <w:t xml:space="preserve"> </w:t>
      </w:r>
      <w:r>
        <w:t xml:space="preserve">takes a different approach:</w:t>
      </w:r>
      <w:r>
        <w:t xml:space="preserve"> </w:t>
      </w:r>
      <w:r>
        <w:t xml:space="preserve">rather than retrieving facts, it elicits intermediate reasoning steps that decompose</w:t>
      </w:r>
      <w:r>
        <w:t xml:space="preserve"> </w:t>
      </w:r>
      <w:r>
        <w:t xml:space="preserve">complex questions into simpler sub-problems. Self-consistency </w:t>
      </w:r>
      <w:r>
        <w:t xml:space="preserve"> </w:t>
      </w:r>
      <w:r>
        <w:t xml:space="preserve">samples multiple independent CoT chains and selects the final answer by majority vote,</w:t>
      </w:r>
      <w:r>
        <w:t xml:space="preserve"> </w:t>
      </w:r>
      <w:r>
        <w:t xml:space="preserve">reducing sensitivity to individual hallucinated chains. Tree-of-Thought </w:t>
      </w:r>
      <w:r>
        <w:t xml:space="preserve"> </w:t>
      </w:r>
      <w:r>
        <w:t xml:space="preserve">treats generation as search through a tree of partial reasoning sequences, using the LLM</w:t>
      </w:r>
      <w:r>
        <w:t xml:space="preserve"> </w:t>
      </w:r>
      <w:r>
        <w:t xml:space="preserve">as both generator and evaluator for pruning.</w:t>
      </w:r>
    </w:p>
    <w:p>
      <w:pPr>
        <w:pStyle w:val="BodyText"/>
      </w:pPr>
      <w:r>
        <w:t xml:space="preserve">All prompting-based methods modify the</w:t>
      </w:r>
      <w:r>
        <w:t xml:space="preserve"> </w:t>
      </w:r>
      <w:r>
        <w:rPr>
          <w:i/>
          <w:iCs/>
        </w:rPr>
        <w:t xml:space="preserve">input</w:t>
      </w:r>
      <w:r>
        <w:t xml:space="preserve"> </w:t>
      </w:r>
      <w:r>
        <w:t xml:space="preserve">to the LLM without modifying the</w:t>
      </w:r>
      <w:r>
        <w:t xml:space="preserve"> </w:t>
      </w:r>
      <w:r>
        <w:rPr>
          <w:i/>
          <w:iCs/>
        </w:rPr>
        <w:t xml:space="preserve">generation mechanism</w:t>
      </w:r>
      <w:r>
        <w:t xml:space="preserve">. A CoT chain can be entirely fluent and internally coherent</w:t>
      </w:r>
      <w:r>
        <w:t xml:space="preserve"> </w:t>
      </w:r>
      <w:r>
        <w:t xml:space="preserve">while containing fabricated intermediate steps. Self-consistency reduces this risk through</w:t>
      </w:r>
      <w:r>
        <w:t xml:space="preserve"> </w:t>
      </w:r>
      <w:r>
        <w:t xml:space="preserve">redundancy, but a majority of independently hallucinated chains can still produce an</w:t>
      </w:r>
      <w:r>
        <w:t xml:space="preserve"> </w:t>
      </w:r>
      <w:r>
        <w:t xml:space="preserve">incorrect answer. Tree-of-Thought relies on the model’s own parameters for pruning</w:t>
      </w:r>
      <w:r>
        <w:t xml:space="preserve"> </w:t>
      </w:r>
      <w:r>
        <w:t xml:space="preserve">decisions, without external verification. True structural faithfulness requires that</w:t>
      </w:r>
      <w:r>
        <w:t xml:space="preserve"> </w:t>
      </w:r>
      <w:r>
        <w:t xml:space="preserve">invalid tokens receive exactly zero probability, achievable only by altering the decoding</w:t>
      </w:r>
      <w:r>
        <w:t xml:space="preserve"> </w:t>
      </w:r>
      <w:r>
        <w:t xml:space="preserve">algorithm itself </w:t>
      </w:r>
      <w:r>
        <w:t xml:space="preserve">.</w:t>
      </w:r>
    </w:p>
    <w:bookmarkEnd w:id="22"/>
    <w:bookmarkStart w:id="23" w:name="sec:related:kg"/>
    <w:p>
      <w:pPr>
        <w:pStyle w:val="Heading2"/>
      </w:pPr>
      <w:r>
        <w:t xml:space="preserve">Knowledge Graph Reasoning</w:t>
      </w:r>
    </w:p>
    <w:p>
      <w:pPr>
        <w:pStyle w:val="FirstParagraph"/>
      </w:pPr>
      <w:r>
        <w:t xml:space="preserve">Knowledge graphs encode verified facts as directed, labelled triplets</w:t>
      </w:r>
      <w:r>
        <w:t xml:space="preserve"> </w:t>
      </w:r>
      <m:oMath>
        <m:d>
          <m:dPr>
            <m:begChr m:val="("/>
            <m:sepChr m:val=""/>
            <m:endChr m:val=")"/>
            <m:grow/>
          </m:dPr>
          <m:e>
            <m:r>
              <m:t>e</m:t>
            </m:r>
            <m:r>
              <m:rPr>
                <m:sty m:val="p"/>
              </m:rPr>
              <m:t>,</m:t>
            </m:r>
            <m:r>
              <m:t>r</m:t>
            </m:r>
            <m:r>
              <m:rPr>
                <m:sty m:val="p"/>
              </m:rPr>
              <m:t>,</m:t>
            </m:r>
            <m:r>
              <m:t>e</m:t>
            </m:r>
            <m:r>
              <m:rPr>
                <m:sty m:val="p"/>
              </m:rPr>
              <m:t>′</m:t>
            </m:r>
          </m:e>
        </m:d>
      </m:oMath>
      <w:r>
        <w:t xml:space="preserve"> </w:t>
      </w:r>
      <w:r>
        <w:t xml:space="preserve">. KGQA requires identifying the answer</w:t>
      </w:r>
      <w:r>
        <w:t xml:space="preserve"> </w:t>
      </w:r>
      <w:r>
        <w:t xml:space="preserve">entity by traversing chains of these triplets. Benchmarks such as</w:t>
      </w:r>
      <w:r>
        <w:t xml:space="preserve"> </w:t>
      </w:r>
      <w:r>
        <w:t xml:space="preserve">WebQSP </w:t>
      </w:r>
      <w:r>
        <w:t xml:space="preserve"> </w:t>
      </w:r>
      <w:r>
        <w:t xml:space="preserve">and Complex WebQuestions </w:t>
      </w:r>
      <w:r>
        <w:t xml:space="preserve"> </w:t>
      </w:r>
      <w:r>
        <w:t xml:space="preserve">evaluate</w:t>
      </w:r>
      <w:r>
        <w:t xml:space="preserve"> </w:t>
      </w:r>
      <w:r>
        <w:t xml:space="preserve">multi-hop path traversal over Freebase, demanding adherence to graph topology.</w:t>
      </w:r>
    </w:p>
    <w:p>
      <w:pPr>
        <w:pStyle w:val="BodyText"/>
      </w:pPr>
      <w:r>
        <w:t xml:space="preserve">Early KGQA methods relied on semantic parsing: transforming questions into logical</w:t>
      </w:r>
      <w:r>
        <w:t xml:space="preserve"> </w:t>
      </w:r>
      <w:r>
        <w:t xml:space="preserve">queries (e.g., SPARQL) for execution over the</w:t>
      </w:r>
      <w:r>
        <w:t xml:space="preserve"> </w:t>
      </w:r>
      <w:r>
        <w:t xml:space="preserve">KG </w:t>
      </w:r>
      <w:r>
        <w:t xml:space="preserve">. These approaches guarantee faithfulness because answers are</w:t>
      </w:r>
      <w:r>
        <w:t xml:space="preserve"> </w:t>
      </w:r>
      <w:r>
        <w:t xml:space="preserve">produced by verified graph operations. The requirement of training on ground-truth</w:t>
      </w:r>
      <w:r>
        <w:t xml:space="preserve"> </w:t>
      </w:r>
      <w:r>
        <w:t xml:space="preserve">logical forms, and the non-executability of model-generated queries due to syntax or</w:t>
      </w:r>
      <w:r>
        <w:t xml:space="preserve"> </w:t>
      </w:r>
      <w:r>
        <w:t xml:space="preserve">semantic errors, limits their practical deployment </w:t>
      </w:r>
      <w:r>
        <w:t xml:space="preserve">.</w:t>
      </w:r>
    </w:p>
    <w:p>
      <w:pPr>
        <w:pStyle w:val="BodyText"/>
      </w:pPr>
      <w:r>
        <w:t xml:space="preserve">Retrieval-based methods use LLMs to extract relevant subgraphs or paths from the KG.</w:t>
      </w:r>
      <w:r>
        <w:t xml:space="preserve"> </w:t>
      </w:r>
      <w:r>
        <w:t xml:space="preserve">RoG </w:t>
      </w:r>
      <w:r>
        <w:t xml:space="preserve"> </w:t>
      </w:r>
      <w:r>
        <w:t xml:space="preserve">trains a reasoning path planner that retrieves candidate paths</w:t>
      </w:r>
      <w:r>
        <w:t xml:space="preserve"> </w:t>
      </w:r>
      <w:r>
        <w:t xml:space="preserve">and generates natural language explanations. GNN-RAG </w:t>
      </w:r>
      <w:r>
        <w:t xml:space="preserve"> </w:t>
      </w:r>
      <w:r>
        <w:t xml:space="preserve">combines graph neural networks with language models for retrieval over structured data.</w:t>
      </w:r>
      <w:r>
        <w:t xml:space="preserve"> </w:t>
      </w:r>
      <w:r>
        <w:t xml:space="preserve">These methods improve relevance by filtering the KG, but the retrieved context remains</w:t>
      </w:r>
      <w:r>
        <w:t xml:space="preserve"> </w:t>
      </w:r>
      <w:r>
        <w:t xml:space="preserve">a soft signal: it influences generation without constraining it.</w:t>
      </w:r>
    </w:p>
    <w:p>
      <w:pPr>
        <w:pStyle w:val="BodyText"/>
      </w:pPr>
      <w:r>
        <w:t xml:space="preserve">Agent-based methods treat the LLM as an reasoning agent that iteratively queries the</w:t>
      </w:r>
      <w:r>
        <w:t xml:space="preserve"> </w:t>
      </w:r>
      <w:r>
        <w:t xml:space="preserve">KG. ToG </w:t>
      </w:r>
      <w:r>
        <w:t xml:space="preserve"> </w:t>
      </w:r>
      <w:r>
        <w:t xml:space="preserve">prompts the LLM to explore relevant facts hop-by-hop using</w:t>
      </w:r>
      <w:r>
        <w:t xml:space="preserve"> </w:t>
      </w:r>
      <w:r>
        <w:t xml:space="preserve">beam search on the KG. StructGPT </w:t>
      </w:r>
      <w:r>
        <w:t xml:space="preserve"> </w:t>
      </w:r>
      <w:r>
        <w:t xml:space="preserve">interfaces the LLM with</w:t>
      </w:r>
      <w:r>
        <w:t xml:space="preserve"> </w:t>
      </w:r>
      <w:r>
        <w:t xml:space="preserve">structured data through iterative retrieval. These approaches are flexible but depend</w:t>
      </w:r>
      <w:r>
        <w:t xml:space="preserve"> </w:t>
      </w:r>
      <w:r>
        <w:t xml:space="preserve">on the LLM’s instruction-following ability and are slow due to multiple KG queries per</w:t>
      </w:r>
      <w:r>
        <w:t xml:space="preserve"> </w:t>
      </w:r>
      <w:r>
        <w:t xml:space="preserve">question.</w:t>
      </w:r>
    </w:p>
    <w:p>
      <w:pPr>
        <w:pStyle w:val="BodyText"/>
      </w:pPr>
      <w:r>
        <w:t xml:space="preserve">The shared limitation across retrieval-based and agent-based KG reasoning is that</w:t>
      </w:r>
      <w:r>
        <w:t xml:space="preserve"> </w:t>
      </w:r>
      <w:r>
        <w:t xml:space="preserve">retrieved context is a soft influence. The retriever or agent selects what the LLM</w:t>
      </w:r>
      <w:r>
        <w:t xml:space="preserve"> </w:t>
      </w:r>
      <w:r>
        <w:t xml:space="preserve">observes; the LLM retains the freedom to generate any token. Even with perfect retrieval,</w:t>
      </w:r>
      <w:r>
        <w:t xml:space="preserve"> </w:t>
      </w:r>
      <w:r>
        <w:t xml:space="preserve">hallucination remains structurally possible.</w:t>
      </w:r>
    </w:p>
    <w:bookmarkEnd w:id="23"/>
    <w:bookmarkStart w:id="24" w:name="sec:related:constrained"/>
    <w:p>
      <w:pPr>
        <w:pStyle w:val="Heading2"/>
      </w:pPr>
      <w:r>
        <w:t xml:space="preserve">Constrained Decoding</w:t>
      </w:r>
    </w:p>
    <w:p>
      <w:pPr>
        <w:pStyle w:val="FirstParagraph"/>
      </w:pPr>
      <w:r>
        <w:t xml:space="preserve">Constrained decoding restricts generation to a predefined valid set at each step by</w:t>
      </w:r>
      <w:r>
        <w:t xml:space="preserve"> </w:t>
      </w:r>
      <w:r>
        <w:t xml:space="preserve">directly intervening in the decoding mechanism. Unlike prompting or retrieval, which</w:t>
      </w:r>
      <w:r>
        <w:t xml:space="preserve"> </w:t>
      </w:r>
      <w:r>
        <w:t xml:space="preserve">modify the input to the LLM, constrained decoding alters the token selection process</w:t>
      </w:r>
      <w:r>
        <w:t xml:space="preserve"> </w:t>
      </w:r>
      <w:r>
        <w:t xml:space="preserve">itself. Invalid tokens receive zero probability before sampling, making their generation</w:t>
      </w:r>
      <w:r>
        <w:t xml:space="preserve"> </w:t>
      </w:r>
      <w:r>
        <w:t xml:space="preserve">structurally impossible.</w:t>
      </w:r>
    </w:p>
    <w:p>
      <w:pPr>
        <w:pStyle w:val="BodyText"/>
      </w:pPr>
      <w:r>
        <w:rPr>
          <w:b/>
          <w:bCs/>
        </w:rPr>
        <w:t xml:space="preserve">Format-constrained methods.</w:t>
      </w:r>
      <w:r>
        <w:t xml:space="preserve"> </w:t>
      </w:r>
      <w:r>
        <w:t xml:space="preserve">Grammar-constrained decoding</w:t>
      </w:r>
      <w:r>
        <w:t xml:space="preserve"> </w:t>
      </w:r>
      <w:r>
        <w:t xml:space="preserve">(GCD) </w:t>
      </w:r>
      <w:r>
        <w:t xml:space="preserve"> </w:t>
      </w:r>
      <w:r>
        <w:t xml:space="preserve">constrains generation to strings conforming to</w:t>
      </w:r>
      <w:r>
        <w:t xml:space="preserve"> </w:t>
      </w:r>
      <w:r>
        <w:t xml:space="preserve">a context-free grammar via an Earley parser oracle. Outlines </w:t>
      </w:r>
      <w:r>
        <w:t xml:space="preserve"> </w:t>
      </w:r>
      <w:r>
        <w:t xml:space="preserve">reduces the computational cost with a finite-state machine (FSM) formulation,</w:t>
      </w:r>
      <w:r>
        <w:t xml:space="preserve"> </w:t>
      </w:r>
      <w:r>
        <w:t xml:space="preserve">precomputing an index from automaton states to valid vocabulary subsets for amortised</w:t>
      </w:r>
      <w:r>
        <w:t xml:space="preserve"> </w:t>
      </w:r>
      <m:oMath>
        <m:r>
          <m:t>O</m:t>
        </m:r>
        <m:d>
          <m:dPr>
            <m:begChr m:val="("/>
            <m:sepChr m:val=""/>
            <m:endChr m:val=")"/>
            <m:grow/>
          </m:dPr>
          <m:e>
            <m:r>
              <m:t>1</m:t>
            </m:r>
          </m:e>
        </m:d>
      </m:oMath>
      <w:r>
        <w:t xml:space="preserve"> </w:t>
      </w:r>
      <w:r>
        <w:t xml:space="preserve">lookup. Additional methods include Synchromesh </w:t>
      </w:r>
      <w:r>
        <w:t xml:space="preserve"> </w:t>
      </w:r>
      <w:r>
        <w:t xml:space="preserve">for</w:t>
      </w:r>
      <w:r>
        <w:t xml:space="preserve"> </w:t>
      </w:r>
      <w:r>
        <w:t xml:space="preserve">program synthesis, PICARD </w:t>
      </w:r>
      <w:r>
        <w:t xml:space="preserve"> </w:t>
      </w:r>
      <w:r>
        <w:t xml:space="preserve">for schema-constrained SQL parsing,</w:t>
      </w:r>
      <w:r>
        <w:t xml:space="preserve"> </w:t>
      </w:r>
      <w:r>
        <w:t xml:space="preserve">and NeuroLogic Decoding </w:t>
      </w:r>
      <w:r>
        <w:t xml:space="preserve"> </w:t>
      </w:r>
      <w:r>
        <w:t xml:space="preserve">for propositional logic constraints.</w:t>
      </w:r>
    </w:p>
    <w:p>
      <w:pPr>
        <w:pStyle w:val="BodyText"/>
      </w:pPr>
      <w:r>
        <w:t xml:space="preserve">These methods enforce output</w:t>
      </w:r>
      <w:r>
        <w:t xml:space="preserve"> </w:t>
      </w:r>
      <w:r>
        <w:rPr>
          <w:i/>
          <w:iCs/>
        </w:rPr>
        <w:t xml:space="preserve">format</w:t>
      </w:r>
      <w:r>
        <w:t xml:space="preserve"> </w:t>
      </w:r>
      <w:r>
        <w:t xml:space="preserve">rather than</w:t>
      </w:r>
      <w:r>
        <w:t xml:space="preserve"> </w:t>
      </w:r>
      <w:r>
        <w:rPr>
          <w:i/>
          <w:iCs/>
        </w:rPr>
        <w:t xml:space="preserve">factual content</w:t>
      </w:r>
      <w:r>
        <w:t xml:space="preserve">. A</w:t>
      </w:r>
      <w:r>
        <w:t xml:space="preserve"> </w:t>
      </w:r>
      <w:r>
        <w:t xml:space="preserve">grammatically valid SQL query can reference non-existent tables. A well-formed entity</w:t>
      </w:r>
      <w:r>
        <w:t xml:space="preserve"> </w:t>
      </w:r>
      <w:r>
        <w:t xml:space="preserve">name can be factually incorrect. The extension from format constraints to KG path</w:t>
      </w:r>
      <w:r>
        <w:t xml:space="preserve"> </w:t>
      </w:r>
      <w:r>
        <w:t xml:space="preserve">constraints requires a constraint oracle that encodes the relational structure of the</w:t>
      </w:r>
      <w:r>
        <w:t xml:space="preserve"> </w:t>
      </w:r>
      <w:r>
        <w:t xml:space="preserve">knowledge graph itself.</w:t>
      </w:r>
    </w:p>
    <w:p>
      <w:pPr>
        <w:pStyle w:val="BodyText"/>
      </w:pPr>
      <w:r>
        <w:rPr>
          <w:b/>
          <w:bCs/>
        </w:rPr>
        <w:t xml:space="preserve">KG-constrained methods.</w:t>
      </w:r>
      <w:r>
        <w:t xml:space="preserve"> </w:t>
      </w:r>
      <w:r>
        <w:t xml:space="preserve">Graph-Constrained Reasoning</w:t>
      </w:r>
      <w:r>
        <w:t xml:space="preserve"> </w:t>
      </w:r>
      <w:r>
        <w:t xml:space="preserve">(GCR) </w:t>
      </w:r>
      <w:r>
        <w:t xml:space="preserve"> </w:t>
      </w:r>
      <w:r>
        <w:t xml:space="preserve">builds a KG-Trie: a prefix tree of</w:t>
      </w:r>
      <w:r>
        <w:t xml:space="preserve"> </w:t>
      </w:r>
      <w:r>
        <w:t xml:space="preserve">all KG paths within</w:t>
      </w:r>
      <w:r>
        <w:t xml:space="preserve"> </w:t>
      </w:r>
      <m:oMath>
        <m:r>
          <m:t>L</m:t>
        </m:r>
      </m:oMath>
      <w:r>
        <w:t xml:space="preserve"> </w:t>
      </w:r>
      <w:r>
        <w:t xml:space="preserve">hops of the question entities, created by breadth-first search</w:t>
      </w:r>
      <w:r>
        <w:t xml:space="preserve"> </w:t>
      </w:r>
      <w:r>
        <w:t xml:space="preserve">before generation. The trie is used as the constraint oracle during beam-search</w:t>
      </w:r>
      <w:r>
        <w:t xml:space="preserve"> </w:t>
      </w:r>
      <w:r>
        <w:t xml:space="preserve">decoding. GCR achieves 92.6% Hits@1 on WebQSP with 100% structural faithfulness</w:t>
      </w:r>
      <w:r>
        <w:t xml:space="preserve"> </w:t>
      </w:r>
      <w:r>
        <w:t xml:space="preserve">using a Llama-3.1-8B backbone. The trie is constructed once and never updated: the</w:t>
      </w:r>
      <w:r>
        <w:t xml:space="preserve"> </w:t>
      </w:r>
      <w:r>
        <w:t xml:space="preserve">valid token set is fixed regardless of what has been generated.</w:t>
      </w:r>
    </w:p>
    <w:p>
      <w:pPr>
        <w:pStyle w:val="BodyText"/>
      </w:pPr>
      <w:r>
        <w:t xml:space="preserve">Decoding on Graphs (DoG) </w:t>
      </w:r>
      <w:r>
        <w:t xml:space="preserve"> </w:t>
      </w:r>
      <w:r>
        <w:t xml:space="preserve">addresses GCR’s static</w:t>
      </w:r>
      <w:r>
        <w:t xml:space="preserve"> </w:t>
      </w:r>
      <w:r>
        <w:t xml:space="preserve">oracle through step-wise trie expansion. After locking in an entity, the constraint</w:t>
      </w:r>
      <w:r>
        <w:t xml:space="preserve"> </w:t>
      </w:r>
      <w:r>
        <w:t xml:space="preserve">trie is expanded with all KG neighbors of that entity, making the oracle topologically</w:t>
      </w:r>
      <w:r>
        <w:t xml:space="preserve"> </w:t>
      </w:r>
      <w:r>
        <w:t xml:space="preserve">dynamic. DoG achieves 91.0% Hits@1 on WebQSP with 100% structural faithfulness.</w:t>
      </w:r>
      <w:r>
        <w:t xml:space="preserve"> </w:t>
      </w:r>
      <w:r>
        <w:t xml:space="preserve">However, the expansion rule admits all neighbors regardless of relevance to the question,</w:t>
      </w:r>
      <w:r>
        <w:t xml:space="preserve"> </w:t>
      </w:r>
      <w:r>
        <w:t xml:space="preserve">and step-wise trie reconstruction introduces computational overhead.</w:t>
      </w:r>
    </w:p>
    <w:p>
      <w:pPr>
        <w:pStyle w:val="BodyText"/>
      </w:pPr>
      <w:r>
        <w:t xml:space="preserve">RouterKGQA </w:t>
      </w:r>
      <w:r>
        <w:t xml:space="preserve"> </w:t>
      </w:r>
      <w:r>
        <w:t xml:space="preserve">routes between a specialized KG-reasoning model</w:t>
      </w:r>
      <w:r>
        <w:t xml:space="preserve"> </w:t>
      </w:r>
      <w:r>
        <w:t xml:space="preserve">and a general LLM based on question complexity, using SBERT embeddings for post-hoc</w:t>
      </w:r>
      <w:r>
        <w:t xml:space="preserve"> </w:t>
      </w:r>
      <w:r>
        <w:t xml:space="preserve">answer filtering. RouterKGQA’s semantic scoring operates at the answer selection level</w:t>
      </w:r>
      <w:r>
        <w:t xml:space="preserve"> </w:t>
      </w:r>
      <w:r>
        <w:t xml:space="preserve">rather than at the token constraint level: paths are generated first, then filtered</w:t>
      </w:r>
      <w:r>
        <w:t xml:space="preserve"> </w:t>
      </w:r>
      <w:r>
        <w:t xml:space="preserve">afterward.</w:t>
      </w:r>
    </w:p>
    <w:p>
      <w:pPr>
        <w:pStyle w:val="BodyText"/>
      </w:pPr>
      <w:r>
        <w:rPr>
          <w:b/>
          <w:bCs/>
        </w:rPr>
        <w:t xml:space="preserve">The gap.</w:t>
      </w:r>
      <w:r>
        <w:t xml:space="preserve"> </w:t>
      </w:r>
      <w:r>
        <w:t xml:space="preserve">All three KG-constrained methods determine their constraint sets</w:t>
      </w:r>
      <w:r>
        <w:t xml:space="preserve"> </w:t>
      </w:r>
      <w:r>
        <w:t xml:space="preserve">from graph structure and question entities alone. None conditions the valid token set on</w:t>
      </w:r>
      <w:r>
        <w:t xml:space="preserve"> </w:t>
      </w:r>
      <w:r>
        <w:t xml:space="preserve">question semantics or the partially generated chain. The constraint set is indifferent</w:t>
      </w:r>
      <w:r>
        <w:t xml:space="preserve"> </w:t>
      </w:r>
      <w:r>
        <w:t xml:space="preserve">to whether a path is actually related to the question being asked. On multi-hop questions,</w:t>
      </w:r>
      <w:r>
        <w:t xml:space="preserve"> </w:t>
      </w:r>
      <w:r>
        <w:t xml:space="preserve">this produces valid token sets containing thousands of structurally correct but</w:t>
      </w:r>
      <w:r>
        <w:t xml:space="preserve"> </w:t>
      </w:r>
      <w:r>
        <w:t xml:space="preserve">semantically irrelevant paths, forcing the LLM to navigate among them using its own</w:t>
      </w:r>
      <w:r>
        <w:t xml:space="preserve"> </w:t>
      </w:r>
      <w:r>
        <w:t xml:space="preserve">knowledge and reintroducing the hallucination risk that constrained decoding was designed</w:t>
      </w:r>
      <w:r>
        <w:t xml:space="preserve"> </w:t>
      </w:r>
      <w:r>
        <w:t xml:space="preserve">to eliminate.</w:t>
      </w:r>
    </w:p>
    <w:bookmarkEnd w:id="24"/>
    <w:bookmarkStart w:id="26" w:name="sec:related:gap"/>
    <w:p>
      <w:pPr>
        <w:pStyle w:val="Heading2"/>
      </w:pPr>
      <w:r>
        <w:t xml:space="preserve">Comparison and Research Gap</w:t>
      </w:r>
    </w:p>
    <w:p>
      <w:pPr>
        <w:pStyle w:val="FirstParagraph"/>
      </w:pPr>
      <w:r>
        <w:t xml:space="preserve">Table </w:t>
      </w:r>
      <w:hyperlink w:anchor="tab:related_comparison">
        <w:r>
          <w:rPr>
            <w:rStyle w:val="Hyperlink"/>
          </w:rPr>
          <w:t xml:space="preserve">1</w:t>
        </w:r>
      </w:hyperlink>
      <w:r>
        <w:t xml:space="preserve"> </w:t>
      </w:r>
      <w:r>
        <w:t xml:space="preserve">compares the approaches reviewed above along four</w:t>
      </w:r>
      <w:r>
        <w:t xml:space="preserve"> </w:t>
      </w:r>
      <w:r>
        <w:t xml:space="preserve">dimensions: whether the method enforces structural faithfulness (the generation</w:t>
      </w:r>
      <w:r>
        <w:t xml:space="preserve"> </w:t>
      </w:r>
      <w:r>
        <w:t xml:space="preserve">mechanism, not just the input), whether the constraint set adapts during decoding,</w:t>
      </w:r>
      <w:r>
        <w:t xml:space="preserve"> </w:t>
      </w:r>
      <w:r>
        <w:t xml:space="preserve">whether semantic relevance enters the constraint formation, and the type of oracle used.</w:t>
      </w:r>
    </w:p>
    <w:bookmarkStart w:id="25" w:name="tab:related_comparison"/>
    <w:p>
      <w:pPr>
        <w:pStyle w:val="TableCaption"/>
      </w:pPr>
      <w:r>
        <w:t xml:space="preserve">Comparison of KG-grounded reasoning methods.</w:t>
      </w:r>
      <w:r>
        <w:t xml:space="preserve"> </w:t>
      </w:r>
      <w:r>
        <w:rPr>
          <w:b/>
          <w:bCs/>
        </w:rPr>
        <w:t xml:space="preserve">Dynamic</w:t>
      </w:r>
      <w:r>
        <w:t xml:space="preserve"> </w:t>
      </w:r>
      <w:r>
        <w:t xml:space="preserve">indicates</w:t>
      </w:r>
      <w:r>
        <w:t xml:space="preserve"> </w:t>
      </w:r>
      <w:r>
        <w:t xml:space="preserve">whether the constraint set changes during decoding.</w:t>
      </w:r>
      <w:r>
        <w:t xml:space="preserve"> </w:t>
      </w:r>
      <w:r>
        <w:rPr>
          <w:b/>
          <w:bCs/>
        </w:rPr>
        <w:t xml:space="preserve">Semantic</w:t>
      </w:r>
      <w:r>
        <w:t xml:space="preserve"> </w:t>
      </w:r>
      <w:r>
        <w:t xml:space="preserve">indicates</w:t>
      </w:r>
      <w:r>
        <w:t xml:space="preserve"> </w:t>
      </w:r>
      <w:r>
        <w:t xml:space="preserve">whether question meaning enters the constraint oracle. The oracle type shows what</w:t>
      </w:r>
      <w:r>
        <w:t xml:space="preserve"> </w:t>
      </w:r>
      <w:r>
        <w:t xml:space="preserve">drives constraint formation.</w:t>
      </w:r>
    </w:p>
    <w:tbl>
      <w:tblPr>
        <w:tblStyle w:val="Table"/>
        <w:tblW w:type="auto" w:w="0"/>
        <w:tblLook w:firstRow="1" w:lastRow="0" w:firstColumn="0" w:lastColumn="0" w:noHBand="0" w:noVBand="0" w:val="0020"/>
        <w:tblCaption w:val="Comparison of KG-grounded reasoning methods. Dynamic indicates whether the constraint set changes during decoding. Semantic indicates whether question meaning enters the constraint oracle. The oracle type shows what drives constraint formation."/>
      </w:tblPr>
      <w:tblGrid>
        <w:gridCol w:w="1584"/>
        <w:gridCol w:w="1584"/>
        <w:gridCol w:w="1584"/>
        <w:gridCol w:w="1584"/>
        <w:gridCol w:w="1584"/>
      </w:tblGrid>
      <w:tr>
        <w:trPr>
          <w:tblHeader w:val="on"/>
        </w:trPr>
        <w:tc>
          <w:tcPr/>
          <w:p>
            <w:pPr>
              <w:pStyle w:val="Compact"/>
              <w:jc w:val="left"/>
            </w:pPr>
            <w:r>
              <w:t xml:space="preserve">Method</w:t>
            </w:r>
          </w:p>
        </w:tc>
        <w:tc>
          <w:tcPr/>
          <w:p>
            <w:pPr>
              <w:pStyle w:val="Compact"/>
              <w:jc w:val="center"/>
            </w:pPr>
            <w:r>
              <w:t xml:space="preserve">Structural</w:t>
            </w:r>
          </w:p>
        </w:tc>
        <w:tc>
          <w:tcPr/>
          <w:p>
            <w:pPr>
              <w:pStyle w:val="Compact"/>
              <w:jc w:val="center"/>
            </w:pPr>
            <w:r>
              <w:t xml:space="preserve">Dynamic</w:t>
            </w:r>
          </w:p>
        </w:tc>
        <w:tc>
          <w:tcPr/>
          <w:p>
            <w:pPr>
              <w:pStyle w:val="Compact"/>
              <w:jc w:val="center"/>
            </w:pPr>
            <w:r>
              <w:t xml:space="preserve">Semantic</w:t>
            </w:r>
          </w:p>
        </w:tc>
        <w:tc>
          <w:tcPr/>
          <w:p>
            <w:pPr>
              <w:pStyle w:val="Compact"/>
              <w:jc w:val="left"/>
            </w:pPr>
            <w:r>
              <w:t xml:space="preserve">Oracle Type</w:t>
            </w:r>
          </w:p>
        </w:tc>
      </w:tr>
      <w:tr>
        <w:tc>
          <w:tcPr/>
          <w:p>
            <w:pPr>
              <w:pStyle w:val="Compact"/>
              <w:jc w:val="left"/>
            </w:pPr>
            <w:r>
              <w:t xml:space="preserve">RAG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Soft</w:t>
            </w:r>
          </w:p>
        </w:tc>
        <w:tc>
          <w:tcPr/>
          <w:p>
            <w:pPr>
              <w:pStyle w:val="Compact"/>
              <w:jc w:val="left"/>
            </w:pPr>
            <w:r>
              <w:t xml:space="preserve">Retriever</w:t>
            </w:r>
          </w:p>
        </w:tc>
      </w:tr>
      <w:tr>
        <w:tc>
          <w:tcPr/>
          <w:p>
            <w:pPr>
              <w:pStyle w:val="Compact"/>
              <w:jc w:val="left"/>
            </w:pPr>
            <w:r>
              <w:t xml:space="preserve">CoT</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None</w:t>
            </w:r>
          </w:p>
        </w:tc>
      </w:tr>
      <w:tr>
        <w:tc>
          <w:tcPr/>
          <w:p>
            <w:pPr>
              <w:pStyle w:val="Compact"/>
              <w:jc w:val="left"/>
            </w:pPr>
            <w:r>
              <w:t xml:space="preserve">Self-RAG</w:t>
            </w:r>
          </w:p>
        </w:tc>
        <w:tc>
          <w:tcPr/>
          <w:p>
            <w:pPr>
              <w:pStyle w:val="Compact"/>
              <w:jc w:val="center"/>
            </w:pPr>
            <w:r>
              <w:t xml:space="preserve">No</w:t>
            </w:r>
          </w:p>
        </w:tc>
        <w:tc>
          <w:tcPr/>
          <w:p>
            <w:pPr>
              <w:pStyle w:val="Compact"/>
              <w:jc w:val="center"/>
            </w:pPr>
            <w:r>
              <w:t xml:space="preserve">No</w:t>
            </w:r>
          </w:p>
        </w:tc>
        <w:tc>
          <w:tcPr/>
          <w:p>
            <w:pPr>
              <w:pStyle w:val="Compact"/>
              <w:jc w:val="center"/>
            </w:pPr>
            <w:r>
              <w:t xml:space="preserve">Soft</w:t>
            </w:r>
          </w:p>
        </w:tc>
        <w:tc>
          <w:tcPr/>
          <w:p>
            <w:pPr>
              <w:pStyle w:val="Compact"/>
              <w:jc w:val="left"/>
            </w:pPr>
            <w:r>
              <w:t xml:space="preserve">Reflection</w:t>
            </w:r>
          </w:p>
        </w:tc>
      </w:tr>
      <w:tr>
        <w:tc>
          <w:tcPr/>
          <w:p>
            <w:pPr>
              <w:pStyle w:val="Compact"/>
              <w:jc w:val="left"/>
            </w:pPr>
            <w:r>
              <w:t xml:space="preserve">GCD</w:t>
            </w:r>
          </w:p>
        </w:tc>
        <w:tc>
          <w:tcPr/>
          <w:p>
            <w:pPr>
              <w:pStyle w:val="Compact"/>
              <w:jc w:val="center"/>
            </w:pPr>
            <w:r>
              <w:t xml:space="preserve">Format</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Grammar/FSM</w:t>
            </w:r>
          </w:p>
        </w:tc>
      </w:tr>
      <w:tr>
        <w:tc>
          <w:tcPr/>
          <w:p>
            <w:pPr>
              <w:pStyle w:val="Compact"/>
              <w:jc w:val="left"/>
            </w:pPr>
            <w:r>
              <w:t xml:space="preserve">Outlines</w:t>
            </w:r>
          </w:p>
        </w:tc>
        <w:tc>
          <w:tcPr/>
          <w:p>
            <w:pPr>
              <w:pStyle w:val="Compact"/>
              <w:jc w:val="center"/>
            </w:pPr>
            <w:r>
              <w:t xml:space="preserve">Format</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FSM-index</w:t>
            </w:r>
          </w:p>
        </w:tc>
      </w:tr>
      <w:tr>
        <w:tc>
          <w:tcPr/>
          <w:p>
            <w:pPr>
              <w:pStyle w:val="Compact"/>
              <w:jc w:val="left"/>
            </w:pPr>
            <w:r>
              <w:t xml:space="preserve">GCR</w:t>
            </w:r>
          </w:p>
        </w:tc>
        <w:tc>
          <w:tcPr/>
          <w:p>
            <w:pPr>
              <w:pStyle w:val="Compact"/>
              <w:jc w:val="center"/>
            </w:pPr>
            <w:r>
              <w:t xml:space="preserve">Yes</w:t>
            </w:r>
          </w:p>
        </w:tc>
        <w:tc>
          <w:tcPr/>
          <w:p>
            <w:pPr>
              <w:pStyle w:val="Compact"/>
              <w:jc w:val="center"/>
            </w:pPr>
            <w:r>
              <w:t xml:space="preserve">No</w:t>
            </w:r>
          </w:p>
        </w:tc>
        <w:tc>
          <w:tcPr/>
          <w:p>
            <w:pPr>
              <w:pStyle w:val="Compact"/>
              <w:jc w:val="center"/>
            </w:pPr>
            <w:r>
              <w:t xml:space="preserve">No</w:t>
            </w:r>
          </w:p>
        </w:tc>
        <w:tc>
          <w:tcPr/>
          <w:p>
            <w:pPr>
              <w:pStyle w:val="Compact"/>
              <w:jc w:val="left"/>
            </w:pPr>
            <w:r>
              <w:t xml:space="preserve">Static KG-Trie</w:t>
            </w:r>
          </w:p>
        </w:tc>
      </w:tr>
      <w:tr>
        <w:tc>
          <w:tcPr/>
          <w:p>
            <w:pPr>
              <w:pStyle w:val="Compact"/>
              <w:jc w:val="left"/>
            </w:pPr>
            <w:r>
              <w:t xml:space="preserve">DoG</w:t>
            </w:r>
          </w:p>
        </w:tc>
        <w:tc>
          <w:tcPr/>
          <w:p>
            <w:pPr>
              <w:pStyle w:val="Compact"/>
              <w:jc w:val="center"/>
            </w:pPr>
            <w:r>
              <w:t xml:space="preserve">Yes</w:t>
            </w:r>
          </w:p>
        </w:tc>
        <w:tc>
          <w:tcPr/>
          <w:p>
            <w:pPr>
              <w:pStyle w:val="Compact"/>
              <w:jc w:val="center"/>
            </w:pPr>
            <w:r>
              <w:t xml:space="preserve">Partial</w:t>
            </w:r>
          </w:p>
        </w:tc>
        <w:tc>
          <w:tcPr/>
          <w:p>
            <w:pPr>
              <w:pStyle w:val="Compact"/>
              <w:jc w:val="center"/>
            </w:pPr>
            <w:r>
              <w:t xml:space="preserve">No</w:t>
            </w:r>
          </w:p>
        </w:tc>
        <w:tc>
          <w:tcPr/>
          <w:p>
            <w:pPr>
              <w:pStyle w:val="Compact"/>
              <w:jc w:val="left"/>
            </w:pPr>
            <w:r>
              <w:t xml:space="preserve">Topology</w:t>
            </w:r>
          </w:p>
        </w:tc>
      </w:tr>
      <w:tr>
        <w:tc>
          <w:tcPr/>
          <w:p>
            <w:pPr>
              <w:pStyle w:val="Compact"/>
              <w:jc w:val="left"/>
            </w:pPr>
            <w:r>
              <w:t xml:space="preserve">RouterKGQA</w:t>
            </w:r>
          </w:p>
        </w:tc>
        <w:tc>
          <w:tcPr/>
          <w:p>
            <w:pPr>
              <w:pStyle w:val="Compact"/>
              <w:jc w:val="center"/>
            </w:pPr>
            <w:r>
              <w:t xml:space="preserve">Prob.</w:t>
            </w:r>
          </w:p>
        </w:tc>
        <w:tc>
          <w:tcPr/>
          <w:p>
            <w:pPr>
              <w:pStyle w:val="Compact"/>
              <w:jc w:val="center"/>
            </w:pPr>
            <w:r>
              <w:t xml:space="preserve">No</w:t>
            </w:r>
          </w:p>
        </w:tc>
        <w:tc>
          <w:tcPr/>
          <w:p>
            <w:pPr>
              <w:pStyle w:val="Compact"/>
              <w:jc w:val="center"/>
            </w:pPr>
            <w:r>
              <w:t xml:space="preserve">Yes</w:t>
            </w:r>
          </w:p>
        </w:tc>
        <w:tc>
          <w:tcPr/>
          <w:p>
            <w:pPr>
              <w:pStyle w:val="Compact"/>
              <w:jc w:val="left"/>
            </w:pPr>
            <w:r>
              <w:t xml:space="preserve">SBERT filter</w:t>
            </w:r>
          </w:p>
        </w:tc>
      </w:tr>
      <w:tr>
        <w:tc>
          <w:tcPr/>
          <w:p>
            <w:pPr>
              <w:pStyle w:val="Compact"/>
              <w:jc w:val="left"/>
            </w:pPr>
            <w:r>
              <w:rPr>
                <w:b/>
                <w:bCs/>
              </w:rPr>
              <w:t xml:space="preserve">DCA-Trie</w:t>
            </w:r>
          </w:p>
        </w:tc>
        <w:tc>
          <w:tcPr/>
          <w:p>
            <w:pPr>
              <w:pStyle w:val="Compact"/>
              <w:jc w:val="center"/>
            </w:pPr>
            <w:r>
              <w:rPr>
                <w:b/>
                <w:bCs/>
              </w:rPr>
              <w:t xml:space="preserve">Yes</w:t>
            </w:r>
          </w:p>
        </w:tc>
        <w:tc>
          <w:tcPr/>
          <w:p>
            <w:pPr>
              <w:pStyle w:val="Compact"/>
              <w:jc w:val="center"/>
            </w:pPr>
            <w:r>
              <w:rPr>
                <w:b/>
                <w:bCs/>
              </w:rPr>
              <w:t xml:space="preserve">Yes</w:t>
            </w:r>
          </w:p>
        </w:tc>
        <w:tc>
          <w:tcPr/>
          <w:p>
            <w:pPr>
              <w:pStyle w:val="Compact"/>
              <w:jc w:val="center"/>
            </w:pPr>
            <w:r>
              <w:rPr>
                <w:b/>
                <w:bCs/>
              </w:rPr>
              <w:t xml:space="preserve">Yes</w:t>
            </w:r>
          </w:p>
        </w:tc>
        <w:tc>
          <w:tcPr/>
          <w:p>
            <w:pPr>
              <w:pStyle w:val="Compact"/>
              <w:jc w:val="left"/>
            </w:pPr>
            <w:r>
              <w:rPr>
                <w:b/>
                <w:bCs/>
              </w:rPr>
              <w:t xml:space="preserve">TypeOracle</w:t>
            </w:r>
          </w:p>
        </w:tc>
      </w:tr>
    </w:tbl>
    <w:bookmarkEnd w:id="25"/>
    <w:p>
      <w:pPr>
        <w:pStyle w:val="BodyText"/>
      </w:pPr>
      <w:r>
        <w:t xml:space="preserve">The table reveals a structural division. Methods above GCR achieve either semantic</w:t>
      </w:r>
      <w:r>
        <w:t xml:space="preserve"> </w:t>
      </w:r>
      <w:r>
        <w:t xml:space="preserve">awareness (RAG, RouterKGQA) or structural faithfulness (GCD, Outlines), but not both.</w:t>
      </w:r>
      <w:r>
        <w:t xml:space="preserve"> </w:t>
      </w:r>
      <w:r>
        <w:t xml:space="preserve">GCR and DoG achieve structural faithfulness but lack semantic awareness: their constraint</w:t>
      </w:r>
      <w:r>
        <w:t xml:space="preserve"> </w:t>
      </w:r>
      <w:r>
        <w:t xml:space="preserve">oracles are indifferent to question meaning. No existing method achieves all three:</w:t>
      </w:r>
      <w:r>
        <w:t xml:space="preserve"> </w:t>
      </w:r>
      <w:r>
        <w:t xml:space="preserve">structural faithfulness, dynamic adaptation, and semantic conditioning at the constraint</w:t>
      </w:r>
      <w:r>
        <w:t xml:space="preserve"> </w:t>
      </w:r>
      <w:r>
        <w:t xml:space="preserve">level.</w:t>
      </w:r>
    </w:p>
    <w:p>
      <w:pPr>
        <w:pStyle w:val="BodyText"/>
      </w:pPr>
      <w:r>
        <w:t xml:space="preserve">DCA-Trie fills this gap. Its TypeOracle conditions the valid token set on the knowledge</w:t>
      </w:r>
      <w:r>
        <w:t xml:space="preserve"> </w:t>
      </w:r>
      <w:r>
        <w:t xml:space="preserve">graph, the question semantics, and the partially generated chain. The constraint set</w:t>
      </w:r>
      <w:r>
        <w:t xml:space="preserve"> </w:t>
      </w:r>
      <w:r>
        <w:t xml:space="preserve">adapts at every decoding step, and only semantically relevant paths are admitted. The</w:t>
      </w:r>
      <w:r>
        <w:t xml:space="preserve"> </w:t>
      </w:r>
      <w:r>
        <w:t xml:space="preserve">result is a method that achieves structural faithfulness while reducing the search space</w:t>
      </w:r>
      <w:r>
        <w:t xml:space="preserve"> </w:t>
      </w:r>
      <w:r>
        <w:t xml:space="preserve">to paths the LLM actually needs to consider.</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Dynamic Context-Aware Tries for Knowledge Graph-Constrained Large Language Model Generation</dc:title>
  <dc:creator>Bernard Kirk Adjanor Katamanso, Erica Amonor, Joseph Osei Nyarko, Jessica Afua Etornam Nsafuah</dc:creator>
  <cp:keywords/>
  <dcterms:created xsi:type="dcterms:W3CDTF">2026-08-08T11:02:22Z</dcterms:created>
  <dcterms:modified xsi:type="dcterms:W3CDTF">2026-08-08T11:02:22Z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Knowledge Graph constrained decoding eliminates hallucination in large language model (LLM) reasoning by restricting output to verified paths. The leading approach, Graph Constrained Reasoning (GCR),achieves zero hallucination on Knowledge Graph Question Answering (KGQA) benchmarks by encoding all structurally valid paths in a static trie. The constraint is absolute but indifferent to the question: a three-hop query with twenty out-degree relations admits roughly 24,000 paths, and the LLM must navigate among them using the same internal knowledge that causes hallucination. We introduce Dynamic Context-Aware Tries (DCA-Trie), a dynamic constrained decoding framework that prunes the valid path set during generation using a TypeOracle, a lightweight symbolic module that checks two ontology gates per candidate triple. On WebQSP, DCA-Trie removes 85.5% of semantically irrelevant paths while maintaining a false negative rate below 5%. We further introduce the Semantic Irrelevance Ratio (SIR), a metric that separates constraint quality from answer accuracy, enabling independent evaluation of what the oracle filters versus what the LLM actually uses. SIR reveals a non-monotone relationship between constraint tightness and answer correctness: tighter constraints reduce the search space but do not improve Hits@1. We identify four mechanisms that drive this decoupling and show that the result holds across ablation conditions. DCA-Trie and SIR together provide the first framework for independently evaluating constraint quality and answer accuracy in knowledge graph-constrained decoding.</vt:lpwstr>
  </property>
  <property fmtid="{D5CDD505-2E9C-101B-9397-08002B2CF9AE}" pid="3" name="bibliography">
    <vt:lpwstr>/home/bernard/research/projects/FINAL_PROJECT/references.bib</vt:lpwstr>
  </property>
  <property fmtid="{D5CDD505-2E9C-101B-9397-08002B2CF9AE}" pid="4" name="date">
    <vt:lpwstr>August 2026</vt:lpwstr>
  </property>
</Properties>
</file>