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82E31" w14:textId="0C3D2516" w:rsidR="00BE1604" w:rsidRPr="00731568" w:rsidRDefault="00731568">
      <w:pPr>
        <w:autoSpaceDE w:val="0"/>
        <w:autoSpaceDN w:val="0"/>
        <w:spacing w:after="70" w:line="220" w:lineRule="exact"/>
        <w:rPr>
          <w:color w:val="FFFFFF" w:themeColor="background1"/>
        </w:rPr>
      </w:pPr>
      <w:r w:rsidRPr="00731568">
        <w:rPr>
          <w:color w:val="FFFFFF" w:themeColor="background1"/>
        </w:rPr>
        <w:t>Sample Application for consolidation of cases in the same court.</w:t>
      </w:r>
    </w:p>
    <w:p w14:paraId="6C8B332A" w14:textId="77777777" w:rsidR="00BE1604" w:rsidRDefault="00000000">
      <w:pPr>
        <w:autoSpaceDE w:val="0"/>
        <w:autoSpaceDN w:val="0"/>
        <w:spacing w:before="2604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</w:rPr>
        <w:t>Civil Suit No.&lt;&lt;suit_number&gt;&gt;/2012</w:t>
      </w:r>
    </w:p>
    <w:p w14:paraId="3336D229" w14:textId="77777777" w:rsidR="00BE1604" w:rsidRDefault="00000000">
      <w:pPr>
        <w:tabs>
          <w:tab w:val="left" w:pos="582"/>
        </w:tabs>
        <w:autoSpaceDE w:val="0"/>
        <w:autoSpaceDN w:val="0"/>
        <w:spacing w:before="132" w:after="0" w:line="250" w:lineRule="auto"/>
        <w:ind w:left="6" w:right="4608"/>
      </w:pPr>
      <w:r>
        <w:rPr>
          <w:rFonts w:ascii="Bookman Old Style" w:eastAsia="Bookman Old Style" w:hAnsi="Bookman Old Style"/>
          <w:b/>
          <w:color w:val="7F0000"/>
          <w:sz w:val="25"/>
        </w:rPr>
        <w:t>1.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&lt;&lt;plaintiff_1&gt;&gt; son of &lt;&lt;plaintiff_1_father&gt;&gt;, </w:t>
      </w:r>
      <w:r>
        <w:rPr>
          <w:rFonts w:ascii="Bookman Old Style" w:eastAsia="Bookman Old Style" w:hAnsi="Bookman Old Style"/>
          <w:b/>
          <w:color w:val="7F0000"/>
          <w:sz w:val="25"/>
        </w:rPr>
        <w:t>2.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&lt;&lt;plaintiff_2&gt;&gt;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3.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&lt;&lt;plaintiff_3&gt;&gt; </w:t>
      </w:r>
      <w:r>
        <w:br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Daughters of Muhammad Shafi (deceased).</w:t>
      </w:r>
    </w:p>
    <w:p w14:paraId="59294B21" w14:textId="77777777" w:rsidR="00BE1604" w:rsidRDefault="00000000">
      <w:pPr>
        <w:tabs>
          <w:tab w:val="left" w:pos="582"/>
        </w:tabs>
        <w:autoSpaceDE w:val="0"/>
        <w:autoSpaceDN w:val="0"/>
        <w:spacing w:before="72" w:after="0" w:line="252" w:lineRule="auto"/>
        <w:ind w:left="6" w:right="2016"/>
      </w:pPr>
      <w:r>
        <w:rPr>
          <w:rFonts w:ascii="Bookman Old Style" w:eastAsia="Bookman Old Style" w:hAnsi="Bookman Old Style"/>
          <w:b/>
          <w:color w:val="7F0000"/>
          <w:sz w:val="25"/>
        </w:rPr>
        <w:t>4.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&lt;&lt;plaintiff_4&gt;&gt; Widow of &lt;&lt;plaintiff_5_father&gt;&gt; son of Muhammad Shafi </w:t>
      </w:r>
      <w:r>
        <w:rPr>
          <w:rFonts w:ascii="Bookman Old Style" w:eastAsia="Bookman Old Style" w:hAnsi="Bookman Old Style"/>
          <w:b/>
          <w:color w:val="7F0000"/>
          <w:sz w:val="25"/>
        </w:rPr>
        <w:t>5.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&lt;&lt;plaintiff_5&gt;&gt;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6.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&lt;&lt;plaintiff_6&gt;&gt;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7.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&lt;&lt;plaintiff_7&gt;&gt; </w:t>
      </w:r>
      <w:r>
        <w:br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Plaintiffs No. 5 to 7 sons of Muhammad Ashraf (deceased).</w:t>
      </w:r>
    </w:p>
    <w:p w14:paraId="203421D5" w14:textId="77777777" w:rsidR="00BE1604" w:rsidRDefault="00000000">
      <w:pPr>
        <w:tabs>
          <w:tab w:val="left" w:pos="582"/>
        </w:tabs>
        <w:autoSpaceDE w:val="0"/>
        <w:autoSpaceDN w:val="0"/>
        <w:spacing w:before="72" w:after="0" w:line="254" w:lineRule="auto"/>
        <w:ind w:left="6" w:right="2160"/>
      </w:pPr>
      <w:r>
        <w:rPr>
          <w:rFonts w:ascii="Bookman Old Style" w:eastAsia="Bookman Old Style" w:hAnsi="Bookman Old Style"/>
          <w:b/>
          <w:color w:val="7F0000"/>
          <w:sz w:val="25"/>
        </w:rPr>
        <w:t>8.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&lt;&lt;plaintiff_8&gt;&gt; D/o Muhammad Ashraf W/o &lt;&lt;plaintiff_8_husband&gt;&gt; </w:t>
      </w:r>
      <w:r>
        <w:rPr>
          <w:rFonts w:ascii="Bookman Old Style" w:eastAsia="Bookman Old Style" w:hAnsi="Bookman Old Style"/>
          <w:b/>
          <w:color w:val="7F0000"/>
          <w:sz w:val="25"/>
        </w:rPr>
        <w:t>9.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&lt;&lt;plaintiff_9&gt;&gt; Wd/o &lt;&lt;plaintiff_9_husband&gt;&gt; son of Muhammad Shafi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10.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&lt;&lt;plaintiff_10&gt;&gt;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11.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&lt;&lt;plaintiff_11&gt;&gt;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12.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&lt;&lt;plaintiff_12&gt;&gt; W/o &lt;&lt;plaintiff_12_husband&gt;&gt; </w:t>
      </w:r>
      <w:r>
        <w:br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Plaintiffs No. 10 to 12 sons and daughter of Liaqat Ali (deceased).</w:t>
      </w:r>
    </w:p>
    <w:p w14:paraId="0B02B0FD" w14:textId="77777777" w:rsidR="00BE1604" w:rsidRDefault="00000000">
      <w:pPr>
        <w:tabs>
          <w:tab w:val="left" w:pos="582"/>
        </w:tabs>
        <w:autoSpaceDE w:val="0"/>
        <w:autoSpaceDN w:val="0"/>
        <w:spacing w:before="72" w:after="0" w:line="250" w:lineRule="auto"/>
        <w:ind w:left="6" w:right="1728"/>
      </w:pPr>
      <w:r>
        <w:rPr>
          <w:rFonts w:ascii="Bookman Old Style" w:eastAsia="Bookman Old Style" w:hAnsi="Bookman Old Style"/>
          <w:b/>
          <w:color w:val="7F0000"/>
          <w:sz w:val="25"/>
        </w:rPr>
        <w:t>13.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&lt;&lt;plaintiff_13&gt;&gt; Wd./o &lt;&lt;plaintiff_13_husband&gt;&gt; son of Muhammad Shafi (deceased) </w:t>
      </w:r>
      <w:r>
        <w:rPr>
          <w:rFonts w:ascii="Bookman Old Style" w:eastAsia="Bookman Old Style" w:hAnsi="Bookman Old Style"/>
          <w:b/>
          <w:color w:val="7F0000"/>
          <w:sz w:val="25"/>
        </w:rPr>
        <w:t>14.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&lt;&lt;plaintiff_14&gt;&gt;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15.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&lt;&lt;plaintiff_15&gt;&gt; </w:t>
      </w:r>
      <w:r>
        <w:br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Plaintiffs No. 14 &amp; 15 sons of Muhammad Aslam (deceased).</w:t>
      </w:r>
    </w:p>
    <w:p w14:paraId="014C8DC4" w14:textId="77777777" w:rsidR="00BE1604" w:rsidRDefault="00000000">
      <w:pPr>
        <w:tabs>
          <w:tab w:val="left" w:pos="582"/>
        </w:tabs>
        <w:autoSpaceDE w:val="0"/>
        <w:autoSpaceDN w:val="0"/>
        <w:spacing w:before="72" w:after="0" w:line="250" w:lineRule="auto"/>
        <w:ind w:left="6" w:right="2880"/>
      </w:pPr>
      <w:r>
        <w:rPr>
          <w:rFonts w:ascii="Bookman Old Style" w:eastAsia="Bookman Old Style" w:hAnsi="Bookman Old Style"/>
          <w:b/>
          <w:color w:val="7F0000"/>
          <w:sz w:val="25"/>
        </w:rPr>
        <w:t>16.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&lt;&lt;plaintiff_16&gt;&gt;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17.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&lt;&lt;plaintiff_17&gt;&gt;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18.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&lt;&lt;plaintiff_18&gt;&gt; </w:t>
      </w:r>
      <w:r>
        <w:br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Plaintiffs No.16 to 18 daughter of Muhammad Aslam (deceased).</w:t>
      </w:r>
    </w:p>
    <w:p w14:paraId="70E73FFD" w14:textId="77777777" w:rsidR="00BE1604" w:rsidRDefault="00000000">
      <w:pPr>
        <w:tabs>
          <w:tab w:val="left" w:pos="582"/>
        </w:tabs>
        <w:autoSpaceDE w:val="0"/>
        <w:autoSpaceDN w:val="0"/>
        <w:spacing w:before="72" w:after="0" w:line="252" w:lineRule="auto"/>
        <w:ind w:left="6" w:right="1152"/>
      </w:pPr>
      <w:r>
        <w:rPr>
          <w:rFonts w:ascii="Bookman Old Style" w:eastAsia="Bookman Old Style" w:hAnsi="Bookman Old Style"/>
          <w:b/>
          <w:color w:val="7F0000"/>
          <w:sz w:val="25"/>
        </w:rPr>
        <w:t>19.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&lt;&lt;plaintiff_19&gt;&gt; Wd./o &lt;&lt;plaintiff_19_husband&gt;&gt; son of Muhammad Shafi (deceased) </w:t>
      </w:r>
      <w:r>
        <w:rPr>
          <w:rFonts w:ascii="Bookman Old Style" w:eastAsia="Bookman Old Style" w:hAnsi="Bookman Old Style"/>
          <w:b/>
          <w:color w:val="7F0000"/>
          <w:sz w:val="25"/>
        </w:rPr>
        <w:t>20.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&lt;&lt;plaintiff_20&gt;&gt; son of Abdul Razzaq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21.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&lt;&lt;plaintiff_21&gt;&gt; </w:t>
      </w:r>
      <w:r>
        <w:br/>
      </w:r>
      <w:r>
        <w:rPr>
          <w:rFonts w:ascii="Bookman Old Style" w:eastAsia="Bookman Old Style" w:hAnsi="Bookman Old Style"/>
          <w:b/>
          <w:color w:val="7F0000"/>
          <w:sz w:val="25"/>
        </w:rPr>
        <w:t>22.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&lt;&lt;plaintiff_22&gt;&gt; </w:t>
      </w:r>
      <w:r>
        <w:br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Plaintiffs No. 21 &amp; 22 daughters of Abdul Razzaq (deceased).</w:t>
      </w:r>
    </w:p>
    <w:p w14:paraId="728EB80E" w14:textId="77777777" w:rsidR="00BE1604" w:rsidRDefault="00000000">
      <w:pPr>
        <w:autoSpaceDE w:val="0"/>
        <w:autoSpaceDN w:val="0"/>
        <w:spacing w:before="72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All r/o &lt;&lt;address&gt;&gt;. </w:t>
      </w:r>
    </w:p>
    <w:p w14:paraId="6837F316" w14:textId="77777777" w:rsidR="00BE1604" w:rsidRDefault="00000000">
      <w:pPr>
        <w:autoSpaceDE w:val="0"/>
        <w:autoSpaceDN w:val="0"/>
        <w:spacing w:before="396" w:after="0" w:line="204" w:lineRule="auto"/>
        <w:ind w:right="28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Plaintiffs</w:t>
      </w:r>
    </w:p>
    <w:p w14:paraId="45757287" w14:textId="77777777" w:rsidR="00BE1604" w:rsidRDefault="00000000">
      <w:pPr>
        <w:autoSpaceDE w:val="0"/>
        <w:autoSpaceDN w:val="0"/>
        <w:spacing w:before="120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>VERSUS</w:t>
      </w:r>
    </w:p>
    <w:p w14:paraId="45B76F39" w14:textId="77777777" w:rsidR="00BE1604" w:rsidRDefault="00000000">
      <w:pPr>
        <w:tabs>
          <w:tab w:val="left" w:pos="582"/>
        </w:tabs>
        <w:autoSpaceDE w:val="0"/>
        <w:autoSpaceDN w:val="0"/>
        <w:spacing w:before="132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1.&lt;&lt;defendant_1&gt;&gt; </w:t>
      </w:r>
      <w:r>
        <w:br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2.Excise and Taxation Department, Ichhra Circle-I, Zone No.4, Region-(A), Ihsaan Building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2/A, Freed Kot Road, &lt;&lt;residence_city&gt;&gt;.</w:t>
      </w:r>
    </w:p>
    <w:p w14:paraId="2932B0CE" w14:textId="77777777" w:rsidR="00BE1604" w:rsidRDefault="00000000">
      <w:pPr>
        <w:autoSpaceDE w:val="0"/>
        <w:autoSpaceDN w:val="0"/>
        <w:spacing w:before="72" w:after="0" w:line="204" w:lineRule="auto"/>
        <w:ind w:right="28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lastRenderedPageBreak/>
        <w:t>Defendants</w:t>
      </w:r>
    </w:p>
    <w:p w14:paraId="18B5932C" w14:textId="77777777" w:rsidR="00BE1604" w:rsidRDefault="00000000">
      <w:pPr>
        <w:autoSpaceDE w:val="0"/>
        <w:autoSpaceDN w:val="0"/>
        <w:spacing w:before="396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>SUIT FOR DECLARATION WITH CONSEQUENTIAL RELIEF.</w:t>
      </w:r>
    </w:p>
    <w:p w14:paraId="08DBCBA4" w14:textId="77777777" w:rsidR="00BE1604" w:rsidRDefault="00BE1604">
      <w:pPr>
        <w:sectPr w:rsidR="00BE1604">
          <w:pgSz w:w="11900" w:h="16840"/>
          <w:pgMar w:top="292" w:right="646" w:bottom="332" w:left="660" w:header="720" w:footer="720" w:gutter="0"/>
          <w:cols w:space="720"/>
          <w:docGrid w:linePitch="360"/>
        </w:sectPr>
      </w:pPr>
    </w:p>
    <w:p w14:paraId="731FFF15" w14:textId="77777777" w:rsidR="00BE1604" w:rsidRDefault="00BE1604">
      <w:pPr>
        <w:autoSpaceDE w:val="0"/>
        <w:autoSpaceDN w:val="0"/>
        <w:spacing w:after="294" w:line="220" w:lineRule="exact"/>
      </w:pPr>
    </w:p>
    <w:p w14:paraId="2D89C4C9" w14:textId="77777777" w:rsidR="00BE1604" w:rsidRDefault="00000000">
      <w:pPr>
        <w:autoSpaceDE w:val="0"/>
        <w:autoSpaceDN w:val="0"/>
        <w:spacing w:after="0" w:line="204" w:lineRule="auto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Respectfully Sheweth:-</w:t>
      </w:r>
    </w:p>
    <w:p w14:paraId="194F2C1D" w14:textId="77777777" w:rsidR="00BE1604" w:rsidRDefault="00000000">
      <w:pPr>
        <w:tabs>
          <w:tab w:val="left" w:pos="576"/>
          <w:tab w:val="left" w:pos="7106"/>
        </w:tabs>
        <w:autoSpaceDE w:val="0"/>
        <w:autoSpaceDN w:val="0"/>
        <w:spacing w:before="348" w:after="0" w:line="334" w:lineRule="auto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1.That the predecessor-in-interest of the plaintiffs has six sons and two daughters namely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Muhammad Mushtaq (plaintiff No.1), Mst. Firdous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Begum, Mst. Misbah Parveen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(daughters/plaintiffs No.2 &amp; 3), Muhammad Ashraf (deceased) husband of plaintiff No.4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and father of plaintiffs No.5 to 8, Liaqat Ali (deceased son) husband of plaintiff No.9 and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father of plaintiffs No.10 to 12, Muhammad Aslam (deceased son) husband of plaintiff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No.13 and father of plaintiffs No.14 to 18, Abdul Razzaq (deceased son) husband of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plaintiff No.19 and father of plaintiffs No.20 to 22. It is pertinent to mention here that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one son namely &lt;&lt;deceased_son&gt;&gt; has also died issueless.</w:t>
      </w:r>
    </w:p>
    <w:p w14:paraId="0D5C06E4" w14:textId="77777777" w:rsidR="00BE1604" w:rsidRDefault="00000000">
      <w:pPr>
        <w:autoSpaceDE w:val="0"/>
        <w:autoSpaceDN w:val="0"/>
        <w:spacing w:before="348" w:after="0" w:line="302" w:lineRule="auto"/>
        <w:ind w:left="576" w:right="22" w:hanging="576"/>
        <w:jc w:val="both"/>
      </w:pPr>
      <w:r>
        <w:rPr>
          <w:rFonts w:ascii="Bookman Old Style" w:eastAsia="Bookman Old Style" w:hAnsi="Bookman Old Style"/>
          <w:b/>
          <w:color w:val="000000"/>
          <w:sz w:val="25"/>
        </w:rPr>
        <w:t>2.That the said Muhammad Shafi died on &lt;&lt;death_date&gt;&gt; and leaving behind plaintiffs as his legal heirs. It is pertinent to mention here that after the death of said Muhammad Shafi/ predecessor-in-interest of plaintiffs, his five sons have also died.</w:t>
      </w:r>
    </w:p>
    <w:p w14:paraId="1E810EB4" w14:textId="77777777" w:rsidR="00BE1604" w:rsidRDefault="00000000">
      <w:pPr>
        <w:autoSpaceDE w:val="0"/>
        <w:autoSpaceDN w:val="0"/>
        <w:spacing w:before="348" w:after="0" w:line="302" w:lineRule="auto"/>
        <w:ind w:left="576" w:right="24" w:hanging="576"/>
        <w:jc w:val="both"/>
      </w:pPr>
      <w:r>
        <w:rPr>
          <w:rFonts w:ascii="Bookman Old Style" w:eastAsia="Bookman Old Style" w:hAnsi="Bookman Old Style"/>
          <w:b/>
          <w:color w:val="000000"/>
          <w:sz w:val="25"/>
        </w:rPr>
        <w:t>3.That the predecessor-in-interest of plaintiffs left behind the property No.&lt;&lt;property_number&gt;&gt;, Circle-I, Zone-IV, Region-A situated at &lt;&lt;property_address&gt;&gt;. Copy of registered sale deed attached here with.</w:t>
      </w:r>
    </w:p>
    <w:p w14:paraId="581DD9DE" w14:textId="77777777" w:rsidR="00BE1604" w:rsidRDefault="00000000">
      <w:pPr>
        <w:autoSpaceDE w:val="0"/>
        <w:autoSpaceDN w:val="0"/>
        <w:spacing w:before="348" w:after="0" w:line="204" w:lineRule="auto"/>
      </w:pPr>
      <w:r>
        <w:rPr>
          <w:rFonts w:ascii="Bookman Old Style" w:eastAsia="Bookman Old Style" w:hAnsi="Bookman Old Style"/>
          <w:b/>
          <w:color w:val="000000"/>
          <w:sz w:val="25"/>
        </w:rPr>
        <w:t>4.That pedigree table of legal heirs of deceased Muhammad Shafi is on next page.</w:t>
      </w:r>
    </w:p>
    <w:p w14:paraId="0C3C089F" w14:textId="77777777" w:rsidR="00BE1604" w:rsidRDefault="00000000">
      <w:pPr>
        <w:tabs>
          <w:tab w:val="left" w:pos="576"/>
          <w:tab w:val="left" w:pos="1020"/>
        </w:tabs>
        <w:autoSpaceDE w:val="0"/>
        <w:autoSpaceDN w:val="0"/>
        <w:spacing w:before="780" w:after="0" w:line="302" w:lineRule="auto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5. </w:t>
      </w:r>
      <w:r>
        <w:tab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That after the death of Muhammad Shafi, the predecessor-in-interest of plaintiffs,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plaintiffs inherited his property mention in para No.3 of the plaint, being his legal heirs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according to their legal shares respectively.</w:t>
      </w:r>
    </w:p>
    <w:p w14:paraId="76236F9C" w14:textId="77777777" w:rsidR="00BE1604" w:rsidRDefault="00000000">
      <w:pPr>
        <w:tabs>
          <w:tab w:val="left" w:pos="576"/>
          <w:tab w:val="left" w:pos="744"/>
        </w:tabs>
        <w:autoSpaceDE w:val="0"/>
        <w:autoSpaceDN w:val="0"/>
        <w:spacing w:before="348" w:after="0" w:line="326" w:lineRule="auto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6. </w:t>
      </w:r>
      <w:r>
        <w:tab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That the plaintiffs approached the defendant No.2 for transferring the suit property in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their names but he refused to do so. The defendant No.2 is legally bound to transfer the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said property in the name of plaintiffs according to Sharia Law but the defendant No.2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without any legal justification refused to transfer the said property in the name of the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plaintiffs. The defendant No.2 also demanded the decree of court as declaration of legal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heirs of deceased, hence this suit.</w:t>
      </w:r>
    </w:p>
    <w:p w14:paraId="487DA82F" w14:textId="77777777" w:rsidR="00BE1604" w:rsidRDefault="00000000">
      <w:pPr>
        <w:autoSpaceDE w:val="0"/>
        <w:autoSpaceDN w:val="0"/>
        <w:spacing w:before="348" w:after="0" w:line="314" w:lineRule="auto"/>
        <w:ind w:left="576" w:right="20" w:hanging="576"/>
        <w:jc w:val="both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7.That the cause of action firstly accrued in favour of plaintiffs against the defendant No.2 on &lt;&lt;cause_of_action_date&gt;&gt;  after the death of predecessor-in-interest of </w:t>
      </w:r>
      <w:r>
        <w:rPr>
          <w:rFonts w:ascii="Bookman Old Style" w:eastAsia="Bookman Old Style" w:hAnsi="Bookman Old Style"/>
          <w:b/>
          <w:color w:val="000000"/>
          <w:sz w:val="25"/>
        </w:rPr>
        <w:lastRenderedPageBreak/>
        <w:t>plaintiffs and lastly when the defendant No.2 refused to transfer the suit property in the name of plaintiffs which is still continuing.</w:t>
      </w:r>
    </w:p>
    <w:p w14:paraId="17A9FE4D" w14:textId="77777777" w:rsidR="00BE1604" w:rsidRDefault="00000000">
      <w:pPr>
        <w:tabs>
          <w:tab w:val="left" w:pos="576"/>
        </w:tabs>
        <w:autoSpaceDE w:val="0"/>
        <w:autoSpaceDN w:val="0"/>
        <w:spacing w:before="348" w:after="0" w:line="278" w:lineRule="auto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8.That the parties reside in &lt;&lt;verification_city&gt;&gt; and cause of action has also arisen here, therefore this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learned court has got jurisdiction to try and adjudicate upon this matter.</w:t>
      </w:r>
    </w:p>
    <w:p w14:paraId="6F8D80AC" w14:textId="77777777" w:rsidR="00BE1604" w:rsidRDefault="00BE1604">
      <w:pPr>
        <w:sectPr w:rsidR="00BE1604">
          <w:pgSz w:w="11900" w:h="16840"/>
          <w:pgMar w:top="512" w:right="646" w:bottom="412" w:left="666" w:header="720" w:footer="720" w:gutter="0"/>
          <w:cols w:space="720"/>
          <w:docGrid w:linePitch="360"/>
        </w:sectPr>
      </w:pPr>
    </w:p>
    <w:p w14:paraId="228E493D" w14:textId="77777777" w:rsidR="00BE1604" w:rsidRDefault="00BE1604">
      <w:pPr>
        <w:autoSpaceDE w:val="0"/>
        <w:autoSpaceDN w:val="0"/>
        <w:spacing w:after="114" w:line="220" w:lineRule="exact"/>
      </w:pPr>
    </w:p>
    <w:p w14:paraId="479C5B49" w14:textId="77777777" w:rsidR="00BE1604" w:rsidRDefault="00000000">
      <w:pPr>
        <w:tabs>
          <w:tab w:val="left" w:pos="882"/>
        </w:tabs>
        <w:autoSpaceDE w:val="0"/>
        <w:autoSpaceDN w:val="0"/>
        <w:spacing w:after="0" w:line="204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9.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That the value of the suit for the purposes of court fees and jurisdiction is fixed at</w:t>
      </w:r>
    </w:p>
    <w:p w14:paraId="5466ED37" w14:textId="77777777" w:rsidR="00BE1604" w:rsidRDefault="00000000">
      <w:pPr>
        <w:autoSpaceDE w:val="0"/>
        <w:autoSpaceDN w:val="0"/>
        <w:spacing w:before="180" w:after="0" w:line="204" w:lineRule="auto"/>
        <w:ind w:left="582"/>
      </w:pPr>
      <w:r>
        <w:rPr>
          <w:rFonts w:ascii="Bookman Old Style" w:eastAsia="Bookman Old Style" w:hAnsi="Bookman Old Style"/>
          <w:b/>
          <w:color w:val="000000"/>
          <w:sz w:val="25"/>
        </w:rPr>
        <w:t>&lt;&lt;suit_value&gt;&gt; which is exempt from affixation of court fees.</w:t>
      </w:r>
    </w:p>
    <w:p w14:paraId="0BA72DD3" w14:textId="77777777" w:rsidR="00BE1604" w:rsidRDefault="00000000">
      <w:pPr>
        <w:autoSpaceDE w:val="0"/>
        <w:autoSpaceDN w:val="0"/>
        <w:spacing w:before="300" w:after="0" w:line="204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>PRAYER:</w:t>
      </w:r>
    </w:p>
    <w:p w14:paraId="2795BF23" w14:textId="77777777" w:rsidR="00BE1604" w:rsidRDefault="00000000">
      <w:pPr>
        <w:autoSpaceDE w:val="0"/>
        <w:autoSpaceDN w:val="0"/>
        <w:spacing w:before="240" w:after="0" w:line="245" w:lineRule="auto"/>
        <w:ind w:left="6" w:right="20" w:firstLine="1152"/>
        <w:jc w:val="both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 xml:space="preserve">In view of the above </w:t>
      </w:r>
      <w:r>
        <w:rPr>
          <w:rFonts w:ascii="Bookman Old Style" w:eastAsia="Bookman Old Style" w:hAnsi="Bookman Old Style"/>
          <w:b/>
          <w:color w:val="000000"/>
          <w:sz w:val="25"/>
        </w:rPr>
        <w:t>submissions, it is therefore, most humbly prayed that a decree for  declaration may very graciously be passed in favour of plaintiffs as legal heirs of deceased Muhammad Shafi in supreme interest of justice, equity and fair play.</w:t>
      </w:r>
    </w:p>
    <w:p w14:paraId="36D26022" w14:textId="77777777" w:rsidR="00BE1604" w:rsidRDefault="00000000">
      <w:pPr>
        <w:tabs>
          <w:tab w:val="left" w:pos="1242"/>
        </w:tabs>
        <w:autoSpaceDE w:val="0"/>
        <w:autoSpaceDN w:val="0"/>
        <w:spacing w:before="72" w:after="0" w:line="245" w:lineRule="auto"/>
        <w:ind w:left="6"/>
      </w:pPr>
      <w:r>
        <w:tab/>
      </w:r>
      <w:r>
        <w:rPr>
          <w:rFonts w:ascii="Bookman Old Style" w:eastAsia="Bookman Old Style" w:hAnsi="Bookman Old Style"/>
          <w:b/>
          <w:i/>
          <w:color w:val="000000"/>
          <w:sz w:val="25"/>
        </w:rPr>
        <w:t>It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is further prayed that the defendant No.2 may very kindly be directed to transfer the suit property in the name of the plaintiffs in the relevant Departmental Record.</w:t>
      </w:r>
    </w:p>
    <w:p w14:paraId="3FBEB797" w14:textId="77777777" w:rsidR="00BE1604" w:rsidRDefault="00000000">
      <w:pPr>
        <w:tabs>
          <w:tab w:val="left" w:pos="1278"/>
        </w:tabs>
        <w:autoSpaceDE w:val="0"/>
        <w:autoSpaceDN w:val="0"/>
        <w:spacing w:before="72" w:after="0" w:line="245" w:lineRule="auto"/>
        <w:ind w:left="6"/>
      </w:pPr>
      <w:r>
        <w:tab/>
      </w:r>
      <w:r>
        <w:rPr>
          <w:rFonts w:ascii="Bookman Old Style" w:eastAsia="Bookman Old Style" w:hAnsi="Bookman Old Style"/>
          <w:b/>
          <w:i/>
          <w:color w:val="000000"/>
          <w:sz w:val="25"/>
        </w:rPr>
        <w:t>Any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other relief which this honourable court deems fit and appropriate in favour of the plaintiffs may also be awarded.</w:t>
      </w:r>
    </w:p>
    <w:p w14:paraId="12960163" w14:textId="77777777" w:rsidR="00BE1604" w:rsidRDefault="00000000">
      <w:pPr>
        <w:autoSpaceDE w:val="0"/>
        <w:autoSpaceDN w:val="0"/>
        <w:spacing w:before="2222" w:after="0" w:line="204" w:lineRule="auto"/>
        <w:ind w:right="28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Plaintiffs</w:t>
      </w:r>
    </w:p>
    <w:p w14:paraId="1FBFEB2A" w14:textId="77777777" w:rsidR="00BE1604" w:rsidRDefault="00000000">
      <w:pPr>
        <w:autoSpaceDE w:val="0"/>
        <w:autoSpaceDN w:val="0"/>
        <w:spacing w:before="252" w:after="0" w:line="204" w:lineRule="auto"/>
        <w:ind w:left="1734"/>
      </w:pPr>
      <w:r>
        <w:rPr>
          <w:rFonts w:ascii="Bookman Old Style" w:eastAsia="Bookman Old Style" w:hAnsi="Bookman Old Style"/>
          <w:b/>
          <w:color w:val="000000"/>
          <w:sz w:val="25"/>
        </w:rPr>
        <w:t>Through:-</w:t>
      </w:r>
    </w:p>
    <w:p w14:paraId="20AD6694" w14:textId="77777777" w:rsidR="00BE1604" w:rsidRDefault="00000000">
      <w:pPr>
        <w:tabs>
          <w:tab w:val="left" w:pos="7880"/>
          <w:tab w:val="left" w:pos="8264"/>
        </w:tabs>
        <w:autoSpaceDE w:val="0"/>
        <w:autoSpaceDN w:val="0"/>
        <w:spacing w:before="252" w:after="0" w:line="245" w:lineRule="auto"/>
        <w:ind w:left="6"/>
      </w:pP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&lt;&lt;advocate_name&gt;&gt; </w:t>
      </w:r>
      <w:r>
        <w:tab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Advocate High Court </w:t>
      </w: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 xml:space="preserve">VERIFICATION: </w:t>
      </w:r>
      <w:r>
        <w:br/>
      </w:r>
      <w:r>
        <w:rPr>
          <w:rFonts w:ascii="Bookman Old Style" w:eastAsia="Bookman Old Style" w:hAnsi="Bookman Old Style"/>
          <w:b/>
          <w:color w:val="000000"/>
          <w:sz w:val="25"/>
        </w:rPr>
        <w:t>Verified on oath at Lahore on this 24</w:t>
      </w:r>
      <w:r>
        <w:rPr>
          <w:rFonts w:ascii="Bookman Old Style" w:eastAsia="Bookman Old Style" w:hAnsi="Bookman Old Style"/>
          <w:b/>
          <w:color w:val="000000"/>
          <w:w w:val="98"/>
        </w:rPr>
        <w:t>th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day of February 2012 that the contents of the Suit are true and correct to the best of my knowledge, information and belief and nothing has been concealed so far.</w:t>
      </w:r>
    </w:p>
    <w:p w14:paraId="3744F7B6" w14:textId="77777777" w:rsidR="00BE1604" w:rsidRDefault="00000000">
      <w:pPr>
        <w:autoSpaceDE w:val="0"/>
        <w:autoSpaceDN w:val="0"/>
        <w:spacing w:after="0" w:line="204" w:lineRule="auto"/>
        <w:ind w:right="30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Plaintiff</w:t>
      </w:r>
    </w:p>
    <w:sectPr w:rsidR="00BE1604" w:rsidSect="00034616">
      <w:pgSz w:w="11900" w:h="16840"/>
      <w:pgMar w:top="332" w:right="646" w:bottom="1440" w:left="6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799322">
    <w:abstractNumId w:val="8"/>
  </w:num>
  <w:num w:numId="2" w16cid:durableId="1307394317">
    <w:abstractNumId w:val="6"/>
  </w:num>
  <w:num w:numId="3" w16cid:durableId="1633174013">
    <w:abstractNumId w:val="5"/>
  </w:num>
  <w:num w:numId="4" w16cid:durableId="1006402734">
    <w:abstractNumId w:val="4"/>
  </w:num>
  <w:num w:numId="5" w16cid:durableId="1157266908">
    <w:abstractNumId w:val="7"/>
  </w:num>
  <w:num w:numId="6" w16cid:durableId="893857673">
    <w:abstractNumId w:val="3"/>
  </w:num>
  <w:num w:numId="7" w16cid:durableId="1981838018">
    <w:abstractNumId w:val="2"/>
  </w:num>
  <w:num w:numId="8" w16cid:durableId="943801595">
    <w:abstractNumId w:val="1"/>
  </w:num>
  <w:num w:numId="9" w16cid:durableId="23181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198"/>
    <w:rsid w:val="00731568"/>
    <w:rsid w:val="00991294"/>
    <w:rsid w:val="00AA1D8D"/>
    <w:rsid w:val="00B47730"/>
    <w:rsid w:val="00BE1604"/>
    <w:rsid w:val="00C230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7BEDF"/>
  <w14:defaultImageDpi w14:val="300"/>
  <w15:docId w15:val="{B11B0F3E-E6DB-40A9-B071-B8C10B8E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moeed iftikhar</cp:lastModifiedBy>
  <cp:revision>5</cp:revision>
  <dcterms:created xsi:type="dcterms:W3CDTF">2013-12-23T23:15:00Z</dcterms:created>
  <dcterms:modified xsi:type="dcterms:W3CDTF">2024-11-12T10:50:00Z</dcterms:modified>
  <cp:category/>
</cp:coreProperties>
</file>