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3" w:name="beratungsleitfaden-verhaltenssüchte"/>
    <w:p>
      <w:pPr>
        <w:pStyle w:val="Heading1"/>
      </w:pPr>
      <w:r>
        <w:t xml:space="preserve">Beratungsleitfaden Verhaltenssüchte</w:t>
      </w:r>
    </w:p>
    <w:p>
      <w:pPr>
        <w:pStyle w:val="FirstParagraph"/>
      </w:pPr>
      <w:r>
        <w:t xml:space="preserve">Fachstelle Sucht, Soziale Dienste Sarganserland (SDS) · Entwurf 0.1 · Stand 21.10.2026</w:t>
      </w:r>
    </w:p>
    <w:p>
      <w:pPr>
        <w:pStyle w:val="BodyText"/>
      </w:pPr>
      <w:r>
        <w:t xml:space="preserve">Entwurf zur Besprechung im Team. Grundlage sind die Recherche vom 21.10.2026 und die Triage-Recherche. Alle Aussagen tragen einen Marker (Kap. 0.4). Vor dem Einsatz sind die [Lücke]- und [Vorschlag]-Punkte im Team zu klären.</w:t>
      </w:r>
    </w:p>
    <w:p>
      <w:r>
        <w:pict>
          <v:rect style="width:0;height:1.5pt" o:hralign="center" o:hrstd="t" o:hr="t"/>
        </w:pict>
      </w:r>
    </w:p>
    <w:bookmarkStart w:id="20" w:name="inhalt"/>
    <w:p>
      <w:pPr>
        <w:pStyle w:val="Heading2"/>
      </w:pPr>
      <w:r>
        <w:t xml:space="preserve">Inhalt</w:t>
      </w:r>
    </w:p>
    <w:p>
      <w:pPr>
        <w:pStyle w:val="FirstParagraph"/>
      </w:pPr>
      <w:r>
        <w:t xml:space="preserve">Der Leitfaden hat sieben Teile. Jeder beginnt mit seinem Inhaltsverzeichnis.</w:t>
      </w:r>
    </w:p>
    <w:p>
      <w:pPr>
        <w:pStyle w:val="Compact"/>
        <w:numPr>
          <w:ilvl w:val="0"/>
          <w:numId w:val="1001"/>
        </w:numPr>
      </w:pPr>
      <w:hyperlink w:anchor="teil-1-zielstellung-und-geltungsbereich">
        <w:r>
          <w:rPr>
            <w:rStyle w:val="Hyperlink"/>
            <w:b/>
            <w:bCs/>
          </w:rPr>
          <w:t xml:space="preserve">Teil 1: Zielstellung und Geltungsbereich</w:t>
        </w:r>
      </w:hyperlink>
      <w:r>
        <w:t xml:space="preserve"> </w:t>
      </w:r>
      <w:r>
        <w:t xml:space="preserve">(Kap. 0): Für wen der Leitfaden gilt, was er leistet und wie die Marker im Text zu lesen sind.</w:t>
      </w:r>
    </w:p>
    <w:p>
      <w:pPr>
        <w:pStyle w:val="Compact"/>
        <w:numPr>
          <w:ilvl w:val="0"/>
          <w:numId w:val="1001"/>
        </w:numPr>
      </w:pPr>
      <w:hyperlink w:anchor="teil-2-grundlegende-informationen">
        <w:r>
          <w:rPr>
            <w:rStyle w:val="Hyperlink"/>
            <w:b/>
            <w:bCs/>
          </w:rPr>
          <w:t xml:space="preserve">Teil 2: Grundlegende Informationen</w:t>
        </w:r>
      </w:hyperlink>
      <w:r>
        <w:t xml:space="preserve"> </w:t>
      </w:r>
      <w:r>
        <w:t xml:space="preserve">(Kap. 1–5): Was eine Verhaltenssucht ist, welche Formen es gibt, Stigma, Entstehung, Komorbiditäten und Suizidrisiko.</w:t>
      </w:r>
    </w:p>
    <w:p>
      <w:pPr>
        <w:pStyle w:val="Compact"/>
        <w:numPr>
          <w:ilvl w:val="0"/>
          <w:numId w:val="1001"/>
        </w:numPr>
      </w:pPr>
      <w:hyperlink w:anchor="teil-3-grundlagen-der-beratung">
        <w:r>
          <w:rPr>
            <w:rStyle w:val="Hyperlink"/>
            <w:b/>
            <w:bCs/>
          </w:rPr>
          <w:t xml:space="preserve">Teil 3: Grundlagen der Beratung</w:t>
        </w:r>
      </w:hyperlink>
      <w:r>
        <w:t xml:space="preserve"> </w:t>
      </w:r>
      <w:r>
        <w:t xml:space="preserve">(Kap. 6): Haltung, Abgrenzung zur Psychotherapie, Beratungsweg und Techniken.</w:t>
      </w:r>
    </w:p>
    <w:p>
      <w:pPr>
        <w:pStyle w:val="Compact"/>
        <w:numPr>
          <w:ilvl w:val="0"/>
          <w:numId w:val="1001"/>
        </w:numPr>
      </w:pPr>
      <w:hyperlink w:anchor="teil-4-vorgehensmodell">
        <w:r>
          <w:rPr>
            <w:rStyle w:val="Hyperlink"/>
            <w:b/>
            <w:bCs/>
          </w:rPr>
          <w:t xml:space="preserve">Teil 4: Vorgehensmodell</w:t>
        </w:r>
      </w:hyperlink>
      <w:r>
        <w:t xml:space="preserve"> </w:t>
      </w:r>
      <w:r>
        <w:t xml:space="preserve">(Kap. 7–8): Gesprächsablauf der ersten zwei Sitzungen, Ziele, Fortschritt und Messung.</w:t>
      </w:r>
    </w:p>
    <w:p>
      <w:pPr>
        <w:pStyle w:val="Compact"/>
        <w:numPr>
          <w:ilvl w:val="0"/>
          <w:numId w:val="1001"/>
        </w:numPr>
      </w:pPr>
      <w:hyperlink w:anchor="teil-5-zielgruppen-und-schnittstellen">
        <w:r>
          <w:rPr>
            <w:rStyle w:val="Hyperlink"/>
            <w:b/>
            <w:bCs/>
          </w:rPr>
          <w:t xml:space="preserve">Teil 5: Zielgruppen und Schnittstellen</w:t>
        </w:r>
      </w:hyperlink>
      <w:r>
        <w:t xml:space="preserve"> </w:t>
      </w:r>
      <w:r>
        <w:t xml:space="preserve">(Kap. 9–11): Erste Schritte für Betroffene, Angehörige sowie Arbeitgebende und Ausbildende.</w:t>
      </w:r>
    </w:p>
    <w:p>
      <w:pPr>
        <w:pStyle w:val="Compact"/>
        <w:numPr>
          <w:ilvl w:val="0"/>
          <w:numId w:val="1001"/>
        </w:numPr>
      </w:pPr>
      <w:hyperlink w:anchor="teil-6-triage-und-krisen">
        <w:r>
          <w:rPr>
            <w:rStyle w:val="Hyperlink"/>
            <w:b/>
            <w:bCs/>
          </w:rPr>
          <w:t xml:space="preserve">Teil 6: Triage und Krisen</w:t>
        </w:r>
      </w:hyperlink>
      <w:r>
        <w:t xml:space="preserve"> </w:t>
      </w:r>
      <w:r>
        <w:t xml:space="preserve">(Kap. 12–13): Wer detaillierter berät, Angebote und Kosten, Vorgehen bei Suizidalität.</w:t>
      </w:r>
    </w:p>
    <w:p>
      <w:pPr>
        <w:pStyle w:val="Compact"/>
        <w:numPr>
          <w:ilvl w:val="0"/>
          <w:numId w:val="1001"/>
        </w:numPr>
      </w:pPr>
      <w:hyperlink w:anchor="teil-7-anhang-und-offene-punkte">
        <w:r>
          <w:rPr>
            <w:rStyle w:val="Hyperlink"/>
            <w:b/>
            <w:bCs/>
          </w:rPr>
          <w:t xml:space="preserve">Teil 7: Anhang und offene Punkte</w:t>
        </w:r>
      </w:hyperlink>
      <w:r>
        <w:t xml:space="preserve"> </w:t>
      </w:r>
      <w:r>
        <w:t xml:space="preserve">(Kap. 14–16): Grafiken, Quellen und offene Punkte vor dem Einsatz.</w:t>
      </w:r>
    </w:p>
    <w:p>
      <w:pPr>
        <w:pStyle w:val="FirstParagraph"/>
      </w:pPr>
      <w:r>
        <w:rPr>
          <w:b/>
          <w:bCs/>
        </w:rPr>
        <w:t xml:space="preserve">Einstieg nach Rolle</w:t>
      </w:r>
    </w:p>
    <w:p>
      <w:pPr>
        <w:pStyle w:val="Compact"/>
        <w:numPr>
          <w:ilvl w:val="0"/>
          <w:numId w:val="1002"/>
        </w:numPr>
      </w:pPr>
      <w:r>
        <w:t xml:space="preserve">Betroffene: Kap. 3, 9</w:t>
      </w:r>
    </w:p>
    <w:p>
      <w:pPr>
        <w:pStyle w:val="Compact"/>
        <w:numPr>
          <w:ilvl w:val="0"/>
          <w:numId w:val="1002"/>
        </w:numPr>
      </w:pPr>
      <w:r>
        <w:t xml:space="preserve">Angehörige: Kap. 10</w:t>
      </w:r>
    </w:p>
    <w:p>
      <w:pPr>
        <w:pStyle w:val="Compact"/>
        <w:numPr>
          <w:ilvl w:val="0"/>
          <w:numId w:val="1002"/>
        </w:numPr>
      </w:pPr>
      <w:r>
        <w:t xml:space="preserve">Arbeitgebende, Ausbildende: Kap. 11</w:t>
      </w:r>
    </w:p>
    <w:p>
      <w:pPr>
        <w:pStyle w:val="Compact"/>
        <w:numPr>
          <w:ilvl w:val="0"/>
          <w:numId w:val="1002"/>
        </w:numPr>
      </w:pPr>
      <w:r>
        <w:t xml:space="preserve">Beratende: Kap. 6, 7, 8, 12</w:t>
      </w:r>
    </w:p>
    <w:p>
      <w:pPr>
        <w:pStyle w:val="Compact"/>
        <w:numPr>
          <w:ilvl w:val="0"/>
          <w:numId w:val="1002"/>
        </w:numPr>
      </w:pPr>
      <w:r>
        <w:t xml:space="preserve">Kooperationspartner: Kap. 12</w:t>
      </w:r>
    </w:p>
    <w:p>
      <w:r>
        <w:pict>
          <v:rect style="width:0;height:1.5pt" o:hralign="center" o:hrstd="t" o:hr="t"/>
        </w:pict>
      </w:r>
    </w:p>
    <w:bookmarkEnd w:id="20"/>
    <w:bookmarkStart w:id="26" w:name="teil-1-zielstellung-und-geltungsbereich"/>
    <w:p>
      <w:pPr>
        <w:pStyle w:val="Heading2"/>
      </w:pPr>
      <w:r>
        <w:t xml:space="preserve">Teil 1: Zielstellung und Geltungsbereich</w:t>
      </w:r>
    </w:p>
    <w:p>
      <w:pPr>
        <w:pStyle w:val="FirstParagraph"/>
      </w:pPr>
      <w:r>
        <w:rPr>
          <w:b/>
          <w:bCs/>
        </w:rPr>
        <w:t xml:space="preserve">Inhalt dieses Teils</w:t>
      </w:r>
    </w:p>
    <w:p>
      <w:pPr>
        <w:pStyle w:val="Compact"/>
        <w:numPr>
          <w:ilvl w:val="0"/>
          <w:numId w:val="1003"/>
        </w:numPr>
      </w:pPr>
      <w:hyperlink w:anchor="X4021677b5a6f1c85088c528b551b8ec8cde2d98">
        <w:r>
          <w:rPr>
            <w:rStyle w:val="Hyperlink"/>
          </w:rPr>
          <w:t xml:space="preserve">0. Zweck, Geltungsbereich, Nutzung</w:t>
        </w:r>
      </w:hyperlink>
    </w:p>
    <w:p>
      <w:pPr>
        <w:pStyle w:val="Compact"/>
        <w:numPr>
          <w:ilvl w:val="1"/>
          <w:numId w:val="1004"/>
        </w:numPr>
      </w:pPr>
      <w:hyperlink w:anchor="Xa4f08283ea136d576246f61a648aed2f97475eb">
        <w:r>
          <w:rPr>
            <w:rStyle w:val="Hyperlink"/>
          </w:rPr>
          <w:t xml:space="preserve">0.1 Zweck</w:t>
        </w:r>
      </w:hyperlink>
    </w:p>
    <w:p>
      <w:pPr>
        <w:pStyle w:val="Compact"/>
        <w:numPr>
          <w:ilvl w:val="1"/>
          <w:numId w:val="1004"/>
        </w:numPr>
      </w:pPr>
      <w:hyperlink w:anchor="X8899c267a9c41e20dd5bde385dd3379167258ac">
        <w:r>
          <w:rPr>
            <w:rStyle w:val="Hyperlink"/>
          </w:rPr>
          <w:t xml:space="preserve">0.2 Geltungsbereich</w:t>
        </w:r>
      </w:hyperlink>
    </w:p>
    <w:p>
      <w:pPr>
        <w:pStyle w:val="Compact"/>
        <w:numPr>
          <w:ilvl w:val="1"/>
          <w:numId w:val="1004"/>
        </w:numPr>
      </w:pPr>
      <w:hyperlink w:anchor="Xf5a99b9aaaf9045dee402706b4f7eb1689db237">
        <w:r>
          <w:rPr>
            <w:rStyle w:val="Hyperlink"/>
          </w:rPr>
          <w:t xml:space="preserve">0.3 Persona und Stakeholder</w:t>
        </w:r>
      </w:hyperlink>
    </w:p>
    <w:p>
      <w:pPr>
        <w:pStyle w:val="Compact"/>
        <w:numPr>
          <w:ilvl w:val="1"/>
          <w:numId w:val="1004"/>
        </w:numPr>
      </w:pPr>
      <w:hyperlink w:anchor="Xb82d5f93566f6f5f9cb6ffedb43f46f229af6ba">
        <w:r>
          <w:rPr>
            <w:rStyle w:val="Hyperlink"/>
          </w:rPr>
          <w:t xml:space="preserve">0.4 Marker im Text</w:t>
        </w:r>
      </w:hyperlink>
    </w:p>
    <w:bookmarkStart w:id="25" w:name="X4021677b5a6f1c85088c528b551b8ec8cde2d98"/>
    <w:p>
      <w:pPr>
        <w:pStyle w:val="Heading3"/>
      </w:pPr>
      <w:r>
        <w:t xml:space="preserve">0. Zweck, Geltungsbereich, Nutzung</w:t>
      </w:r>
    </w:p>
    <w:bookmarkStart w:id="21" w:name="Xa4f08283ea136d576246f61a648aed2f97475eb"/>
    <w:p>
      <w:pPr>
        <w:pStyle w:val="Heading4"/>
      </w:pPr>
      <w:r>
        <w:t xml:space="preserve">0.1 Zweck</w:t>
      </w:r>
    </w:p>
    <w:p>
      <w:pPr>
        <w:pStyle w:val="FirstParagraph"/>
      </w:pPr>
      <w:r>
        <w:t xml:space="preserve">Der Leitfaden gibt Beratenden Sicherheit in der Arbeit mit Verhaltenssüchten. Er zeigt den bio-psycho-sozialen Kontext der Klientinnen und Klienten, erleichtert die Psychoedukation und unterstützt fundierte Beratung. Er ist ein Gerüst aus Bausteinen, kein starres Programm. Die Form übernimmt er vom Konzept ambulanter Alkoholentzug.</w:t>
      </w:r>
    </w:p>
    <w:bookmarkEnd w:id="21"/>
    <w:bookmarkStart w:id="22" w:name="X8899c267a9c41e20dd5bde385dd3379167258ac"/>
    <w:p>
      <w:pPr>
        <w:pStyle w:val="Heading4"/>
      </w:pPr>
      <w:r>
        <w:t xml:space="preserve">0.2 Geltungsbereich</w:t>
      </w:r>
    </w:p>
    <w:tbl>
      <w:tblPr>
        <w:tblStyle w:val="Table"/>
        <w:tblW w:type="auto" w:w="0"/>
        <w:tblLook w:firstRow="1" w:lastRow="0" w:firstColumn="0" w:lastColumn="0" w:noHBand="0" w:noVBand="0" w:val="0020"/>
      </w:tblPr>
      <w:tblGrid>
        <w:gridCol w:w="3960"/>
        <w:gridCol w:w="3960"/>
      </w:tblGrid>
      <w:tr>
        <w:trPr>
          <w:tblHeader w:val="on"/>
        </w:trPr>
        <w:tc>
          <w:tcPr>
            <w:shd w:val="clear" w:color="auto" w:fill="1A2B4C"/>
          </w:tcPr>
          <w:tcPr/>
          <w:p>
            <w:pPr>
              <w:pStyle w:val="Compact"/>
            </w:pPr>
            <w:r>
              <w:rPr>
                <w:b/>
                <w:color w:val="FFFFFF"/>
                <w:b/>
                <w:color w:val="FFFFFF"/>
              </w:rPr>
              <w:t xml:space="preserve">Punkt</w:t>
            </w:r>
          </w:p>
        </w:tc>
        <w:tc>
          <w:tcPr>
            <w:shd w:val="clear" w:color="auto" w:fill="1A2B4C"/>
          </w:tcPr>
          <w:tcPr/>
          <w:p>
            <w:pPr>
              <w:pStyle w:val="Compact"/>
            </w:pPr>
            <w:r>
              <w:rPr>
                <w:b/>
                <w:color w:val="FFFFFF"/>
                <w:b/>
                <w:color w:val="FFFFFF"/>
              </w:rPr>
              <w:t xml:space="preserve">Festlegung</w:t>
            </w:r>
          </w:p>
        </w:tc>
      </w:tr>
      <w:tr>
        <w:tc>
          <w:tcPr/>
          <w:p>
            <w:pPr>
              <w:pStyle w:val="Compact"/>
            </w:pPr>
            <w:r>
              <w:t xml:space="preserve">Zielgruppe</w:t>
            </w:r>
          </w:p>
        </w:tc>
        <w:tc>
          <w:tcPr/>
          <w:p>
            <w:pPr>
              <w:pStyle w:val="Compact"/>
            </w:pPr>
            <w:r>
              <w:t xml:space="preserve">Volljährige Einwohnerinnen und Einwohner des Einzugsgebiets SDS und des Fürstentums Liechtenstein (FL)</w:t>
            </w:r>
          </w:p>
        </w:tc>
      </w:tr>
      <w:tr>
        <w:tc>
          <w:tcPr/>
          <w:p>
            <w:pPr>
              <w:pStyle w:val="Compact"/>
            </w:pPr>
            <w:r>
              <w:t xml:space="preserve">Adressaten des Angebots</w:t>
            </w:r>
          </w:p>
        </w:tc>
        <w:tc>
          <w:tcPr/>
          <w:p>
            <w:pPr>
              <w:pStyle w:val="Compact"/>
            </w:pPr>
            <w:r>
              <w:t xml:space="preserve">Betroffene, Angehörige, Arbeitgebende, Ausbildende. Das Angebot ist kostenlos</w:t>
            </w:r>
          </w:p>
        </w:tc>
      </w:tr>
      <w:tr>
        <w:tc>
          <w:tcPr/>
          <w:p>
            <w:pPr>
              <w:pStyle w:val="Compact"/>
            </w:pPr>
            <w:r>
              <w:t xml:space="preserve">Einbezogene Verhaltenssüchte</w:t>
            </w:r>
          </w:p>
        </w:tc>
        <w:tc>
          <w:tcPr/>
          <w:p>
            <w:pPr>
              <w:pStyle w:val="Compact"/>
            </w:pPr>
            <w:r>
              <w:t xml:space="preserve">Kaufsucht, Arbeitssucht, Sex- und Pornografiesucht, Sportsucht (mit Hinweis Muskeldysmorphie), weitere Formen</w:t>
            </w:r>
          </w:p>
        </w:tc>
      </w:tr>
      <w:tr>
        <w:tc>
          <w:tcPr/>
          <w:p>
            <w:pPr>
              <w:pStyle w:val="Compact"/>
            </w:pPr>
            <w:r>
              <w:t xml:space="preserve">Ausgeschlossen</w:t>
            </w:r>
          </w:p>
        </w:tc>
        <w:tc>
          <w:tcPr/>
          <w:p>
            <w:pPr>
              <w:pStyle w:val="Compact"/>
            </w:pPr>
            <w:r>
              <w:t xml:space="preserve">Glücksspiel (Beratung für Sarganserland durch die SD Werdenberg), Computerspiel-, Internet- und Mediensucht (eigener Leitfaden)</w:t>
            </w:r>
          </w:p>
        </w:tc>
      </w:tr>
      <w:tr>
        <w:tc>
          <w:tcPr/>
          <w:p>
            <w:pPr>
              <w:pStyle w:val="Compact"/>
            </w:pPr>
            <w:r>
              <w:t xml:space="preserve">Abgrenzung</w:t>
            </w:r>
          </w:p>
        </w:tc>
        <w:tc>
          <w:tcPr/>
          <w:p>
            <w:pPr>
              <w:pStyle w:val="Compact"/>
            </w:pPr>
            <w:r>
              <w:t xml:space="preserve">Keine psychotherapeutische Behandlung (Kap. 6.2)</w:t>
            </w:r>
          </w:p>
        </w:tc>
      </w:tr>
      <w:tr>
        <w:tc>
          <w:tcPr/>
          <w:p>
            <w:pPr>
              <w:pStyle w:val="Compact"/>
            </w:pPr>
            <w:r>
              <w:t xml:space="preserve">Grenzfall</w:t>
            </w:r>
          </w:p>
        </w:tc>
        <w:tc>
          <w:tcPr/>
          <w:p>
            <w:pPr>
              <w:pStyle w:val="Compact"/>
            </w:pPr>
            <w:r>
              <w:t xml:space="preserve">Pornografie ist meist online, gehört fachlich aber zur zwanghaften Sexualverhaltensstörung. Sie wird hier behandelt. Social Media, Gaming und Streaming verweisen auf den Mediensucht-Leitfaden [Vorschlag]</w:t>
            </w:r>
          </w:p>
        </w:tc>
      </w:tr>
    </w:tbl>
    <w:bookmarkEnd w:id="22"/>
    <w:bookmarkStart w:id="23" w:name="Xf5a99b9aaaf9045dee402706b4f7eb1689db237"/>
    <w:p>
      <w:pPr>
        <w:pStyle w:val="Heading4"/>
      </w:pPr>
      <w:r>
        <w:t xml:space="preserve">0.3 Persona und Stakeholder</w:t>
      </w:r>
    </w:p>
    <w:p>
      <w:pPr>
        <w:pStyle w:val="FirstParagraph"/>
      </w:pPr>
      <w:r>
        <w:rPr>
          <w:b/>
          <w:bCs/>
        </w:rPr>
        <w:t xml:space="preserve">Persona Beratende:</w:t>
      </w:r>
      <w:r>
        <w:t xml:space="preserve"> </w:t>
      </w:r>
      <w:r>
        <w:t xml:space="preserve">Sozialarbeitende mit Erfahrung im Suchtbereich. Beratung zu den regulären Öffnungszeiten. Enge Kooperation mit Dritten ist ausdrücklich gewünscht (Hausärztinnen und Hausärzte, psychiatrische Institutionen, Kliniken, Spitäler, Spitex, Pro Infirmis, andere Fachstellen). Regelmässiger Austausch mit anderen Suchtberatungsstellen, Intervision, Fallbesprechungen und Einzelsupervision gehören zum Alltag. Der Leitfaden richtet sich auch an neue Mitarbeitende und Auszubildende.</w:t>
      </w:r>
    </w:p>
    <w:tbl>
      <w:tblPr>
        <w:tblStyle w:val="Table"/>
        <w:tblW w:type="auto" w:w="0"/>
        <w:tblLook w:firstRow="1" w:lastRow="0" w:firstColumn="0" w:lastColumn="0" w:noHBand="0" w:noVBand="0" w:val="0020"/>
      </w:tblPr>
      <w:tblGrid>
        <w:gridCol w:w="2640"/>
        <w:gridCol w:w="2640"/>
        <w:gridCol w:w="2640"/>
      </w:tblGrid>
      <w:tr>
        <w:trPr>
          <w:tblHeader w:val="on"/>
        </w:trPr>
        <w:tc>
          <w:tcPr>
            <w:shd w:val="clear" w:color="auto" w:fill="1A2B4C"/>
          </w:tcPr>
          <w:tcPr/>
          <w:p>
            <w:pPr>
              <w:pStyle w:val="Compact"/>
            </w:pPr>
            <w:r>
              <w:rPr>
                <w:b/>
                <w:color w:val="FFFFFF"/>
                <w:b/>
                <w:color w:val="FFFFFF"/>
              </w:rPr>
              <w:t xml:space="preserve">Stakeholder</w:t>
            </w:r>
          </w:p>
        </w:tc>
        <w:tc>
          <w:tcPr>
            <w:shd w:val="clear" w:color="auto" w:fill="1A2B4C"/>
          </w:tcPr>
          <w:tcPr/>
          <w:p>
            <w:pPr>
              <w:pStyle w:val="Compact"/>
            </w:pPr>
            <w:r>
              <w:rPr>
                <w:b/>
                <w:color w:val="FFFFFF"/>
                <w:b/>
                <w:color w:val="FFFFFF"/>
              </w:rPr>
              <w:t xml:space="preserve">Was sie brauchen</w:t>
            </w:r>
          </w:p>
        </w:tc>
        <w:tc>
          <w:tcPr>
            <w:shd w:val="clear" w:color="auto" w:fill="1A2B4C"/>
          </w:tcPr>
          <w:tcPr/>
          <w:p>
            <w:pPr>
              <w:pStyle w:val="Compact"/>
            </w:pPr>
            <w:r>
              <w:rPr>
                <w:b/>
                <w:color w:val="FFFFFF"/>
                <w:b/>
                <w:color w:val="FFFFFF"/>
              </w:rPr>
              <w:t xml:space="preserve">Kapitel</w:t>
            </w:r>
          </w:p>
        </w:tc>
      </w:tr>
      <w:tr>
        <w:tc>
          <w:tcPr/>
          <w:p>
            <w:pPr>
              <w:pStyle w:val="Compact"/>
            </w:pPr>
            <w:r>
              <w:t xml:space="preserve">Betroffene</w:t>
            </w:r>
          </w:p>
        </w:tc>
        <w:tc>
          <w:tcPr/>
          <w:p>
            <w:pPr>
              <w:pStyle w:val="Compact"/>
            </w:pPr>
            <w:r>
              <w:t xml:space="preserve">Entlastung vom Stigma, verständliche erste Schritte, Orientierung zum Weg</w:t>
            </w:r>
          </w:p>
        </w:tc>
        <w:tc>
          <w:tcPr/>
          <w:p>
            <w:pPr>
              <w:pStyle w:val="Compact"/>
            </w:pPr>
            <w:r>
              <w:t xml:space="preserve">3, 9, 14 (Anhang)</w:t>
            </w:r>
          </w:p>
        </w:tc>
      </w:tr>
      <w:tr>
        <w:tc>
          <w:tcPr/>
          <w:p>
            <w:pPr>
              <w:pStyle w:val="Compact"/>
            </w:pPr>
            <w:r>
              <w:t xml:space="preserve">Angehörige</w:t>
            </w:r>
          </w:p>
        </w:tc>
        <w:tc>
          <w:tcPr/>
          <w:p>
            <w:pPr>
              <w:pStyle w:val="Compact"/>
            </w:pPr>
            <w:r>
              <w:t xml:space="preserve">Belastung einordnen, nicht-konfrontativ handeln, eigene Grenzen, finanzielle Verflechtung</w:t>
            </w:r>
          </w:p>
        </w:tc>
        <w:tc>
          <w:tcPr/>
          <w:p>
            <w:pPr>
              <w:pStyle w:val="Compact"/>
            </w:pPr>
            <w:r>
              <w:t xml:space="preserve">10</w:t>
            </w:r>
          </w:p>
        </w:tc>
      </w:tr>
      <w:tr>
        <w:tc>
          <w:tcPr/>
          <w:p>
            <w:pPr>
              <w:pStyle w:val="Compact"/>
            </w:pPr>
            <w:r>
              <w:t xml:space="preserve">Arbeitgebende, Ausbildende</w:t>
            </w:r>
          </w:p>
        </w:tc>
        <w:tc>
          <w:tcPr/>
          <w:p>
            <w:pPr>
              <w:pStyle w:val="Compact"/>
            </w:pPr>
            <w:r>
              <w:t xml:space="preserve">Auffälligkeiten erkennen, Gesprächsführung, Rolle und Grenzen</w:t>
            </w:r>
          </w:p>
        </w:tc>
        <w:tc>
          <w:tcPr/>
          <w:p>
            <w:pPr>
              <w:pStyle w:val="Compact"/>
            </w:pPr>
            <w:r>
              <w:t xml:space="preserve">11</w:t>
            </w:r>
          </w:p>
        </w:tc>
      </w:tr>
      <w:tr>
        <w:tc>
          <w:tcPr/>
          <w:p>
            <w:pPr>
              <w:pStyle w:val="Compact"/>
            </w:pPr>
            <w:r>
              <w:t xml:space="preserve">Beratende (neu und erfahren)</w:t>
            </w:r>
          </w:p>
        </w:tc>
        <w:tc>
          <w:tcPr/>
          <w:p>
            <w:pPr>
              <w:pStyle w:val="Compact"/>
            </w:pPr>
            <w:r>
              <w:t xml:space="preserve">Abfrageschema, Techniken, Grenze zur Psychotherapie, Triage</w:t>
            </w:r>
          </w:p>
        </w:tc>
        <w:tc>
          <w:tcPr/>
          <w:p>
            <w:pPr>
              <w:pStyle w:val="Compact"/>
            </w:pPr>
            <w:r>
              <w:t xml:space="preserve">6, 7, 8, 12</w:t>
            </w:r>
          </w:p>
        </w:tc>
      </w:tr>
      <w:tr>
        <w:tc>
          <w:tcPr/>
          <w:p>
            <w:pPr>
              <w:pStyle w:val="Compact"/>
            </w:pPr>
            <w:r>
              <w:t xml:space="preserve">Kooperationspartner</w:t>
            </w:r>
          </w:p>
        </w:tc>
        <w:tc>
          <w:tcPr/>
          <w:p>
            <w:pPr>
              <w:pStyle w:val="Compact"/>
            </w:pPr>
            <w:r>
              <w:t xml:space="preserve">Klare Überweisungskriterien, Einwilligung, Rückmeldung</w:t>
            </w:r>
          </w:p>
        </w:tc>
        <w:tc>
          <w:tcPr/>
          <w:p>
            <w:pPr>
              <w:pStyle w:val="Compact"/>
            </w:pPr>
            <w:r>
              <w:t xml:space="preserve">12</w:t>
            </w:r>
          </w:p>
        </w:tc>
      </w:tr>
      <w:tr>
        <w:tc>
          <w:tcPr/>
          <w:p>
            <w:pPr>
              <w:pStyle w:val="Compact"/>
            </w:pPr>
            <w:r>
              <w:t xml:space="preserve">Träger (SDS) und Region (SG, FL)</w:t>
            </w:r>
          </w:p>
        </w:tc>
        <w:tc>
          <w:tcPr/>
          <w:p>
            <w:pPr>
              <w:pStyle w:val="Compact"/>
            </w:pPr>
            <w:r>
              <w:t xml:space="preserve">Zuständigkeit, Kosten, Abgrenzung zu Glücksspiel und Medien</w:t>
            </w:r>
          </w:p>
        </w:tc>
        <w:tc>
          <w:tcPr/>
          <w:p>
            <w:pPr>
              <w:pStyle w:val="Compact"/>
            </w:pPr>
            <w:r>
              <w:t xml:space="preserve">0, 12</w:t>
            </w:r>
          </w:p>
        </w:tc>
      </w:tr>
    </w:tbl>
    <w:p>
      <w:pPr>
        <w:pStyle w:val="BodyText"/>
      </w:pPr>
      <w:r>
        <w:t xml:space="preserve">Grafik G6 (Stakeholder-Karte): siehe Kap. 14.</w:t>
      </w:r>
    </w:p>
    <w:bookmarkEnd w:id="23"/>
    <w:bookmarkStart w:id="24" w:name="Xb82d5f93566f6f5f9cb6ffedb43f46f229af6ba"/>
    <w:p>
      <w:pPr>
        <w:pStyle w:val="Heading4"/>
      </w:pPr>
      <w:r>
        <w:t xml:space="preserve">0.4 Marker im Text</w:t>
      </w:r>
    </w:p>
    <w:tbl>
      <w:tblPr>
        <w:tblStyle w:val="Table"/>
        <w:tblW w:type="auto" w:w="0"/>
        <w:tblLook w:firstRow="1" w:lastRow="0" w:firstColumn="0" w:lastColumn="0" w:noHBand="0" w:noVBand="0" w:val="0020"/>
      </w:tblPr>
      <w:tblGrid>
        <w:gridCol w:w="3960"/>
        <w:gridCol w:w="3960"/>
      </w:tblGrid>
      <w:tr>
        <w:trPr>
          <w:tblHeader w:val="on"/>
        </w:trPr>
        <w:tc>
          <w:tcPr>
            <w:shd w:val="clear" w:color="auto" w:fill="1A2B4C"/>
          </w:tcPr>
          <w:tcPr/>
          <w:p>
            <w:pPr>
              <w:pStyle w:val="Compact"/>
            </w:pPr>
            <w:r>
              <w:rPr>
                <w:b/>
                <w:color w:val="FFFFFF"/>
                <w:b/>
                <w:color w:val="FFFFFF"/>
              </w:rPr>
              <w:t xml:space="preserve">Marker</w:t>
            </w:r>
          </w:p>
        </w:tc>
        <w:tc>
          <w:tcPr>
            <w:shd w:val="clear" w:color="auto" w:fill="1A2B4C"/>
          </w:tcPr>
          <w:tcPr/>
          <w:p>
            <w:pPr>
              <w:pStyle w:val="Compact"/>
            </w:pPr>
            <w:r>
              <w:rPr>
                <w:b/>
                <w:color w:val="FFFFFF"/>
                <w:b/>
                <w:color w:val="FFFFFF"/>
              </w:rPr>
              <w:t xml:space="preserve">Bedeutung</w:t>
            </w:r>
          </w:p>
        </w:tc>
      </w:tr>
      <w:tr>
        <w:tc>
          <w:tcPr/>
          <w:p>
            <w:pPr>
              <w:pStyle w:val="Compact"/>
            </w:pPr>
            <w:r>
              <w:t xml:space="preserve">(Q: Name)</w:t>
            </w:r>
          </w:p>
        </w:tc>
        <w:tc>
          <w:tcPr/>
          <w:p>
            <w:pPr>
              <w:pStyle w:val="Compact"/>
            </w:pPr>
            <w:r>
              <w:t xml:space="preserve">In einer recherchierten Quelle belegt, in eigenen Worten wiedergegeben. Quellen: Kap. 15</w:t>
            </w:r>
          </w:p>
        </w:tc>
      </w:tr>
      <w:tr>
        <w:tc>
          <w:tcPr/>
          <w:p>
            <w:pPr>
              <w:pStyle w:val="Compact"/>
            </w:pPr>
            <w:r>
              <w:t xml:space="preserve">[Vorschlag]</w:t>
            </w:r>
          </w:p>
        </w:tc>
        <w:tc>
          <w:tcPr/>
          <w:p>
            <w:pPr>
              <w:pStyle w:val="Compact"/>
            </w:pPr>
            <w:r>
              <w:t xml:space="preserve">Gestaltungsvorschlag, kein Beleg, Entscheid beim Team</w:t>
            </w:r>
          </w:p>
        </w:tc>
      </w:tr>
      <w:tr>
        <w:tc>
          <w:tcPr/>
          <w:p>
            <w:pPr>
              <w:pStyle w:val="Compact"/>
            </w:pPr>
            <w:r>
              <w:t xml:space="preserve">[eigenes Wissen]</w:t>
            </w:r>
          </w:p>
        </w:tc>
        <w:tc>
          <w:tcPr/>
          <w:p>
            <w:pPr>
              <w:pStyle w:val="Compact"/>
            </w:pPr>
            <w:r>
              <w:t xml:space="preserve">Fachlich geläufig, nicht durch Quelle geprüft, vor Verwendung verifizieren</w:t>
            </w:r>
          </w:p>
        </w:tc>
      </w:tr>
      <w:tr>
        <w:tc>
          <w:tcPr/>
          <w:p>
            <w:pPr>
              <w:pStyle w:val="Compact"/>
            </w:pPr>
            <w:r>
              <w:t xml:space="preserve">[Lücke]</w:t>
            </w:r>
          </w:p>
        </w:tc>
        <w:tc>
          <w:tcPr/>
          <w:p>
            <w:pPr>
              <w:pStyle w:val="Compact"/>
            </w:pPr>
            <w:r>
              <w:t xml:space="preserve">Nicht recherchiert oder nicht auffindbar</w:t>
            </w:r>
          </w:p>
        </w:tc>
      </w:tr>
    </w:tbl>
    <w:p>
      <w:r>
        <w:pict>
          <v:rect style="width:0;height:1.5pt" o:hralign="center" o:hrstd="t" o:hr="t"/>
        </w:pict>
      </w:r>
    </w:p>
    <w:bookmarkEnd w:id="24"/>
    <w:bookmarkEnd w:id="25"/>
    <w:bookmarkEnd w:id="26"/>
    <w:bookmarkStart w:id="49" w:name="teil-2-grundlegende-informationen"/>
    <w:p>
      <w:pPr>
        <w:pStyle w:val="Heading2"/>
      </w:pPr>
      <w:r>
        <w:t xml:space="preserve">Teil 2: Grundlegende Informationen</w:t>
      </w:r>
    </w:p>
    <w:p>
      <w:pPr>
        <w:pStyle w:val="FirstParagraph"/>
      </w:pPr>
      <w:r>
        <w:rPr>
          <w:b/>
          <w:bCs/>
        </w:rPr>
        <w:t xml:space="preserve">Inhalt dieses Teils</w:t>
      </w:r>
    </w:p>
    <w:p>
      <w:pPr>
        <w:pStyle w:val="Compact"/>
        <w:numPr>
          <w:ilvl w:val="0"/>
          <w:numId w:val="1005"/>
        </w:numPr>
      </w:pPr>
      <w:hyperlink w:anchor="X4ef3e37779ee3f3fec70d0247e2f85bfe3a65c1">
        <w:r>
          <w:rPr>
            <w:rStyle w:val="Hyperlink"/>
          </w:rPr>
          <w:t xml:space="preserve">1. Was ist eine Verhaltenssucht?</w:t>
        </w:r>
      </w:hyperlink>
    </w:p>
    <w:p>
      <w:pPr>
        <w:pStyle w:val="Compact"/>
        <w:numPr>
          <w:ilvl w:val="1"/>
          <w:numId w:val="1006"/>
        </w:numPr>
      </w:pPr>
      <w:hyperlink w:anchor="Xc73dcc17d80fd5af936d837cce74d4201ffc1f8">
        <w:r>
          <w:rPr>
            <w:rStyle w:val="Hyperlink"/>
          </w:rPr>
          <w:t xml:space="preserve">1.1 Arbeitsdefinition</w:t>
        </w:r>
      </w:hyperlink>
    </w:p>
    <w:p>
      <w:pPr>
        <w:pStyle w:val="Compact"/>
        <w:numPr>
          <w:ilvl w:val="1"/>
          <w:numId w:val="1006"/>
        </w:numPr>
      </w:pPr>
      <w:hyperlink w:anchor="X06c31b8de008f4670ad6c771dd3676aa52abb0c">
        <w:r>
          <w:rPr>
            <w:rStyle w:val="Hyperlink"/>
          </w:rPr>
          <w:t xml:space="preserve">1.2 Klassifikation: ICD-10 und ICD-11</w:t>
        </w:r>
      </w:hyperlink>
    </w:p>
    <w:p>
      <w:pPr>
        <w:pStyle w:val="Compact"/>
        <w:numPr>
          <w:ilvl w:val="0"/>
          <w:numId w:val="1005"/>
        </w:numPr>
      </w:pPr>
      <w:hyperlink w:anchor="X6c9b51f334324bd98140d6125f2fad516c46bf6">
        <w:r>
          <w:rPr>
            <w:rStyle w:val="Hyperlink"/>
          </w:rPr>
          <w:t xml:space="preserve">2. Welche Verhaltenssüchte gibt es?</w:t>
        </w:r>
      </w:hyperlink>
    </w:p>
    <w:p>
      <w:pPr>
        <w:pStyle w:val="Compact"/>
        <w:numPr>
          <w:ilvl w:val="1"/>
          <w:numId w:val="1007"/>
        </w:numPr>
      </w:pPr>
      <w:hyperlink w:anchor="X4e0a2e683ad22e473e755476a3e2c4b16201aef">
        <w:r>
          <w:rPr>
            <w:rStyle w:val="Hyperlink"/>
          </w:rPr>
          <w:t xml:space="preserve">2.1 Übersicht</w:t>
        </w:r>
      </w:hyperlink>
    </w:p>
    <w:p>
      <w:pPr>
        <w:pStyle w:val="Compact"/>
        <w:numPr>
          <w:ilvl w:val="1"/>
          <w:numId w:val="1007"/>
        </w:numPr>
      </w:pPr>
      <w:hyperlink w:anchor="X49f6464790b335ef0f1f4580e51d73fe023455d">
        <w:r>
          <w:rPr>
            <w:rStyle w:val="Hyperlink"/>
          </w:rPr>
          <w:t xml:space="preserve">2.2 Steckbrief Kaufsucht</w:t>
        </w:r>
      </w:hyperlink>
    </w:p>
    <w:p>
      <w:pPr>
        <w:pStyle w:val="Compact"/>
        <w:numPr>
          <w:ilvl w:val="1"/>
          <w:numId w:val="1007"/>
        </w:numPr>
      </w:pPr>
      <w:hyperlink w:anchor="Xb75c1d266afb94b5cbd3be7df8031c8e1b365a8">
        <w:r>
          <w:rPr>
            <w:rStyle w:val="Hyperlink"/>
          </w:rPr>
          <w:t xml:space="preserve">2.3 Steckbrief Arbeitssucht</w:t>
        </w:r>
      </w:hyperlink>
    </w:p>
    <w:p>
      <w:pPr>
        <w:pStyle w:val="Compact"/>
        <w:numPr>
          <w:ilvl w:val="1"/>
          <w:numId w:val="1007"/>
        </w:numPr>
      </w:pPr>
      <w:hyperlink w:anchor="Xce7673ce272b7b0f652218e4d5c092e4942d885">
        <w:r>
          <w:rPr>
            <w:rStyle w:val="Hyperlink"/>
          </w:rPr>
          <w:t xml:space="preserve">2.4 Steckbrief Sex- und Pornografiesucht (CSBD)</w:t>
        </w:r>
      </w:hyperlink>
    </w:p>
    <w:p>
      <w:pPr>
        <w:pStyle w:val="Compact"/>
        <w:numPr>
          <w:ilvl w:val="1"/>
          <w:numId w:val="1007"/>
        </w:numPr>
      </w:pPr>
      <w:hyperlink w:anchor="X89e14f6b7cd21d37a115bb06b46b5cf775e111f">
        <w:r>
          <w:rPr>
            <w:rStyle w:val="Hyperlink"/>
          </w:rPr>
          <w:t xml:space="preserve">2.5 Steckbrief Sportsucht</w:t>
        </w:r>
      </w:hyperlink>
    </w:p>
    <w:p>
      <w:pPr>
        <w:pStyle w:val="Compact"/>
        <w:numPr>
          <w:ilvl w:val="1"/>
          <w:numId w:val="1007"/>
        </w:numPr>
      </w:pPr>
      <w:hyperlink w:anchor="X55f42b84a81aa7fe23e2a312ffeb92283ca5983">
        <w:r>
          <w:rPr>
            <w:rStyle w:val="Hyperlink"/>
          </w:rPr>
          <w:t xml:space="preserve">2.6 Kurzmodul weitere Formen</w:t>
        </w:r>
      </w:hyperlink>
    </w:p>
    <w:p>
      <w:pPr>
        <w:pStyle w:val="Compact"/>
        <w:numPr>
          <w:ilvl w:val="0"/>
          <w:numId w:val="1005"/>
        </w:numPr>
      </w:pPr>
      <w:hyperlink w:anchor="Xbe640882b1427643b0c61bc81fb1546b921c7b0">
        <w:r>
          <w:rPr>
            <w:rStyle w:val="Hyperlink"/>
          </w:rPr>
          <w:t xml:space="preserve">3. Stigma und Scham</w:t>
        </w:r>
      </w:hyperlink>
    </w:p>
    <w:p>
      <w:pPr>
        <w:pStyle w:val="Compact"/>
        <w:numPr>
          <w:ilvl w:val="1"/>
          <w:numId w:val="1008"/>
        </w:numPr>
      </w:pPr>
      <w:hyperlink w:anchor="Xd76f88d49a50a4ae810a08b8acb84ff69984128">
        <w:r>
          <w:rPr>
            <w:rStyle w:val="Hyperlink"/>
          </w:rPr>
          <w:t xml:space="preserve">3.1 Befund</w:t>
        </w:r>
      </w:hyperlink>
    </w:p>
    <w:p>
      <w:pPr>
        <w:pStyle w:val="Compact"/>
        <w:numPr>
          <w:ilvl w:val="1"/>
          <w:numId w:val="1008"/>
        </w:numPr>
      </w:pPr>
      <w:hyperlink w:anchor="X53fdac947548bdef61290df50139c12420f1f9a">
        <w:r>
          <w:rPr>
            <w:rStyle w:val="Hyperlink"/>
          </w:rPr>
          <w:t xml:space="preserve">3.2 Besondere Stigmata</w:t>
        </w:r>
      </w:hyperlink>
    </w:p>
    <w:p>
      <w:pPr>
        <w:pStyle w:val="Compact"/>
        <w:numPr>
          <w:ilvl w:val="1"/>
          <w:numId w:val="1008"/>
        </w:numPr>
      </w:pPr>
      <w:hyperlink w:anchor="Xacc2d62fd87b32a2c4898c88c23db9d4417b420">
        <w:r>
          <w:rPr>
            <w:rStyle w:val="Hyperlink"/>
          </w:rPr>
          <w:t xml:space="preserve">3.3 Haltung der Beratenden</w:t>
        </w:r>
      </w:hyperlink>
    </w:p>
    <w:p>
      <w:pPr>
        <w:pStyle w:val="Compact"/>
        <w:numPr>
          <w:ilvl w:val="0"/>
          <w:numId w:val="1005"/>
        </w:numPr>
      </w:pPr>
      <w:hyperlink w:anchor="Xfabbfc7831d4656f6d2d4612d7c17ce3cd0d9cf">
        <w:r>
          <w:rPr>
            <w:rStyle w:val="Hyperlink"/>
          </w:rPr>
          <w:t xml:space="preserve">4. Entstehung und Äusserung</w:t>
        </w:r>
      </w:hyperlink>
    </w:p>
    <w:p>
      <w:pPr>
        <w:pStyle w:val="Compact"/>
        <w:numPr>
          <w:ilvl w:val="1"/>
          <w:numId w:val="1009"/>
        </w:numPr>
      </w:pPr>
      <w:hyperlink w:anchor="X8149b09ded345cff2c255e4c1ca04ed5d837197">
        <w:r>
          <w:rPr>
            <w:rStyle w:val="Hyperlink"/>
          </w:rPr>
          <w:t xml:space="preserve">4.1 Entstehung</w:t>
        </w:r>
      </w:hyperlink>
    </w:p>
    <w:p>
      <w:pPr>
        <w:pStyle w:val="Compact"/>
        <w:numPr>
          <w:ilvl w:val="1"/>
          <w:numId w:val="1009"/>
        </w:numPr>
      </w:pPr>
      <w:hyperlink w:anchor="X170384acb725410db48b8942f647918995aa91b">
        <w:r>
          <w:rPr>
            <w:rStyle w:val="Hyperlink"/>
          </w:rPr>
          <w:t xml:space="preserve">4.2 Teufelskreis für die Psychoedukation</w:t>
        </w:r>
      </w:hyperlink>
    </w:p>
    <w:p>
      <w:pPr>
        <w:pStyle w:val="Compact"/>
        <w:numPr>
          <w:ilvl w:val="1"/>
          <w:numId w:val="1009"/>
        </w:numPr>
      </w:pPr>
      <w:hyperlink w:anchor="X382178b924b1e1e4bbeae9fc1307ad17904c93b">
        <w:r>
          <w:rPr>
            <w:rStyle w:val="Hyperlink"/>
          </w:rPr>
          <w:t xml:space="preserve">4.3 Typische Äusserungen</w:t>
        </w:r>
      </w:hyperlink>
    </w:p>
    <w:p>
      <w:pPr>
        <w:pStyle w:val="Compact"/>
        <w:numPr>
          <w:ilvl w:val="0"/>
          <w:numId w:val="1005"/>
        </w:numPr>
      </w:pPr>
      <w:hyperlink w:anchor="X80fc25fdd2917324642cc5cf7e9dcecdb3374dd">
        <w:r>
          <w:rPr>
            <w:rStyle w:val="Hyperlink"/>
          </w:rPr>
          <w:t xml:space="preserve">5. Komorbiditäten und Belastungen</w:t>
        </w:r>
      </w:hyperlink>
    </w:p>
    <w:p>
      <w:pPr>
        <w:pStyle w:val="Compact"/>
        <w:numPr>
          <w:ilvl w:val="1"/>
          <w:numId w:val="1010"/>
        </w:numPr>
      </w:pPr>
      <w:hyperlink w:anchor="X85cd544e1b63bb3bc906c813c8b718027339bbe">
        <w:r>
          <w:rPr>
            <w:rStyle w:val="Hyperlink"/>
          </w:rPr>
          <w:t xml:space="preserve">5.1 Komorbiditäten</w:t>
        </w:r>
      </w:hyperlink>
    </w:p>
    <w:p>
      <w:pPr>
        <w:pStyle w:val="Compact"/>
        <w:numPr>
          <w:ilvl w:val="1"/>
          <w:numId w:val="1010"/>
        </w:numPr>
      </w:pPr>
      <w:hyperlink w:anchor="Xf31a951f2f6994231383ad7db23c75df4848ff7">
        <w:r>
          <w:rPr>
            <w:rStyle w:val="Hyperlink"/>
          </w:rPr>
          <w:t xml:space="preserve">5.2 Belastungen</w:t>
        </w:r>
      </w:hyperlink>
    </w:p>
    <w:p>
      <w:pPr>
        <w:pStyle w:val="Compact"/>
        <w:numPr>
          <w:ilvl w:val="1"/>
          <w:numId w:val="1010"/>
        </w:numPr>
      </w:pPr>
      <w:hyperlink w:anchor="X0fba76ad2e5bc044c3c2462073d9c34808bf136">
        <w:r>
          <w:rPr>
            <w:rStyle w:val="Hyperlink"/>
          </w:rPr>
          <w:t xml:space="preserve">5.3 Suizidrisiko</w:t>
        </w:r>
      </w:hyperlink>
    </w:p>
    <w:bookmarkStart w:id="29" w:name="X4ef3e37779ee3f3fec70d0247e2f85bfe3a65c1"/>
    <w:p>
      <w:pPr>
        <w:pStyle w:val="Heading3"/>
      </w:pPr>
      <w:r>
        <w:t xml:space="preserve">1. Was ist eine Verhaltenssucht?</w:t>
      </w:r>
    </w:p>
    <w:bookmarkStart w:id="27" w:name="Xc73dcc17d80fd5af936d837cce74d4201ffc1f8"/>
    <w:p>
      <w:pPr>
        <w:pStyle w:val="Heading4"/>
      </w:pPr>
      <w:r>
        <w:t xml:space="preserve">1.1 Arbeitsdefinition</w:t>
      </w:r>
    </w:p>
    <w:p>
      <w:pPr>
        <w:pStyle w:val="FirstParagraph"/>
      </w:pPr>
      <w:r>
        <w:t xml:space="preserve">Exzessiv betriebene, zwanghaft wiederholte Verhaltensweisen mit unwiderstehlichem Drang und gedanklicher Vereinnahmung. Kontrollverlust über Beginn, Häufigkeit, Intensität, Dauer und Beendigung; Fortführung trotz negativer Folgen und starker Beeinträchtigung in verschiedenen Lebensbereichen (Q: Ärzteblatt).</w:t>
      </w:r>
    </w:p>
    <w:p>
      <w:pPr>
        <w:pStyle w:val="BodyText"/>
      </w:pPr>
      <w:r>
        <w:t xml:space="preserve">Für die Beratung zentral sind zwei Unterscheidungen:</w:t>
      </w:r>
    </w:p>
    <w:p>
      <w:pPr>
        <w:pStyle w:val="Compact"/>
        <w:numPr>
          <w:ilvl w:val="0"/>
          <w:numId w:val="1011"/>
        </w:numPr>
      </w:pPr>
      <w:r>
        <w:rPr>
          <w:b/>
          <w:bCs/>
        </w:rPr>
        <w:t xml:space="preserve">Viel ist nicht gleich krankhaft.</w:t>
      </w:r>
      <w:r>
        <w:t xml:space="preserve"> </w:t>
      </w:r>
      <w:r>
        <w:t xml:space="preserve">Entscheidend sind Kontrollverlust, Leidensdruck und Beeinträchtigung über längere Zeit, nicht die Menge (Q: therapie.de; aponet).</w:t>
      </w:r>
    </w:p>
    <w:p>
      <w:pPr>
        <w:pStyle w:val="Compact"/>
        <w:numPr>
          <w:ilvl w:val="0"/>
          <w:numId w:val="1011"/>
        </w:numPr>
      </w:pPr>
      <w:r>
        <w:rPr>
          <w:b/>
          <w:bCs/>
        </w:rPr>
        <w:t xml:space="preserve">Beratende diagnostizieren nicht.</w:t>
      </w:r>
      <w:r>
        <w:t xml:space="preserve"> </w:t>
      </w:r>
      <w:r>
        <w:t xml:space="preserve">Sie erfassen systematisch, was vorliegt, und weisen zu (Kap. 12).</w:t>
      </w:r>
    </w:p>
    <w:bookmarkEnd w:id="27"/>
    <w:bookmarkStart w:id="28" w:name="X06c31b8de008f4670ad6c771dd3676aa52abb0c"/>
    <w:p>
      <w:pPr>
        <w:pStyle w:val="Heading4"/>
      </w:pPr>
      <w:r>
        <w:t xml:space="preserve">1.2 Klassifikation: ICD-10 und ICD-11</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shd w:val="clear" w:color="auto" w:fill="1A2B4C"/>
          </w:tcPr>
          <w:tcPr/>
          <w:p>
            <w:pPr>
              <w:pStyle w:val="Compact"/>
            </w:pPr>
            <w:r>
              <w:rPr>
                <w:b/>
                <w:color w:val="FFFFFF"/>
                <w:b/>
                <w:color w:val="FFFFFF"/>
              </w:rPr>
              <w:t xml:space="preserve">Verhalten</w:t>
            </w:r>
          </w:p>
        </w:tc>
        <w:tc>
          <w:tcPr>
            <w:shd w:val="clear" w:color="auto" w:fill="1A2B4C"/>
          </w:tcPr>
          <w:tcPr/>
          <w:p>
            <w:pPr>
              <w:pStyle w:val="Compact"/>
            </w:pPr>
            <w:r>
              <w:rPr>
                <w:b/>
                <w:color w:val="FFFFFF"/>
                <w:b/>
                <w:color w:val="FFFFFF"/>
              </w:rPr>
              <w:t xml:space="preserve">ICD-10</w:t>
            </w:r>
          </w:p>
        </w:tc>
        <w:tc>
          <w:tcPr>
            <w:shd w:val="clear" w:color="auto" w:fill="1A2B4C"/>
          </w:tcPr>
          <w:tcPr/>
          <w:p>
            <w:pPr>
              <w:pStyle w:val="Compact"/>
            </w:pPr>
            <w:r>
              <w:rPr>
                <w:b/>
                <w:color w:val="FFFFFF"/>
                <w:b/>
                <w:color w:val="FFFFFF"/>
              </w:rPr>
              <w:t xml:space="preserve">ICD-11</w:t>
            </w:r>
          </w:p>
        </w:tc>
        <w:tc>
          <w:tcPr>
            <w:shd w:val="clear" w:color="auto" w:fill="1A2B4C"/>
          </w:tcPr>
          <w:tcPr/>
          <w:p>
            <w:pPr>
              <w:pStyle w:val="Compact"/>
            </w:pPr>
            <w:r>
              <w:rPr>
                <w:b/>
                <w:color w:val="FFFFFF"/>
                <w:b/>
                <w:color w:val="FFFFFF"/>
              </w:rPr>
              <w:t xml:space="preserve">Beleg</w:t>
            </w:r>
          </w:p>
        </w:tc>
      </w:tr>
      <w:tr>
        <w:tc>
          <w:tcPr/>
          <w:p>
            <w:pPr>
              <w:pStyle w:val="Compact"/>
            </w:pPr>
            <w:r>
              <w:t xml:space="preserve">Glücksspiel (ausgeschlossen, zur Abgrenzung)</w:t>
            </w:r>
          </w:p>
        </w:tc>
        <w:tc>
          <w:tcPr/>
          <w:p>
            <w:pPr>
              <w:pStyle w:val="Compact"/>
            </w:pPr>
            <w:r>
              <w:t xml:space="preserve">F63.0</w:t>
            </w:r>
          </w:p>
        </w:tc>
        <w:tc>
          <w:tcPr/>
          <w:p>
            <w:pPr>
              <w:pStyle w:val="Compact"/>
            </w:pPr>
            <w:r>
              <w:t xml:space="preserve">6C50, Störung durch Suchtverhalten</w:t>
            </w:r>
          </w:p>
        </w:tc>
        <w:tc>
          <w:tcPr/>
          <w:p>
            <w:pPr>
              <w:pStyle w:val="Compact"/>
            </w:pPr>
            <w:r>
              <w:t xml:space="preserve">Q: Rosenfluh; Rumpf/Brandt</w:t>
            </w:r>
          </w:p>
        </w:tc>
      </w:tr>
      <w:tr>
        <w:tc>
          <w:tcPr/>
          <w:p>
            <w:pPr>
              <w:pStyle w:val="Compact"/>
            </w:pPr>
            <w:r>
              <w:t xml:space="preserve">Gaming (ausgeschlossen, zur Abgrenzung)</w:t>
            </w:r>
          </w:p>
        </w:tc>
        <w:tc>
          <w:tcPr/>
          <w:p>
            <w:pPr>
              <w:pStyle w:val="Compact"/>
            </w:pPr>
            <w:r>
              <w:t xml:space="preserve">keine eigene</w:t>
            </w:r>
          </w:p>
        </w:tc>
        <w:tc>
          <w:tcPr/>
          <w:p>
            <w:pPr>
              <w:pStyle w:val="Compact"/>
            </w:pPr>
            <w:r>
              <w:t xml:space="preserve">6C51, Störung durch Suchtverhalten</w:t>
            </w:r>
          </w:p>
        </w:tc>
        <w:tc>
          <w:tcPr/>
          <w:p>
            <w:pPr>
              <w:pStyle w:val="Compact"/>
            </w:pPr>
            <w:r>
              <w:t xml:space="preserve">Q: Rumpf/Brandt; Sozialministerium AT</w:t>
            </w:r>
          </w:p>
        </w:tc>
      </w:tr>
      <w:tr>
        <w:tc>
          <w:tcPr/>
          <w:p>
            <w:pPr>
              <w:pStyle w:val="Compact"/>
            </w:pPr>
            <w:r>
              <w:t xml:space="preserve">Zwanghaftes Sexualverhalten (CSBD)</w:t>
            </w:r>
          </w:p>
        </w:tc>
        <w:tc>
          <w:tcPr/>
          <w:p>
            <w:pPr>
              <w:pStyle w:val="Compact"/>
            </w:pPr>
            <w:r>
              <w:t xml:space="preserve">keine eigene Kategorie</w:t>
            </w:r>
          </w:p>
        </w:tc>
        <w:tc>
          <w:tcPr/>
          <w:p>
            <w:pPr>
              <w:pStyle w:val="Compact"/>
            </w:pPr>
            <w:r>
              <w:t xml:space="preserve">6C72, bei den Impulskontrollstörungen</w:t>
            </w:r>
          </w:p>
        </w:tc>
        <w:tc>
          <w:tcPr/>
          <w:p>
            <w:pPr>
              <w:pStyle w:val="Compact"/>
            </w:pPr>
            <w:r>
              <w:t xml:space="preserve">Q: therapie.de; PornLoS-Artikel</w:t>
            </w:r>
          </w:p>
        </w:tc>
      </w:tr>
      <w:tr>
        <w:tc>
          <w:tcPr/>
          <w:p>
            <w:pPr>
              <w:pStyle w:val="Compact"/>
            </w:pPr>
            <w:r>
              <w:t xml:space="preserve">Pornografie-Nutzungsstörung</w:t>
            </w:r>
          </w:p>
        </w:tc>
        <w:tc>
          <w:tcPr/>
          <w:p>
            <w:pPr>
              <w:pStyle w:val="Compact"/>
            </w:pPr>
            <w:r>
              <w:t xml:space="preserve">–</w:t>
            </w:r>
          </w:p>
        </w:tc>
        <w:tc>
          <w:tcPr/>
          <w:p>
            <w:pPr>
              <w:pStyle w:val="Compact"/>
            </w:pPr>
            <w:r>
              <w:t xml:space="preserve">Variante der CSBD (6C72). Daneben als „andere näher bezeichnete Störung durch Suchtverhalten" vorgeschlagen</w:t>
            </w:r>
          </w:p>
        </w:tc>
        <w:tc>
          <w:tcPr/>
          <w:p>
            <w:pPr>
              <w:pStyle w:val="Compact"/>
            </w:pPr>
            <w:r>
              <w:t xml:space="preserve">Q: Thieme PornLoS; Rumpf/Brandt</w:t>
            </w:r>
          </w:p>
        </w:tc>
      </w:tr>
      <w:tr>
        <w:tc>
          <w:tcPr/>
          <w:p>
            <w:pPr>
              <w:pStyle w:val="Compact"/>
            </w:pPr>
            <w:r>
              <w:t xml:space="preserve">Kaufsucht</w:t>
            </w:r>
          </w:p>
        </w:tc>
        <w:tc>
          <w:tcPr/>
          <w:p>
            <w:pPr>
              <w:pStyle w:val="Compact"/>
            </w:pPr>
            <w:r>
              <w:t xml:space="preserve">F63.8 oder F63.9 (Impulskontrolle)</w:t>
            </w:r>
          </w:p>
        </w:tc>
        <w:tc>
          <w:tcPr/>
          <w:p>
            <w:pPr>
              <w:pStyle w:val="Compact"/>
            </w:pPr>
            <w:r>
              <w:t xml:space="preserve">keine eigene Kategorie. Als „andere näher bezeichnete Störung durch Suchtverhalten" vorgeschlagen, Einordnung debattiert</w:t>
            </w:r>
          </w:p>
        </w:tc>
        <w:tc>
          <w:tcPr/>
          <w:p>
            <w:pPr>
              <w:pStyle w:val="Compact"/>
            </w:pPr>
            <w:r>
              <w:t xml:space="preserve">Q: Thieme „Kaufsucht"; Rumpf/Brandt</w:t>
            </w:r>
          </w:p>
        </w:tc>
      </w:tr>
      <w:tr>
        <w:tc>
          <w:tcPr/>
          <w:p>
            <w:pPr>
              <w:pStyle w:val="Compact"/>
            </w:pPr>
            <w:r>
              <w:t xml:space="preserve">Arbeits- und Sportsucht</w:t>
            </w:r>
          </w:p>
        </w:tc>
        <w:tc>
          <w:tcPr/>
          <w:p>
            <w:pPr>
              <w:pStyle w:val="Compact"/>
            </w:pPr>
            <w:r>
              <w:t xml:space="preserve">keine eigene Kategorie (allgemein F63.9)</w:t>
            </w:r>
          </w:p>
        </w:tc>
        <w:tc>
          <w:tcPr/>
          <w:p>
            <w:pPr>
              <w:pStyle w:val="Compact"/>
            </w:pPr>
            <w:r>
              <w:t xml:space="preserve">keine eigene Kategorie</w:t>
            </w:r>
          </w:p>
        </w:tc>
        <w:tc>
          <w:tcPr/>
          <w:p>
            <w:pPr>
              <w:pStyle w:val="Compact"/>
            </w:pPr>
            <w:r>
              <w:t xml:space="preserve">Q: Sozialministerium AT; Rosenfluh</w:t>
            </w:r>
          </w:p>
        </w:tc>
      </w:tr>
    </w:tbl>
    <w:p>
      <w:pPr>
        <w:pStyle w:val="BodyText"/>
      </w:pPr>
      <w:r>
        <w:rPr>
          <w:b/>
          <w:bCs/>
        </w:rPr>
        <w:t xml:space="preserve">Kernaussagen zur Abgrenzung</w:t>
      </w:r>
    </w:p>
    <w:p>
      <w:pPr>
        <w:pStyle w:val="Compact"/>
        <w:numPr>
          <w:ilvl w:val="0"/>
          <w:numId w:val="1012"/>
        </w:numPr>
      </w:pPr>
      <w:r>
        <w:t xml:space="preserve">ICD-10 fasst Verhaltenssüchte weitgehend unter F63 (abnorme Gewohnheiten und Impulskontrolle) (Q: Sozialministerium AT).</w:t>
      </w:r>
    </w:p>
    <w:p>
      <w:pPr>
        <w:pStyle w:val="Compact"/>
        <w:numPr>
          <w:ilvl w:val="0"/>
          <w:numId w:val="1012"/>
        </w:numPr>
      </w:pPr>
      <w:r>
        <w:t xml:space="preserve">ICD-11 kennt im engeren Sinn nur Gambling und Gaming Disorder. Kernmerkmale: Kontrollverlust, Priorität im Leben, Fortsetzung trotz negativer Folgen und funktionale Beeinträchtigung (Q: Rumpf/Brandt). Üblicher Zeitrahmen: 12 Monate, bei schwerer Ausprägung kürzer [eigenes Wissen].</w:t>
      </w:r>
    </w:p>
    <w:p>
      <w:pPr>
        <w:pStyle w:val="Compact"/>
        <w:numPr>
          <w:ilvl w:val="0"/>
          <w:numId w:val="1012"/>
        </w:numPr>
      </w:pPr>
      <w:r>
        <w:t xml:space="preserve">Andere Formen sind als „andere näher bezeichnete Störungen durch Suchtverhalten" kodierbar. Kauf-/Shoppingstörung und Pornografie-Nutzungsstörung gelten als geeignete Kandidaten (Q: Rumpf/Brandt).</w:t>
      </w:r>
    </w:p>
    <w:p>
      <w:pPr>
        <w:pStyle w:val="Compact"/>
        <w:numPr>
          <w:ilvl w:val="0"/>
          <w:numId w:val="1012"/>
        </w:numPr>
      </w:pPr>
      <w:r>
        <w:t xml:space="preserve">Die Sechs-Kriterien-Regel (3 aus 6) stammt aus dem ICD-10-Abhängigkeitssyndrom für Substanzen und gilt für Verhaltenssüchte nur als Analogie.</w:t>
      </w:r>
    </w:p>
    <w:p>
      <w:pPr>
        <w:pStyle w:val="Compact"/>
        <w:numPr>
          <w:ilvl w:val="0"/>
          <w:numId w:val="1012"/>
        </w:numPr>
      </w:pPr>
      <w:r>
        <w:t xml:space="preserve">Die Aufnahme in eine Klassifikation ändert die Finanzierung nicht. Vergütet werden Leistungen, wenn die Erkrankung behandlungsbedürftig ist (Q: NZZ am Sonntag 2019).</w:t>
      </w:r>
    </w:p>
    <w:p>
      <w:pPr>
        <w:pStyle w:val="Compact"/>
        <w:numPr>
          <w:ilvl w:val="0"/>
          <w:numId w:val="1012"/>
        </w:numPr>
      </w:pPr>
      <w:r>
        <w:t xml:space="preserve">Welche Klassifikation in der Schweiz aktuell für Kodierung und Abrechnung gilt, ist nicht geprüft [Lücke].</w:t>
      </w:r>
    </w:p>
    <w:p>
      <w:pPr>
        <w:pStyle w:val="FirstParagraph"/>
      </w:pPr>
      <w:r>
        <w:t xml:space="preserve">Grafik G1 (Landkarte der Verhaltenssüchte mit ICD-Zuordnung): siehe Kap. 14.</w:t>
      </w:r>
    </w:p>
    <w:p>
      <w:r>
        <w:pict>
          <v:rect style="width:0;height:1.5pt" o:hralign="center" o:hrstd="t" o:hr="t"/>
        </w:pict>
      </w:r>
    </w:p>
    <w:bookmarkEnd w:id="28"/>
    <w:bookmarkEnd w:id="29"/>
    <w:bookmarkStart w:id="36" w:name="X6c9b51f334324bd98140d6125f2fad516c46bf6"/>
    <w:p>
      <w:pPr>
        <w:pStyle w:val="Heading3"/>
      </w:pPr>
      <w:r>
        <w:t xml:space="preserve">2. Welche Verhaltenssüchte gibt es?</w:t>
      </w:r>
    </w:p>
    <w:bookmarkStart w:id="30" w:name="X4e0a2e683ad22e473e755476a3e2c4b16201aef"/>
    <w:p>
      <w:pPr>
        <w:pStyle w:val="Heading4"/>
      </w:pPr>
      <w:r>
        <w:t xml:space="preserve">2.1 Übersicht</w:t>
      </w:r>
    </w:p>
    <w:tbl>
      <w:tblPr>
        <w:tblStyle w:val="Table"/>
        <w:tblW w:type="auto" w:w="0"/>
        <w:tblLook w:firstRow="1" w:lastRow="0" w:firstColumn="0" w:lastColumn="0" w:noHBand="0" w:noVBand="0" w:val="0020"/>
      </w:tblPr>
      <w:tblGrid>
        <w:gridCol w:w="2640"/>
        <w:gridCol w:w="2640"/>
        <w:gridCol w:w="2640"/>
      </w:tblGrid>
      <w:tr>
        <w:trPr>
          <w:tblHeader w:val="on"/>
        </w:trPr>
        <w:tc>
          <w:tcPr>
            <w:shd w:val="clear" w:color="auto" w:fill="1A2B4C"/>
          </w:tcPr>
          <w:tcPr/>
          <w:p>
            <w:pPr>
              <w:pStyle w:val="Compact"/>
            </w:pPr>
            <w:r>
              <w:rPr>
                <w:b/>
                <w:color w:val="FFFFFF"/>
                <w:b/>
                <w:color w:val="FFFFFF"/>
              </w:rPr>
              <w:t xml:space="preserve">Kategorie</w:t>
            </w:r>
          </w:p>
        </w:tc>
        <w:tc>
          <w:tcPr>
            <w:shd w:val="clear" w:color="auto" w:fill="1A2B4C"/>
          </w:tcPr>
          <w:tcPr/>
          <w:p>
            <w:pPr>
              <w:pStyle w:val="Compact"/>
            </w:pPr>
            <w:r>
              <w:rPr>
                <w:b/>
                <w:color w:val="FFFFFF"/>
                <w:b/>
                <w:color w:val="FFFFFF"/>
              </w:rPr>
              <w:t xml:space="preserve">Formen</w:t>
            </w:r>
          </w:p>
        </w:tc>
        <w:tc>
          <w:tcPr>
            <w:shd w:val="clear" w:color="auto" w:fill="1A2B4C"/>
          </w:tcPr>
          <w:tcPr/>
          <w:p>
            <w:pPr>
              <w:pStyle w:val="Compact"/>
            </w:pPr>
            <w:r>
              <w:rPr>
                <w:b/>
                <w:color w:val="FFFFFF"/>
                <w:b/>
                <w:color w:val="FFFFFF"/>
              </w:rPr>
              <w:t xml:space="preserve">Im Leitfaden</w:t>
            </w:r>
          </w:p>
        </w:tc>
      </w:tr>
      <w:tr>
        <w:tc>
          <w:tcPr/>
          <w:p>
            <w:pPr>
              <w:pStyle w:val="Compact"/>
            </w:pPr>
            <w:r>
              <w:t xml:space="preserve">ICD-11 klassifiziert</w:t>
            </w:r>
          </w:p>
        </w:tc>
        <w:tc>
          <w:tcPr/>
          <w:p>
            <w:pPr>
              <w:pStyle w:val="Compact"/>
            </w:pPr>
            <w:r>
              <w:t xml:space="preserve">Glücksspiel, Gaming</w:t>
            </w:r>
          </w:p>
        </w:tc>
        <w:tc>
          <w:tcPr/>
          <w:p>
            <w:pPr>
              <w:pStyle w:val="Compact"/>
            </w:pPr>
            <w:r>
              <w:t xml:space="preserve">ausgeschlossen</w:t>
            </w:r>
          </w:p>
        </w:tc>
      </w:tr>
      <w:tr>
        <w:tc>
          <w:tcPr/>
          <w:p>
            <w:pPr>
              <w:pStyle w:val="Compact"/>
            </w:pPr>
            <w:r>
              <w:t xml:space="preserve">ICD-11, anderer Bereich</w:t>
            </w:r>
          </w:p>
        </w:tc>
        <w:tc>
          <w:tcPr/>
          <w:p>
            <w:pPr>
              <w:pStyle w:val="Compact"/>
            </w:pPr>
            <w:r>
              <w:t xml:space="preserve">Zwanghaftes Sexualverhalten (inkl. Pornografie)</w:t>
            </w:r>
          </w:p>
        </w:tc>
        <w:tc>
          <w:tcPr/>
          <w:p>
            <w:pPr>
              <w:pStyle w:val="Compact"/>
            </w:pPr>
            <w:r>
              <w:t xml:space="preserve">Steckbrief 2.4</w:t>
            </w:r>
          </w:p>
        </w:tc>
      </w:tr>
      <w:tr>
        <w:tc>
          <w:tcPr/>
          <w:p>
            <w:pPr>
              <w:pStyle w:val="Compact"/>
            </w:pPr>
            <w:r>
              <w:t xml:space="preserve">Diskutiert, „andere näher bezeichnete"</w:t>
            </w:r>
          </w:p>
        </w:tc>
        <w:tc>
          <w:tcPr/>
          <w:p>
            <w:pPr>
              <w:pStyle w:val="Compact"/>
            </w:pPr>
            <w:r>
              <w:t xml:space="preserve">Kaufsucht</w:t>
            </w:r>
          </w:p>
        </w:tc>
        <w:tc>
          <w:tcPr/>
          <w:p>
            <w:pPr>
              <w:pStyle w:val="Compact"/>
            </w:pPr>
            <w:r>
              <w:t xml:space="preserve">Steckbrief 2.2</w:t>
            </w:r>
          </w:p>
        </w:tc>
      </w:tr>
      <w:tr>
        <w:tc>
          <w:tcPr/>
          <w:p>
            <w:pPr>
              <w:pStyle w:val="Compact"/>
            </w:pPr>
            <w:r>
              <w:t xml:space="preserve">Ohne eigene Kategorie, praxisrelevant</w:t>
            </w:r>
          </w:p>
        </w:tc>
        <w:tc>
          <w:tcPr/>
          <w:p>
            <w:pPr>
              <w:pStyle w:val="Compact"/>
            </w:pPr>
            <w:r>
              <w:t xml:space="preserve">Arbeitssucht, Sportsucht</w:t>
            </w:r>
          </w:p>
        </w:tc>
        <w:tc>
          <w:tcPr/>
          <w:p>
            <w:pPr>
              <w:pStyle w:val="Compact"/>
            </w:pPr>
            <w:r>
              <w:t xml:space="preserve">Steckbriefe 2.3, 2.5</w:t>
            </w:r>
          </w:p>
        </w:tc>
      </w:tr>
      <w:tr>
        <w:tc>
          <w:tcPr/>
          <w:p>
            <w:pPr>
              <w:pStyle w:val="Compact"/>
            </w:pPr>
            <w:r>
              <w:t xml:space="preserve">Weitere</w:t>
            </w:r>
          </w:p>
        </w:tc>
        <w:tc>
          <w:tcPr/>
          <w:p>
            <w:pPr>
              <w:pStyle w:val="Compact"/>
            </w:pPr>
            <w:r>
              <w:t xml:space="preserve">Beziehungssucht, Sammeln/Horten; Social Media, Streaming, Smartphone (Mediensucht, ausgeschlossen)</w:t>
            </w:r>
          </w:p>
        </w:tc>
        <w:tc>
          <w:tcPr/>
          <w:p>
            <w:pPr>
              <w:pStyle w:val="Compact"/>
            </w:pPr>
            <w:r>
              <w:t xml:space="preserve">Kurzmodul 2.6</w:t>
            </w:r>
          </w:p>
        </w:tc>
      </w:tr>
    </w:tbl>
    <w:p>
      <w:pPr>
        <w:pStyle w:val="BodyText"/>
      </w:pPr>
      <w:r>
        <w:t xml:space="preserve">Fachverband Sucht nennt in einem Kursangebot: Glücksspiel, Internet/Medien, Kaufsucht, Sexsucht, Bewegungssucht, Arbeitssucht (Q: Fachverband Sucht).</w:t>
      </w:r>
    </w:p>
    <w:p>
      <w:pPr>
        <w:pStyle w:val="BodyText"/>
      </w:pPr>
      <w:r>
        <w:rPr>
          <w:b/>
          <w:bCs/>
        </w:rPr>
        <w:t xml:space="preserve">Häufigkeit (Deutschland, Richtwerte):</w:t>
      </w:r>
      <w:r>
        <w:t xml:space="preserve"> </w:t>
      </w:r>
      <w:r>
        <w:t xml:space="preserve">Glücksspiel ca. 1 %, Internetspiele ca. 1 %, Kaufsucht ca. 5 % (Q: Ärzteblatt 2020); Kaufsuchtgefährdung 5–7 % der Erwachsenen (Q: Thieme „Kaufsucht"). Frauen sind häufiger von Kaufsucht betroffen, Männer eher von Glücksspiel und Sexsucht (Q: Psychosomatik-Studie). Schweizer Zahlen: [Lücke].</w:t>
      </w:r>
    </w:p>
    <w:bookmarkEnd w:id="30"/>
    <w:bookmarkStart w:id="31" w:name="X49f6464790b335ef0f1f4580e51d73fe023455d"/>
    <w:p>
      <w:pPr>
        <w:pStyle w:val="Heading4"/>
      </w:pPr>
      <w:r>
        <w:t xml:space="preserve">2.2 Steckbrief Kaufsucht</w:t>
      </w:r>
    </w:p>
    <w:p>
      <w:pPr>
        <w:pStyle w:val="Compact"/>
        <w:numPr>
          <w:ilvl w:val="0"/>
          <w:numId w:val="1013"/>
        </w:numPr>
      </w:pPr>
      <w:r>
        <w:rPr>
          <w:b/>
          <w:bCs/>
        </w:rPr>
        <w:t xml:space="preserve">Kern:</w:t>
      </w:r>
      <w:r>
        <w:t xml:space="preserve"> </w:t>
      </w:r>
      <w:r>
        <w:t xml:space="preserve">Kurzfristige Kompensation unangenehmer Gefühle. Negative Folgen (Schulden) treten verzögert auf und wirken nicht unmittelbar bestrafend (Q: Ärzteblatt)</w:t>
      </w:r>
    </w:p>
    <w:p>
      <w:pPr>
        <w:pStyle w:val="Compact"/>
        <w:numPr>
          <w:ilvl w:val="0"/>
          <w:numId w:val="1013"/>
        </w:numPr>
      </w:pPr>
      <w:r>
        <w:rPr>
          <w:b/>
          <w:bCs/>
        </w:rPr>
        <w:t xml:space="preserve">Klassifikation:</w:t>
      </w:r>
      <w:r>
        <w:t xml:space="preserve"> </w:t>
      </w:r>
      <w:r>
        <w:t xml:space="preserve">F63.8/F63.9, ICD-11 keine eigene Kategorie (Kap. 1.2)</w:t>
      </w:r>
    </w:p>
    <w:p>
      <w:pPr>
        <w:pStyle w:val="Compact"/>
        <w:numPr>
          <w:ilvl w:val="0"/>
          <w:numId w:val="1013"/>
        </w:numPr>
      </w:pPr>
      <w:r>
        <w:rPr>
          <w:b/>
          <w:bCs/>
        </w:rPr>
        <w:t xml:space="preserve">Typische Äusserung:</w:t>
      </w:r>
      <w:r>
        <w:t xml:space="preserve"> </w:t>
      </w:r>
      <w:r>
        <w:t xml:space="preserve">Kaufdrang, Käufe über Bedarf, Verstecken von Waren, Retouren, mehrere Karten und Kredite, Verheimlichen (Q: Ärzteblatt)</w:t>
      </w:r>
    </w:p>
    <w:p>
      <w:pPr>
        <w:pStyle w:val="Compact"/>
        <w:numPr>
          <w:ilvl w:val="0"/>
          <w:numId w:val="1013"/>
        </w:numPr>
      </w:pPr>
      <w:r>
        <w:rPr>
          <w:b/>
          <w:bCs/>
        </w:rPr>
        <w:t xml:space="preserve">Folgen:</w:t>
      </w:r>
      <w:r>
        <w:t xml:space="preserve"> </w:t>
      </w:r>
      <w:r>
        <w:t xml:space="preserve">Verschuldung, Partnerschaftskonflikte, Scham, Suizidrisiko (Kap. 5)</w:t>
      </w:r>
    </w:p>
    <w:p>
      <w:pPr>
        <w:pStyle w:val="Compact"/>
        <w:numPr>
          <w:ilvl w:val="0"/>
          <w:numId w:val="1013"/>
        </w:numPr>
      </w:pPr>
      <w:r>
        <w:rPr>
          <w:b/>
          <w:bCs/>
        </w:rPr>
        <w:t xml:space="preserve">Beratungsakzente:</w:t>
      </w:r>
      <w:r>
        <w:t xml:space="preserve"> </w:t>
      </w:r>
      <w:r>
        <w:t xml:space="preserve">Primär/sekundär abklären (Komorbidität). Auslöser meiden (Läden, Portale, Marken), Karten und Limiten, Wartezeit vor Käufen, Schuldenmanagement. Ziel in der Regel „bedarfsgerechtes Kaufen", nicht Totalverzicht (Q: Ärzteblatt)</w:t>
      </w:r>
    </w:p>
    <w:p>
      <w:pPr>
        <w:pStyle w:val="Compact"/>
        <w:numPr>
          <w:ilvl w:val="0"/>
          <w:numId w:val="1013"/>
        </w:numPr>
      </w:pPr>
      <w:r>
        <w:rPr>
          <w:b/>
          <w:bCs/>
        </w:rPr>
        <w:t xml:space="preserve">Zusatzfragen:</w:t>
      </w:r>
      <w:r>
        <w:t xml:space="preserve"> </w:t>
      </w:r>
      <w:r>
        <w:t xml:space="preserve">Ausgaben pro Woche, Kreditkarten, Retouren, Verstecken von Waren, Schulden, gemeinsame Konten</w:t>
      </w:r>
    </w:p>
    <w:p>
      <w:pPr>
        <w:pStyle w:val="Compact"/>
        <w:numPr>
          <w:ilvl w:val="0"/>
          <w:numId w:val="1013"/>
        </w:numPr>
      </w:pPr>
      <w:r>
        <w:rPr>
          <w:b/>
          <w:bCs/>
        </w:rPr>
        <w:t xml:space="preserve">Screener:</w:t>
      </w:r>
      <w:r>
        <w:t xml:space="preserve"> </w:t>
      </w:r>
      <w:r>
        <w:t xml:space="preserve">BSAS, PBS (Kap. 8.6)</w:t>
      </w:r>
    </w:p>
    <w:p>
      <w:pPr>
        <w:pStyle w:val="Compact"/>
        <w:numPr>
          <w:ilvl w:val="0"/>
          <w:numId w:val="1013"/>
        </w:numPr>
      </w:pPr>
      <w:r>
        <w:rPr>
          <w:b/>
          <w:bCs/>
        </w:rPr>
        <w:t xml:space="preserve">Wirksamkeit:</w:t>
      </w:r>
      <w:r>
        <w:t xml:space="preserve"> </w:t>
      </w:r>
      <w:r>
        <w:t xml:space="preserve">Keine evidenzbasierten Leitlinien, Hinweise auf Wirksamkeit störungsspezifischer KVT-Gruppentherapie (Q: Thieme „Kaufsucht"; Mueller/de Zwaan 2008)</w:t>
      </w:r>
    </w:p>
    <w:bookmarkEnd w:id="31"/>
    <w:bookmarkStart w:id="32" w:name="Xb75c1d266afb94b5cbd3be7df8031c8e1b365a8"/>
    <w:p>
      <w:pPr>
        <w:pStyle w:val="Heading4"/>
      </w:pPr>
      <w:r>
        <w:t xml:space="preserve">2.3 Steckbrief Arbeitssucht</w:t>
      </w:r>
    </w:p>
    <w:p>
      <w:pPr>
        <w:pStyle w:val="Compact"/>
        <w:numPr>
          <w:ilvl w:val="0"/>
          <w:numId w:val="1014"/>
        </w:numPr>
      </w:pPr>
      <w:r>
        <w:rPr>
          <w:b/>
          <w:bCs/>
        </w:rPr>
        <w:t xml:space="preserve">Kern:</w:t>
      </w:r>
      <w:r>
        <w:t xml:space="preserve"> </w:t>
      </w:r>
      <w:r>
        <w:t xml:space="preserve">Klassische Suchtkriterien (Kontrollverlust, Dosissteigerung, Entzugserscheinungen) als Orientierung. Grenze zwischen Arbeit und Freizeit verschwimmt, auch durch ständige Erreichbarkeit (Q: AOK; Poppelreuter 2006)</w:t>
      </w:r>
    </w:p>
    <w:p>
      <w:pPr>
        <w:pStyle w:val="Compact"/>
        <w:numPr>
          <w:ilvl w:val="0"/>
          <w:numId w:val="1014"/>
        </w:numPr>
      </w:pPr>
      <w:r>
        <w:rPr>
          <w:b/>
          <w:bCs/>
        </w:rPr>
        <w:t xml:space="preserve">Klassifikation:</w:t>
      </w:r>
      <w:r>
        <w:t xml:space="preserve"> </w:t>
      </w:r>
      <w:r>
        <w:t xml:space="preserve">keine eigene Kategorie</w:t>
      </w:r>
    </w:p>
    <w:p>
      <w:pPr>
        <w:pStyle w:val="Compact"/>
        <w:numPr>
          <w:ilvl w:val="0"/>
          <w:numId w:val="1014"/>
        </w:numPr>
      </w:pPr>
      <w:r>
        <w:rPr>
          <w:b/>
          <w:bCs/>
        </w:rPr>
        <w:t xml:space="preserve">Abgrenzung:</w:t>
      </w:r>
      <w:r>
        <w:t xml:space="preserve"> </w:t>
      </w:r>
      <w:r>
        <w:t xml:space="preserve">Hochleistung und hohe Arbeitsbelastung sind nicht automatisch Sucht. Entscheidend: Kontrollverlust, Leidensdruck, Folgen</w:t>
      </w:r>
    </w:p>
    <w:p>
      <w:pPr>
        <w:pStyle w:val="Compact"/>
        <w:numPr>
          <w:ilvl w:val="0"/>
          <w:numId w:val="1014"/>
        </w:numPr>
      </w:pPr>
      <w:r>
        <w:rPr>
          <w:b/>
          <w:bCs/>
        </w:rPr>
        <w:t xml:space="preserve">Beratungsakzente:</w:t>
      </w:r>
      <w:r>
        <w:t xml:space="preserve"> </w:t>
      </w:r>
      <w:r>
        <w:t xml:space="preserve">Arbeitgebende als Ressource: Strukturen, die Arbeitssucht erschweren (Q: Basel Arbeitgeberberatung). Erholung, Erreichbarkeit, Wochenstruktur</w:t>
      </w:r>
    </w:p>
    <w:p>
      <w:pPr>
        <w:pStyle w:val="Compact"/>
        <w:numPr>
          <w:ilvl w:val="0"/>
          <w:numId w:val="1014"/>
        </w:numPr>
      </w:pPr>
      <w:r>
        <w:rPr>
          <w:b/>
          <w:bCs/>
        </w:rPr>
        <w:t xml:space="preserve">Zusatzfragen:</w:t>
      </w:r>
      <w:r>
        <w:t xml:space="preserve"> </w:t>
      </w:r>
      <w:r>
        <w:t xml:space="preserve">Wochenstunden, Erreichbarkeit, Erholung, Urlaub, Reaktion der Umgebung, Schlaf</w:t>
      </w:r>
    </w:p>
    <w:p>
      <w:pPr>
        <w:pStyle w:val="Compact"/>
        <w:numPr>
          <w:ilvl w:val="0"/>
          <w:numId w:val="1014"/>
        </w:numPr>
      </w:pPr>
      <w:r>
        <w:rPr>
          <w:b/>
          <w:bCs/>
        </w:rPr>
        <w:t xml:space="preserve">Besonderheit:</w:t>
      </w:r>
      <w:r>
        <w:t xml:space="preserve"> </w:t>
      </w:r>
      <w:r>
        <w:t xml:space="preserve">Leistungsmuster: Zahlen und Ziele dürfen nicht zum Wettbewerb werden (Kap. 8.7)</w:t>
      </w:r>
    </w:p>
    <w:p>
      <w:pPr>
        <w:pStyle w:val="Compact"/>
        <w:numPr>
          <w:ilvl w:val="0"/>
          <w:numId w:val="1014"/>
        </w:numPr>
      </w:pPr>
      <w:r>
        <w:rPr>
          <w:b/>
          <w:bCs/>
        </w:rPr>
        <w:t xml:space="preserve">Screener:</w:t>
      </w:r>
      <w:r>
        <w:t xml:space="preserve"> </w:t>
      </w:r>
      <w:r>
        <w:t xml:space="preserve">Work-BAT, Bergen Work Addiction Scale [eigenes Wissen, nicht recherchiert]</w:t>
      </w:r>
    </w:p>
    <w:bookmarkEnd w:id="32"/>
    <w:bookmarkStart w:id="33" w:name="Xce7673ce272b7b0f652218e4d5c092e4942d885"/>
    <w:p>
      <w:pPr>
        <w:pStyle w:val="Heading4"/>
      </w:pPr>
      <w:r>
        <w:t xml:space="preserve">2.4 Steckbrief Sex- und Pornografiesucht (CSBD)</w:t>
      </w:r>
    </w:p>
    <w:p>
      <w:pPr>
        <w:pStyle w:val="Compact"/>
        <w:numPr>
          <w:ilvl w:val="0"/>
          <w:numId w:val="1015"/>
        </w:numPr>
      </w:pPr>
      <w:r>
        <w:rPr>
          <w:b/>
          <w:bCs/>
        </w:rPr>
        <w:t xml:space="preserve">Kern:</w:t>
      </w:r>
      <w:r>
        <w:t xml:space="preserve"> </w:t>
      </w:r>
      <w:r>
        <w:t xml:space="preserve">Anhaltendes Muster gescheiterter Kontrolle intensiver sexueller Impulse, Fortführung trotz negativer Folgen. Entscheidend: Kontrollverlust, Leidensdruck und Beeinträchtigung über längere Zeit (ICD-11: mindestens ca. 6 Monate) (Q: therapie.de; aponet)</w:t>
      </w:r>
    </w:p>
    <w:p>
      <w:pPr>
        <w:pStyle w:val="Compact"/>
        <w:numPr>
          <w:ilvl w:val="0"/>
          <w:numId w:val="1015"/>
        </w:numPr>
      </w:pPr>
      <w:r>
        <w:rPr>
          <w:b/>
          <w:bCs/>
        </w:rPr>
        <w:t xml:space="preserve">Klassifikation:</w:t>
      </w:r>
      <w:r>
        <w:t xml:space="preserve"> </w:t>
      </w:r>
      <w:r>
        <w:t xml:space="preserve">6C72, Impulskontrollstörungen. Pornografie-Nutzungsstörung als Variante (Kap. 1.2)</w:t>
      </w:r>
    </w:p>
    <w:p>
      <w:pPr>
        <w:pStyle w:val="Compact"/>
        <w:numPr>
          <w:ilvl w:val="0"/>
          <w:numId w:val="1015"/>
        </w:numPr>
      </w:pPr>
      <w:r>
        <w:rPr>
          <w:b/>
          <w:bCs/>
        </w:rPr>
        <w:t xml:space="preserve">Typische Äusserung:</w:t>
      </w:r>
      <w:r>
        <w:t xml:space="preserve"> </w:t>
      </w:r>
      <w:r>
        <w:t xml:space="preserve">Am häufigsten exzessives Masturbieren und häufige Pornografienutzung (Q: therapie.de; aponet)</w:t>
      </w:r>
    </w:p>
    <w:p>
      <w:pPr>
        <w:pStyle w:val="Compact"/>
        <w:numPr>
          <w:ilvl w:val="0"/>
          <w:numId w:val="1015"/>
        </w:numPr>
      </w:pPr>
      <w:r>
        <w:rPr>
          <w:b/>
          <w:bCs/>
        </w:rPr>
        <w:t xml:space="preserve">Stigma:</w:t>
      </w:r>
      <w:r>
        <w:t xml:space="preserve"> </w:t>
      </w:r>
      <w:r>
        <w:t xml:space="preserve">Besonders stark (Kap. 3)</w:t>
      </w:r>
    </w:p>
    <w:p>
      <w:pPr>
        <w:pStyle w:val="Compact"/>
        <w:numPr>
          <w:ilvl w:val="0"/>
          <w:numId w:val="1015"/>
        </w:numPr>
      </w:pPr>
      <w:r>
        <w:rPr>
          <w:b/>
          <w:bCs/>
        </w:rPr>
        <w:t xml:space="preserve">Beratungsakzente:</w:t>
      </w:r>
      <w:r>
        <w:t xml:space="preserve"> </w:t>
      </w:r>
      <w:r>
        <w:t xml:space="preserve">MI, funktionale Verhaltensanalyse, KVT-Elemente beschrieben (Q: Hughes; Del Giudice/Kutinsky). Komorbiditäten werden durch die Verhaltensanalyse oft entdeckt (Q: Hughes). Filter und Blocker als Stimuluskontrolle [Vorschlag]</w:t>
      </w:r>
    </w:p>
    <w:p>
      <w:pPr>
        <w:pStyle w:val="Compact"/>
        <w:numPr>
          <w:ilvl w:val="0"/>
          <w:numId w:val="1015"/>
        </w:numPr>
      </w:pPr>
      <w:r>
        <w:rPr>
          <w:b/>
          <w:bCs/>
        </w:rPr>
        <w:t xml:space="preserve">Zusatzfragen:</w:t>
      </w:r>
      <w:r>
        <w:t xml:space="preserve"> </w:t>
      </w:r>
      <w:r>
        <w:t xml:space="preserve">Zeit, Beziehungsfolgen, Risikoverhalten, Illegales, Heimlichkeit</w:t>
      </w:r>
    </w:p>
    <w:p>
      <w:pPr>
        <w:pStyle w:val="Compact"/>
        <w:numPr>
          <w:ilvl w:val="0"/>
          <w:numId w:val="1015"/>
        </w:numPr>
      </w:pPr>
      <w:r>
        <w:rPr>
          <w:b/>
          <w:bCs/>
        </w:rPr>
        <w:t xml:space="preserve">Wirksamkeit:</w:t>
      </w:r>
      <w:r>
        <w:t xml:space="preserve"> </w:t>
      </w:r>
      <w:r>
        <w:t xml:space="preserve">Für Pornografie-Nutzungsstörung fehlen bisher methodisch hochwertige Therapiestudien; ein Manual (PornLoS) erscheint laut Verlag 2026 (Q: Thieme PornLoS; Hogrefe)</w:t>
      </w:r>
    </w:p>
    <w:p>
      <w:pPr>
        <w:pStyle w:val="Compact"/>
        <w:numPr>
          <w:ilvl w:val="0"/>
          <w:numId w:val="1015"/>
        </w:numPr>
      </w:pPr>
      <w:r>
        <w:rPr>
          <w:b/>
          <w:bCs/>
        </w:rPr>
        <w:t xml:space="preserve">Screener:</w:t>
      </w:r>
      <w:r>
        <w:t xml:space="preserve"> </w:t>
      </w:r>
      <w:r>
        <w:t xml:space="preserve">CSBD-19 (Kurzform CSBD-7), PPCS-6 (Kap. 8.6)</w:t>
      </w:r>
    </w:p>
    <w:bookmarkEnd w:id="33"/>
    <w:bookmarkStart w:id="34" w:name="X89e14f6b7cd21d37a115bb06b46b5cf775e111f"/>
    <w:p>
      <w:pPr>
        <w:pStyle w:val="Heading4"/>
      </w:pPr>
      <w:r>
        <w:t xml:space="preserve">2.5 Steckbrief Sportsucht</w:t>
      </w:r>
    </w:p>
    <w:p>
      <w:pPr>
        <w:pStyle w:val="Compact"/>
        <w:numPr>
          <w:ilvl w:val="0"/>
          <w:numId w:val="1016"/>
        </w:numPr>
      </w:pPr>
      <w:r>
        <w:rPr>
          <w:b/>
          <w:bCs/>
        </w:rPr>
        <w:t xml:space="preserve">Kern:</w:t>
      </w:r>
      <w:r>
        <w:t xml:space="preserve"> </w:t>
      </w:r>
      <w:r>
        <w:t xml:space="preserve">Zwanghaftes Training trotz Schmerzen oder Verletzung (Q: Ärzteblatt; Fachverband Sucht: Bewegungssucht)</w:t>
      </w:r>
    </w:p>
    <w:p>
      <w:pPr>
        <w:pStyle w:val="Compact"/>
        <w:numPr>
          <w:ilvl w:val="0"/>
          <w:numId w:val="1016"/>
        </w:numPr>
      </w:pPr>
      <w:r>
        <w:rPr>
          <w:b/>
          <w:bCs/>
        </w:rPr>
        <w:t xml:space="preserve">Klassifikation:</w:t>
      </w:r>
      <w:r>
        <w:t xml:space="preserve"> </w:t>
      </w:r>
      <w:r>
        <w:t xml:space="preserve">keine eigene Kategorie</w:t>
      </w:r>
    </w:p>
    <w:p>
      <w:pPr>
        <w:pStyle w:val="Compact"/>
        <w:numPr>
          <w:ilvl w:val="0"/>
          <w:numId w:val="1016"/>
        </w:numPr>
      </w:pPr>
      <w:r>
        <w:rPr>
          <w:b/>
          <w:bCs/>
        </w:rPr>
        <w:t xml:space="preserve">Besonderheit Muskeldysmorphie:</w:t>
      </w:r>
      <w:r>
        <w:t xml:space="preserve"> </w:t>
      </w:r>
      <w:r>
        <w:t xml:space="preserve">Verzerrte Wahrnehmung der eigenen Muskulatur. Der Gebrauch von Anabolika macht das Bild substanzgebunden (Auftrag). Beratende fragen nach Substanzen und leiten bei Gesundheitsrisiko an ärztliche Abklärung weiter [Vorschlag]</w:t>
      </w:r>
    </w:p>
    <w:p>
      <w:pPr>
        <w:pStyle w:val="Compact"/>
        <w:numPr>
          <w:ilvl w:val="0"/>
          <w:numId w:val="1016"/>
        </w:numPr>
      </w:pPr>
      <w:r>
        <w:rPr>
          <w:b/>
          <w:bCs/>
        </w:rPr>
        <w:t xml:space="preserve">Beratungsakzente:</w:t>
      </w:r>
      <w:r>
        <w:t xml:space="preserve"> </w:t>
      </w:r>
      <w:r>
        <w:t xml:space="preserve">Beratungsmaterial zur Sportsucht ist nicht recherchiert [Lücke]. Als Ausgangspunkt dienen die allgemeinen Bausteine (Kap. 6.4) mit Fokus auf Verletzungen, Erholung, Ernährung</w:t>
      </w:r>
    </w:p>
    <w:p>
      <w:pPr>
        <w:pStyle w:val="Compact"/>
        <w:numPr>
          <w:ilvl w:val="0"/>
          <w:numId w:val="1016"/>
        </w:numPr>
      </w:pPr>
      <w:r>
        <w:rPr>
          <w:b/>
          <w:bCs/>
        </w:rPr>
        <w:t xml:space="preserve">Zusatzfragen:</w:t>
      </w:r>
      <w:r>
        <w:t xml:space="preserve"> </w:t>
      </w:r>
      <w:r>
        <w:t xml:space="preserve">Schmerzen, Verletzungen, Trainingsumfang, Ersatz fürs Training, Anabolika oder Nahrungsergänzung, Essverhalten</w:t>
      </w:r>
    </w:p>
    <w:p>
      <w:pPr>
        <w:pStyle w:val="Compact"/>
        <w:numPr>
          <w:ilvl w:val="0"/>
          <w:numId w:val="1016"/>
        </w:numPr>
      </w:pPr>
      <w:r>
        <w:rPr>
          <w:b/>
          <w:bCs/>
        </w:rPr>
        <w:t xml:space="preserve">Besonderheit:</w:t>
      </w:r>
      <w:r>
        <w:t xml:space="preserve"> </w:t>
      </w:r>
      <w:r>
        <w:t xml:space="preserve">Leistungsmuster: Kap. 8.7</w:t>
      </w:r>
    </w:p>
    <w:p>
      <w:pPr>
        <w:pStyle w:val="Compact"/>
        <w:numPr>
          <w:ilvl w:val="0"/>
          <w:numId w:val="1016"/>
        </w:numPr>
      </w:pPr>
      <w:r>
        <w:rPr>
          <w:b/>
          <w:bCs/>
        </w:rPr>
        <w:t xml:space="preserve">Screener:</w:t>
      </w:r>
      <w:r>
        <w:t xml:space="preserve"> </w:t>
      </w:r>
      <w:r>
        <w:t xml:space="preserve">Exercise Addiction Inventory [eigenes Wissen, nicht recherchiert]</w:t>
      </w:r>
    </w:p>
    <w:bookmarkEnd w:id="34"/>
    <w:bookmarkStart w:id="35" w:name="X55f42b84a81aa7fe23e2a312ffeb92283ca5983"/>
    <w:p>
      <w:pPr>
        <w:pStyle w:val="Heading4"/>
      </w:pPr>
      <w:r>
        <w:t xml:space="preserve">2.6 Kurzmodul weitere Formen</w:t>
      </w:r>
    </w:p>
    <w:p>
      <w:pPr>
        <w:pStyle w:val="FirstParagraph"/>
      </w:pPr>
      <w:r>
        <w:t xml:space="preserve">[Vorschlag]</w:t>
      </w:r>
    </w:p>
    <w:p>
      <w:pPr>
        <w:pStyle w:val="BodyText"/>
      </w:pPr>
      <w:r>
        <w:t xml:space="preserve">Beziehungssucht, Sammeln und Horten. Horten gilt als Komorbidität der Kaufsucht (Q: Ärzteblatt). Vorgehen: Funktion des Verhaltens erfassen, Leidensdruck und Beeinträchtigung prüfen, Komorbidität erfragen, bei Bedarf zuweisen. Materialien dazu sind nicht recherchiert [Lücke].</w:t>
      </w:r>
    </w:p>
    <w:p>
      <w:r>
        <w:pict>
          <v:rect style="width:0;height:1.5pt" o:hralign="center" o:hrstd="t" o:hr="t"/>
        </w:pict>
      </w:r>
    </w:p>
    <w:bookmarkEnd w:id="35"/>
    <w:bookmarkEnd w:id="36"/>
    <w:bookmarkStart w:id="40" w:name="Xbe640882b1427643b0c61bc81fb1546b921c7b0"/>
    <w:p>
      <w:pPr>
        <w:pStyle w:val="Heading3"/>
      </w:pPr>
      <w:r>
        <w:t xml:space="preserve">3. Stigma und Scham</w:t>
      </w:r>
    </w:p>
    <w:bookmarkStart w:id="37" w:name="Xd76f88d49a50a4ae810a08b8acb84ff69984128"/>
    <w:p>
      <w:pPr>
        <w:pStyle w:val="Heading4"/>
      </w:pPr>
      <w:r>
        <w:t xml:space="preserve">3.1 Befund</w:t>
      </w:r>
    </w:p>
    <w:p>
      <w:pPr>
        <w:pStyle w:val="Compact"/>
        <w:numPr>
          <w:ilvl w:val="0"/>
          <w:numId w:val="1017"/>
        </w:numPr>
      </w:pPr>
      <w:r>
        <w:t xml:space="preserve">Verhaltenssüchte werden wegen Scham häufig verschwiegen und sind unterdiagnostiziert (Q: Ärzteblatt).</w:t>
      </w:r>
    </w:p>
    <w:p>
      <w:pPr>
        <w:pStyle w:val="Compact"/>
        <w:numPr>
          <w:ilvl w:val="0"/>
          <w:numId w:val="1017"/>
        </w:numPr>
      </w:pPr>
      <w:r>
        <w:t xml:space="preserve">Typisch sind Bagatellisieren, Verheimlichen und schneller Rückzug bei Vorwürfen. Das ist Teil des Bildes, kein Widerstand gegen die Beratung (Q: Ärzteblatt).</w:t>
      </w:r>
    </w:p>
    <w:p>
      <w:pPr>
        <w:pStyle w:val="Compact"/>
        <w:numPr>
          <w:ilvl w:val="0"/>
          <w:numId w:val="1017"/>
        </w:numPr>
      </w:pPr>
      <w:r>
        <w:t xml:space="preserve">Das Selbstkonzept ist oft von unerreichten Idealvorstellungen geprägt. Wertschätzende Reflexion gehört zur Behandlung (Q: Ärzteblatt; Gauls).</w:t>
      </w:r>
    </w:p>
    <w:p>
      <w:pPr>
        <w:pStyle w:val="Compact"/>
        <w:numPr>
          <w:ilvl w:val="0"/>
          <w:numId w:val="1017"/>
        </w:numPr>
      </w:pPr>
      <w:r>
        <w:t xml:space="preserve">Bei Sexualverhalten ist die Abgrenzung zwischen normal und krankhaft schwierig. Starkes Verlangen ist nicht automatisch eine Störung (Q: therapie.de; aponet).</w:t>
      </w:r>
    </w:p>
    <w:p>
      <w:pPr>
        <w:pStyle w:val="Compact"/>
        <w:numPr>
          <w:ilvl w:val="0"/>
          <w:numId w:val="1017"/>
        </w:numPr>
      </w:pPr>
      <w:r>
        <w:t xml:space="preserve">Die Aufnahme ins ICD-11 soll laut Fachliteratur Stigma reduzieren und Behandlung verbessern (Q: Masterarbeit Wien 2025, Einschätzung).</w:t>
      </w:r>
    </w:p>
    <w:bookmarkEnd w:id="37"/>
    <w:bookmarkStart w:id="38" w:name="X53fdac947548bdef61290df50139c12420f1f9a"/>
    <w:p>
      <w:pPr>
        <w:pStyle w:val="Heading4"/>
      </w:pPr>
      <w:r>
        <w:t xml:space="preserve">3.2 Besondere Stigmata</w:t>
      </w:r>
    </w:p>
    <w:tbl>
      <w:tblPr>
        <w:tblStyle w:val="Table"/>
        <w:tblW w:type="auto" w:w="0"/>
        <w:tblLook w:firstRow="1" w:lastRow="0" w:firstColumn="0" w:lastColumn="0" w:noHBand="0" w:noVBand="0" w:val="0020"/>
      </w:tblPr>
      <w:tblGrid>
        <w:gridCol w:w="2640"/>
        <w:gridCol w:w="2640"/>
        <w:gridCol w:w="2640"/>
      </w:tblGrid>
      <w:tr>
        <w:trPr>
          <w:tblHeader w:val="on"/>
        </w:trPr>
        <w:tc>
          <w:tcPr>
            <w:shd w:val="clear" w:color="auto" w:fill="1A2B4C"/>
          </w:tcPr>
          <w:tcPr/>
          <w:p>
            <w:pPr>
              <w:pStyle w:val="Compact"/>
            </w:pPr>
            <w:r>
              <w:rPr>
                <w:b/>
                <w:color w:val="FFFFFF"/>
                <w:b/>
                <w:color w:val="FFFFFF"/>
              </w:rPr>
              <w:t xml:space="preserve">Verhalten</w:t>
            </w:r>
          </w:p>
        </w:tc>
        <w:tc>
          <w:tcPr>
            <w:shd w:val="clear" w:color="auto" w:fill="1A2B4C"/>
          </w:tcPr>
          <w:tcPr/>
          <w:p>
            <w:pPr>
              <w:pStyle w:val="Compact"/>
            </w:pPr>
            <w:r>
              <w:rPr>
                <w:b/>
                <w:color w:val="FFFFFF"/>
                <w:b/>
                <w:color w:val="FFFFFF"/>
              </w:rPr>
              <w:t xml:space="preserve">Typisches Stigma</w:t>
            </w:r>
          </w:p>
        </w:tc>
        <w:tc>
          <w:tcPr>
            <w:shd w:val="clear" w:color="auto" w:fill="1A2B4C"/>
          </w:tcPr>
          <w:tcPr/>
          <w:p>
            <w:pPr>
              <w:pStyle w:val="Compact"/>
            </w:pPr>
            <w:r>
              <w:rPr>
                <w:b/>
                <w:color w:val="FFFFFF"/>
                <w:b/>
                <w:color w:val="FFFFFF"/>
              </w:rPr>
              <w:t xml:space="preserve">Folge für die Beratung</w:t>
            </w:r>
          </w:p>
        </w:tc>
      </w:tr>
      <w:tr>
        <w:tc>
          <w:tcPr/>
          <w:p>
            <w:pPr>
              <w:pStyle w:val="Compact"/>
            </w:pPr>
            <w:r>
              <w:t xml:space="preserve">Sex/Porno</w:t>
            </w:r>
          </w:p>
        </w:tc>
        <w:tc>
          <w:tcPr/>
          <w:p>
            <w:pPr>
              <w:pStyle w:val="Compact"/>
            </w:pPr>
            <w:r>
              <w:t xml:space="preserve">Moralische Bewertung, Tabu, Angst vor Anzeige oder Offenlegung</w:t>
            </w:r>
          </w:p>
        </w:tc>
        <w:tc>
          <w:tcPr/>
          <w:p>
            <w:pPr>
              <w:pStyle w:val="Compact"/>
            </w:pPr>
            <w:r>
              <w:t xml:space="preserve">Vertraulichkeit früh erklären, Tempo der Person folgen, Begriff „Sucht" nur nutzen, wenn die Person ihn nutzt [Vorschlag]</w:t>
            </w:r>
          </w:p>
        </w:tc>
      </w:tr>
      <w:tr>
        <w:tc>
          <w:tcPr/>
          <w:p>
            <w:pPr>
              <w:pStyle w:val="Compact"/>
            </w:pPr>
            <w:r>
              <w:t xml:space="preserve">Kaufsucht</w:t>
            </w:r>
          </w:p>
        </w:tc>
        <w:tc>
          <w:tcPr/>
          <w:p>
            <w:pPr>
              <w:pStyle w:val="Compact"/>
            </w:pPr>
            <w:r>
              <w:t xml:space="preserve">„Verschwendung", Charakterschwäche, oft als „Frauenproblem" abgetan</w:t>
            </w:r>
          </w:p>
        </w:tc>
        <w:tc>
          <w:tcPr/>
          <w:p>
            <w:pPr>
              <w:pStyle w:val="Compact"/>
            </w:pPr>
            <w:r>
              <w:t xml:space="preserve">Funktion (Gefühlsregulation) im Blick, nicht über Moral verhandeln [Vorschlag]</w:t>
            </w:r>
          </w:p>
        </w:tc>
      </w:tr>
      <w:tr>
        <w:tc>
          <w:tcPr/>
          <w:p>
            <w:pPr>
              <w:pStyle w:val="Compact"/>
            </w:pPr>
            <w:r>
              <w:t xml:space="preserve">Arbeit</w:t>
            </w:r>
          </w:p>
        </w:tc>
        <w:tc>
          <w:tcPr/>
          <w:p>
            <w:pPr>
              <w:pStyle w:val="Compact"/>
            </w:pPr>
            <w:r>
              <w:t xml:space="preserve">Gesellschaftlich belohnt, wird kaum als Problem gesehen</w:t>
            </w:r>
          </w:p>
        </w:tc>
        <w:tc>
          <w:tcPr/>
          <w:p>
            <w:pPr>
              <w:pStyle w:val="Compact"/>
            </w:pPr>
            <w:r>
              <w:t xml:space="preserve">Leidensdruck und Folgen erfragen, Anerkennung nicht in Frage stellen [Vorschlag]</w:t>
            </w:r>
          </w:p>
        </w:tc>
      </w:tr>
      <w:tr>
        <w:tc>
          <w:tcPr/>
          <w:p>
            <w:pPr>
              <w:pStyle w:val="Compact"/>
            </w:pPr>
            <w:r>
              <w:t xml:space="preserve">Sport</w:t>
            </w:r>
          </w:p>
        </w:tc>
        <w:tc>
          <w:tcPr/>
          <w:p>
            <w:pPr>
              <w:pStyle w:val="Compact"/>
            </w:pPr>
            <w:r>
              <w:t xml:space="preserve">Als gesund und diszipliniert gelobt</w:t>
            </w:r>
          </w:p>
        </w:tc>
        <w:tc>
          <w:tcPr/>
          <w:p>
            <w:pPr>
              <w:pStyle w:val="Compact"/>
            </w:pPr>
            <w:r>
              <w:t xml:space="preserve">Schmerz, Verletzung, Kontrollverlust ansprechen [Vorschlag]</w:t>
            </w:r>
          </w:p>
        </w:tc>
      </w:tr>
    </w:tbl>
    <w:bookmarkEnd w:id="38"/>
    <w:bookmarkStart w:id="39" w:name="Xacc2d62fd87b32a2c4898c88c23db9d4417b420"/>
    <w:p>
      <w:pPr>
        <w:pStyle w:val="Heading4"/>
      </w:pPr>
      <w:r>
        <w:t xml:space="preserve">3.3 Haltung der Beratenden</w:t>
      </w:r>
    </w:p>
    <w:p>
      <w:pPr>
        <w:pStyle w:val="FirstParagraph"/>
      </w:pPr>
      <w:r>
        <w:t xml:space="preserve">[Vorschlag]</w:t>
      </w:r>
    </w:p>
    <w:p>
      <w:pPr>
        <w:pStyle w:val="Compact"/>
        <w:numPr>
          <w:ilvl w:val="0"/>
          <w:numId w:val="1018"/>
        </w:numPr>
      </w:pPr>
      <w:r>
        <w:t xml:space="preserve">Sprache: „Verhalten", „Kontrollverlust", „Leidensdruck" statt moralisch aufgeladener Begriffe.</w:t>
      </w:r>
    </w:p>
    <w:p>
      <w:pPr>
        <w:pStyle w:val="Compact"/>
        <w:numPr>
          <w:ilvl w:val="0"/>
          <w:numId w:val="1018"/>
        </w:numPr>
      </w:pPr>
      <w:r>
        <w:t xml:space="preserve">Erstkontakt: Vertraulichkeit und Schweigepflicht früh erklären.</w:t>
      </w:r>
    </w:p>
    <w:p>
      <w:pPr>
        <w:pStyle w:val="Compact"/>
        <w:numPr>
          <w:ilvl w:val="0"/>
          <w:numId w:val="1018"/>
        </w:numPr>
      </w:pPr>
      <w:r>
        <w:t xml:space="preserve">Eigene Normvorstellungen zu Sexualität, Geld, Leistung reflektieren (Supervision, Intervision).</w:t>
      </w:r>
    </w:p>
    <w:p>
      <w:pPr>
        <w:pStyle w:val="Compact"/>
        <w:numPr>
          <w:ilvl w:val="0"/>
          <w:numId w:val="1018"/>
        </w:numPr>
      </w:pPr>
      <w:r>
        <w:t xml:space="preserve">Rückschritte neutral aufnehmen, keine Vorwürfe.</w:t>
      </w:r>
    </w:p>
    <w:p>
      <w:r>
        <w:pict>
          <v:rect style="width:0;height:1.5pt" o:hralign="center" o:hrstd="t" o:hr="t"/>
        </w:pict>
      </w:r>
    </w:p>
    <w:bookmarkEnd w:id="39"/>
    <w:bookmarkEnd w:id="40"/>
    <w:bookmarkStart w:id="44" w:name="Xfabbfc7831d4656f6d2d4612d7c17ce3cd0d9cf"/>
    <w:p>
      <w:pPr>
        <w:pStyle w:val="Heading3"/>
      </w:pPr>
      <w:r>
        <w:t xml:space="preserve">4. Entstehung und Äusserung</w:t>
      </w:r>
    </w:p>
    <w:bookmarkStart w:id="41" w:name="X8149b09ded345cff2c255e4c1ca04ed5d837197"/>
    <w:p>
      <w:pPr>
        <w:pStyle w:val="Heading4"/>
      </w:pPr>
      <w:r>
        <w:t xml:space="preserve">4.1 Entstehung</w:t>
      </w:r>
    </w:p>
    <w:p>
      <w:pPr>
        <w:pStyle w:val="FirstParagraph"/>
      </w:pPr>
      <w:r>
        <w:t xml:space="preserve">(Q: Ärzteblatt)</w:t>
      </w:r>
    </w:p>
    <w:p>
      <w:pPr>
        <w:pStyle w:val="BodyText"/>
      </w:pPr>
      <w:r>
        <w:t xml:space="preserve">Ein Bedingungsgefüge aus drei Gruppen von Faktoren:</w:t>
      </w:r>
    </w:p>
    <w:tbl>
      <w:tblPr>
        <w:tblStyle w:val="Table"/>
        <w:tblW w:type="auto" w:w="0"/>
        <w:tblLook w:firstRow="1" w:lastRow="0" w:firstColumn="0" w:lastColumn="0" w:noHBand="0" w:noVBand="0" w:val="0020"/>
      </w:tblPr>
      <w:tblGrid>
        <w:gridCol w:w="3960"/>
        <w:gridCol w:w="3960"/>
      </w:tblGrid>
      <w:tr>
        <w:trPr>
          <w:tblHeader w:val="on"/>
        </w:trPr>
        <w:tc>
          <w:tcPr>
            <w:shd w:val="clear" w:color="auto" w:fill="1A2B4C"/>
          </w:tcPr>
          <w:tcPr/>
          <w:p>
            <w:pPr>
              <w:pStyle w:val="Compact"/>
            </w:pPr>
            <w:r>
              <w:rPr>
                <w:b/>
                <w:color w:val="FFFFFF"/>
                <w:b/>
                <w:color w:val="FFFFFF"/>
              </w:rPr>
              <w:t xml:space="preserve">Faktorgruppe</w:t>
            </w:r>
          </w:p>
        </w:tc>
        <w:tc>
          <w:tcPr>
            <w:shd w:val="clear" w:color="auto" w:fill="1A2B4C"/>
          </w:tcPr>
          <w:tcPr/>
          <w:p>
            <w:pPr>
              <w:pStyle w:val="Compact"/>
            </w:pPr>
            <w:r>
              <w:rPr>
                <w:b/>
                <w:color w:val="FFFFFF"/>
                <w:b/>
                <w:color w:val="FFFFFF"/>
              </w:rPr>
              <w:t xml:space="preserve">Beispiele</w:t>
            </w:r>
          </w:p>
        </w:tc>
      </w:tr>
      <w:tr>
        <w:tc>
          <w:tcPr/>
          <w:p>
            <w:pPr>
              <w:pStyle w:val="Compact"/>
            </w:pPr>
            <w:r>
              <w:t xml:space="preserve">Personenvariablen</w:t>
            </w:r>
          </w:p>
        </w:tc>
        <w:tc>
          <w:tcPr/>
          <w:p>
            <w:pPr>
              <w:pStyle w:val="Compact"/>
            </w:pPr>
            <w:r>
              <w:t xml:space="preserve">Neurotizismus, Impulsivität, materielle Werteorientierung</w:t>
            </w:r>
          </w:p>
        </w:tc>
      </w:tr>
      <w:tr>
        <w:tc>
          <w:tcPr/>
          <w:p>
            <w:pPr>
              <w:pStyle w:val="Compact"/>
            </w:pPr>
            <w:r>
              <w:t xml:space="preserve">Soziale Faktoren</w:t>
            </w:r>
          </w:p>
        </w:tc>
        <w:tc>
          <w:tcPr/>
          <w:p>
            <w:pPr>
              <w:pStyle w:val="Compact"/>
            </w:pPr>
            <w:r>
              <w:t xml:space="preserve">Familie, Ausbildung, Beruf</w:t>
            </w:r>
          </w:p>
        </w:tc>
      </w:tr>
      <w:tr>
        <w:tc>
          <w:tcPr/>
          <w:p>
            <w:pPr>
              <w:pStyle w:val="Compact"/>
            </w:pPr>
            <w:r>
              <w:t xml:space="preserve">Angebotsfaktoren</w:t>
            </w:r>
          </w:p>
        </w:tc>
        <w:tc>
          <w:tcPr/>
          <w:p>
            <w:pPr>
              <w:pStyle w:val="Compact"/>
            </w:pPr>
            <w:r>
              <w:t xml:space="preserve">Automaten, Games, Kaufangebote</w:t>
            </w:r>
          </w:p>
        </w:tc>
      </w:tr>
    </w:tbl>
    <w:p>
      <w:pPr>
        <w:pStyle w:val="BodyText"/>
      </w:pPr>
      <w:r>
        <w:rPr>
          <w:b/>
          <w:bCs/>
        </w:rPr>
        <w:t xml:space="preserve">Aufrechterhaltung:</w:t>
      </w:r>
      <w:r>
        <w:t xml:space="preserve"> </w:t>
      </w:r>
      <w:r>
        <w:t xml:space="preserve">Klassisches und operantes Lernen sowie Neuroadaption. Positive Gefühle und die Verdrängung unangenehmer Emotionen belohnen das Verhalten; alternative Strategien werden seltener genutzt. Mit der Zeit treten Merkmale der Substanzsucht auf: Kontrollverlust, Toleranz, Entzug.</w:t>
      </w:r>
    </w:p>
    <w:p>
      <w:pPr>
        <w:pStyle w:val="BodyText"/>
      </w:pPr>
      <w:r>
        <w:t xml:space="preserve">Nach dem Auftragstext reagiert das Belohnungssystem ähnlich wie bei Alkohol oder Drogen. Modelle wie I-PACE sind nicht gesondert recherchiert [Lücke]. Für die Psychoedukation genügt das Bedingungsgefüge.</w:t>
      </w:r>
    </w:p>
    <w:bookmarkEnd w:id="41"/>
    <w:bookmarkStart w:id="42" w:name="X170384acb725410db48b8942f647918995aa91b"/>
    <w:p>
      <w:pPr>
        <w:pStyle w:val="Heading4"/>
      </w:pPr>
      <w:r>
        <w:t xml:space="preserve">4.2 Teufelskreis für die Psychoedukation</w:t>
      </w:r>
    </w:p>
    <w:p>
      <w:pPr>
        <w:pStyle w:val="FirstParagraph"/>
      </w:pPr>
      <w:r>
        <w:t xml:space="preserve">[Vorschlag]</w:t>
      </w:r>
    </w:p>
    <w:p>
      <w:pPr>
        <w:pStyle w:val="BodyText"/>
      </w:pPr>
      <w:r>
        <w:t xml:space="preserve">Auslöser (Gefühl, Situation, Angebot) → Drang → Verhalten → kurzfristige Erleichterung → Folgen (Geld, Beziehung, Zeit) → Scham und Anspannung → neuer Auslöser.</w:t>
      </w:r>
    </w:p>
    <w:p>
      <w:pPr>
        <w:pStyle w:val="BodyText"/>
      </w:pPr>
      <w:r>
        <w:t xml:space="preserve">Grafik G2 (Entstehungsmodell mit Teufelskreis): siehe Kap. 14.</w:t>
      </w:r>
    </w:p>
    <w:bookmarkEnd w:id="42"/>
    <w:bookmarkStart w:id="43" w:name="X382178b924b1e1e4bbeae9fc1307ad17904c93b"/>
    <w:p>
      <w:pPr>
        <w:pStyle w:val="Heading4"/>
      </w:pPr>
      <w:r>
        <w:t xml:space="preserve">4.3 Typische Äusserungen</w:t>
      </w:r>
    </w:p>
    <w:p>
      <w:pPr>
        <w:pStyle w:val="FirstParagraph"/>
      </w:pPr>
      <w:r>
        <w:t xml:space="preserve">(Q: Auftragsvorlage; Ärzteblatt)</w:t>
      </w:r>
    </w:p>
    <w:p>
      <w:pPr>
        <w:pStyle w:val="Compact"/>
        <w:numPr>
          <w:ilvl w:val="0"/>
          <w:numId w:val="1019"/>
        </w:numPr>
      </w:pPr>
      <w:r>
        <w:t xml:space="preserve">Kontrollverlust über Dauer, Häufigkeit, Intensität</w:t>
      </w:r>
    </w:p>
    <w:p>
      <w:pPr>
        <w:pStyle w:val="Compact"/>
        <w:numPr>
          <w:ilvl w:val="0"/>
          <w:numId w:val="1019"/>
        </w:numPr>
      </w:pPr>
      <w:r>
        <w:t xml:space="preserve">Steigender Zeitaufwand, Dosissteigerung</w:t>
      </w:r>
    </w:p>
    <w:p>
      <w:pPr>
        <w:pStyle w:val="Compact"/>
        <w:numPr>
          <w:ilvl w:val="0"/>
          <w:numId w:val="1019"/>
        </w:numPr>
      </w:pPr>
      <w:r>
        <w:t xml:space="preserve">Innere Unruhe, Reizbarkeit, Unbehagen bei Verzicht</w:t>
      </w:r>
    </w:p>
    <w:p>
      <w:pPr>
        <w:pStyle w:val="Compact"/>
        <w:numPr>
          <w:ilvl w:val="0"/>
          <w:numId w:val="1019"/>
        </w:numPr>
      </w:pPr>
      <w:r>
        <w:t xml:space="preserve">Vernachlässigung von Beziehungen, Familie, Pflichten</w:t>
      </w:r>
    </w:p>
    <w:p>
      <w:pPr>
        <w:pStyle w:val="Compact"/>
        <w:numPr>
          <w:ilvl w:val="0"/>
          <w:numId w:val="1019"/>
        </w:numPr>
      </w:pPr>
      <w:r>
        <w:t xml:space="preserve">Fortführung trotz Folgen, Verschweigen, Lügen</w:t>
      </w:r>
    </w:p>
    <w:p>
      <w:r>
        <w:pict>
          <v:rect style="width:0;height:1.5pt" o:hralign="center" o:hrstd="t" o:hr="t"/>
        </w:pict>
      </w:r>
    </w:p>
    <w:bookmarkEnd w:id="43"/>
    <w:bookmarkEnd w:id="44"/>
    <w:bookmarkStart w:id="48" w:name="X80fc25fdd2917324642cc5cf7e9dcecdb3374dd"/>
    <w:p>
      <w:pPr>
        <w:pStyle w:val="Heading3"/>
      </w:pPr>
      <w:r>
        <w:t xml:space="preserve">5. Komorbiditäten und Belastungen</w:t>
      </w:r>
    </w:p>
    <w:bookmarkStart w:id="45" w:name="X85cd544e1b63bb3bc906c813c8b718027339bbe"/>
    <w:p>
      <w:pPr>
        <w:pStyle w:val="Heading4"/>
      </w:pPr>
      <w:r>
        <w:t xml:space="preserve">5.1 Komorbiditäten</w:t>
      </w:r>
    </w:p>
    <w:tbl>
      <w:tblPr>
        <w:tblStyle w:val="Table"/>
        <w:tblW w:type="auto" w:w="0"/>
        <w:tblLook w:firstRow="1" w:lastRow="0" w:firstColumn="0" w:lastColumn="0" w:noHBand="0" w:noVBand="0" w:val="0020"/>
      </w:tblPr>
      <w:tblGrid>
        <w:gridCol w:w="2640"/>
        <w:gridCol w:w="2640"/>
        <w:gridCol w:w="2640"/>
      </w:tblGrid>
      <w:tr>
        <w:trPr>
          <w:tblHeader w:val="on"/>
        </w:trPr>
        <w:tc>
          <w:tcPr>
            <w:shd w:val="clear" w:color="auto" w:fill="1A2B4C"/>
          </w:tcPr>
          <w:tcPr/>
          <w:p>
            <w:pPr>
              <w:pStyle w:val="Compact"/>
            </w:pPr>
            <w:r>
              <w:rPr>
                <w:b/>
                <w:color w:val="FFFFFF"/>
                <w:b/>
                <w:color w:val="FFFFFF"/>
              </w:rPr>
              <w:t xml:space="preserve">Verhalten</w:t>
            </w:r>
          </w:p>
        </w:tc>
        <w:tc>
          <w:tcPr>
            <w:shd w:val="clear" w:color="auto" w:fill="1A2B4C"/>
          </w:tcPr>
          <w:tcPr/>
          <w:p>
            <w:pPr>
              <w:pStyle w:val="Compact"/>
            </w:pPr>
            <w:r>
              <w:rPr>
                <w:b/>
                <w:color w:val="FFFFFF"/>
                <w:b/>
                <w:color w:val="FFFFFF"/>
              </w:rPr>
              <w:t xml:space="preserve">Beschriebene Komorbiditäten</w:t>
            </w:r>
          </w:p>
        </w:tc>
        <w:tc>
          <w:tcPr>
            <w:shd w:val="clear" w:color="auto" w:fill="1A2B4C"/>
          </w:tcPr>
          <w:tcPr/>
          <w:p>
            <w:pPr>
              <w:pStyle w:val="Compact"/>
            </w:pPr>
            <w:r>
              <w:rPr>
                <w:b/>
                <w:color w:val="FFFFFF"/>
                <w:b/>
                <w:color w:val="FFFFFF"/>
              </w:rPr>
              <w:t xml:space="preserve">Beleg</w:t>
            </w:r>
          </w:p>
        </w:tc>
      </w:tr>
      <w:tr>
        <w:tc>
          <w:tcPr/>
          <w:p>
            <w:pPr>
              <w:pStyle w:val="Compact"/>
            </w:pPr>
            <w:r>
              <w:t xml:space="preserve">Allgemein</w:t>
            </w:r>
          </w:p>
        </w:tc>
        <w:tc>
          <w:tcPr/>
          <w:p>
            <w:pPr>
              <w:pStyle w:val="Compact"/>
            </w:pPr>
            <w:r>
              <w:t xml:space="preserve">Häufig unipolare Depression. Verhaltenssüchte treten meist mit weiteren psychischen Störungen auf</w:t>
            </w:r>
          </w:p>
        </w:tc>
        <w:tc>
          <w:tcPr/>
          <w:p>
            <w:pPr>
              <w:pStyle w:val="Compact"/>
            </w:pPr>
            <w:r>
              <w:t xml:space="preserve">Q: Ärzteblatt; Psychosomatik-Studie</w:t>
            </w:r>
          </w:p>
        </w:tc>
      </w:tr>
      <w:tr>
        <w:tc>
          <w:tcPr/>
          <w:p>
            <w:pPr>
              <w:pStyle w:val="Compact"/>
            </w:pPr>
            <w:r>
              <w:t xml:space="preserve">Kaufsucht</w:t>
            </w:r>
          </w:p>
        </w:tc>
        <w:tc>
          <w:tcPr/>
          <w:p>
            <w:pPr>
              <w:pStyle w:val="Compact"/>
            </w:pPr>
            <w:r>
              <w:t xml:space="preserve">Depression, Angststörungen/soziale Ängste, Binge-Eating-Störung, zwanghaftes Horten, Glücksspielsucht, Substanzkonsum, Zwangsstörung, Persönlichkeitsstörungen, andere Impulskontrollstörungen, ADHS (Folienhinweis)</w:t>
            </w:r>
          </w:p>
        </w:tc>
        <w:tc>
          <w:tcPr/>
          <w:p>
            <w:pPr>
              <w:pStyle w:val="Compact"/>
            </w:pPr>
            <w:r>
              <w:t xml:space="preserve">Q: Ärzteblatt; Thieme; Hogrefe; Mueller/de Zwaan; Gutzeit-Folien</w:t>
            </w:r>
          </w:p>
        </w:tc>
      </w:tr>
      <w:tr>
        <w:tc>
          <w:tcPr/>
          <w:p>
            <w:pPr>
              <w:pStyle w:val="Compact"/>
            </w:pPr>
            <w:r>
              <w:t xml:space="preserve">CSBD</w:t>
            </w:r>
          </w:p>
        </w:tc>
        <w:tc>
          <w:tcPr/>
          <w:p>
            <w:pPr>
              <w:pStyle w:val="Compact"/>
            </w:pPr>
            <w:r>
              <w:t xml:space="preserve">Komorbiditäten werden durch Verhaltensanalyse oft entdeckt</w:t>
            </w:r>
          </w:p>
        </w:tc>
        <w:tc>
          <w:tcPr/>
          <w:p>
            <w:pPr>
              <w:pStyle w:val="Compact"/>
            </w:pPr>
            <w:r>
              <w:t xml:space="preserve">Q: Hughes</w:t>
            </w:r>
          </w:p>
        </w:tc>
      </w:tr>
      <w:tr>
        <w:tc>
          <w:tcPr/>
          <w:p>
            <w:pPr>
              <w:pStyle w:val="Compact"/>
            </w:pPr>
            <w:r>
              <w:t xml:space="preserve">Gaming/Internet, Glücksspiel (zur Abgrenzung)</w:t>
            </w:r>
          </w:p>
        </w:tc>
        <w:tc>
          <w:tcPr/>
          <w:p>
            <w:pPr>
              <w:pStyle w:val="Compact"/>
            </w:pPr>
            <w:r>
              <w:t xml:space="preserve">Angststörungen, ADHS bzw. Substanzkonsumstörungen</w:t>
            </w:r>
          </w:p>
        </w:tc>
        <w:tc>
          <w:tcPr/>
          <w:p>
            <w:pPr>
              <w:pStyle w:val="Compact"/>
            </w:pPr>
            <w:r>
              <w:t xml:space="preserve">Q: Ärzteblatt</w:t>
            </w:r>
          </w:p>
        </w:tc>
      </w:tr>
    </w:tbl>
    <w:p>
      <w:pPr>
        <w:pStyle w:val="BodyText"/>
      </w:pPr>
      <w:r>
        <w:t xml:space="preserve">In einer deutschen Studie in psychosomatischen Kliniken (n = 801) bestand bei 24,1 % der Verdacht auf mindestens eine Verhaltenssucht (Q: Psychosomatik-Studie 2021).</w:t>
      </w:r>
    </w:p>
    <w:p>
      <w:pPr>
        <w:pStyle w:val="BodyText"/>
      </w:pPr>
      <w:r>
        <w:rPr>
          <w:b/>
          <w:bCs/>
        </w:rPr>
        <w:t xml:space="preserve">Weitere Abklärungen, hier nicht belegt [eigenes Wissen, vor Aufnahme prüfen]:</w:t>
      </w:r>
    </w:p>
    <w:p>
      <w:pPr>
        <w:pStyle w:val="Compact"/>
        <w:numPr>
          <w:ilvl w:val="0"/>
          <w:numId w:val="1020"/>
        </w:numPr>
      </w:pPr>
      <w:r>
        <w:t xml:space="preserve">Bipolare Störung/Hypomanie (Kaufen und Sexualverhalten in manischen Phasen)</w:t>
      </w:r>
    </w:p>
    <w:p>
      <w:pPr>
        <w:pStyle w:val="Compact"/>
        <w:numPr>
          <w:ilvl w:val="0"/>
          <w:numId w:val="1020"/>
        </w:numPr>
      </w:pPr>
      <w:r>
        <w:t xml:space="preserve">Dopaminagonisten bei Parkinson oder Restless-Legs als medikamentöse Ursache von Impulskontrollstörungen</w:t>
      </w:r>
    </w:p>
    <w:p>
      <w:pPr>
        <w:pStyle w:val="Compact"/>
        <w:numPr>
          <w:ilvl w:val="0"/>
          <w:numId w:val="1020"/>
        </w:numPr>
      </w:pPr>
      <w:r>
        <w:t xml:space="preserve">Substanzkonsum (Alkohol, Kokain) als Enthemmung</w:t>
      </w:r>
    </w:p>
    <w:p>
      <w:pPr>
        <w:pStyle w:val="FirstParagraph"/>
      </w:pPr>
      <w:r>
        <w:t xml:space="preserve">Bei hoher Komorbidität ist diagnostisch zu klären, welche Störung primär und welche sekundär ist (Q: Ärzteblatt, Kaufsucht-Artikel). In der Beratung heisst das: nicht diagnostizieren, systematisch erfragen, zuweisen (Kap. 6.2, 12).</w:t>
      </w:r>
    </w:p>
    <w:bookmarkEnd w:id="45"/>
    <w:bookmarkStart w:id="46" w:name="Xf31a951f2f6994231383ad7db23c75df4848ff7"/>
    <w:p>
      <w:pPr>
        <w:pStyle w:val="Heading4"/>
      </w:pPr>
      <w:r>
        <w:t xml:space="preserve">5.2 Belastungen</w:t>
      </w:r>
    </w:p>
    <w:tbl>
      <w:tblPr>
        <w:tblStyle w:val="Table"/>
        <w:tblW w:type="auto" w:w="0"/>
        <w:tblLook w:firstRow="1" w:lastRow="0" w:firstColumn="0" w:lastColumn="0" w:noHBand="0" w:noVBand="0" w:val="0020"/>
      </w:tblPr>
      <w:tblGrid>
        <w:gridCol w:w="2640"/>
        <w:gridCol w:w="2640"/>
        <w:gridCol w:w="2640"/>
      </w:tblGrid>
      <w:tr>
        <w:trPr>
          <w:tblHeader w:val="on"/>
        </w:trPr>
        <w:tc>
          <w:tcPr>
            <w:shd w:val="clear" w:color="auto" w:fill="1A2B4C"/>
          </w:tcPr>
          <w:tcPr/>
          <w:p>
            <w:pPr>
              <w:pStyle w:val="Compact"/>
            </w:pPr>
            <w:r>
              <w:rPr>
                <w:b/>
                <w:color w:val="FFFFFF"/>
                <w:b/>
                <w:color w:val="FFFFFF"/>
              </w:rPr>
              <w:t xml:space="preserve">Bereich</w:t>
            </w:r>
          </w:p>
        </w:tc>
        <w:tc>
          <w:tcPr>
            <w:shd w:val="clear" w:color="auto" w:fill="1A2B4C"/>
          </w:tcPr>
          <w:tcPr/>
          <w:p>
            <w:pPr>
              <w:pStyle w:val="Compact"/>
            </w:pPr>
            <w:r>
              <w:rPr>
                <w:b/>
                <w:color w:val="FFFFFF"/>
                <w:b/>
                <w:color w:val="FFFFFF"/>
              </w:rPr>
              <w:t xml:space="preserve">Belastung</w:t>
            </w:r>
          </w:p>
        </w:tc>
        <w:tc>
          <w:tcPr>
            <w:shd w:val="clear" w:color="auto" w:fill="1A2B4C"/>
          </w:tcPr>
          <w:tcPr/>
          <w:p>
            <w:pPr>
              <w:pStyle w:val="Compact"/>
            </w:pPr>
            <w:r>
              <w:rPr>
                <w:b/>
                <w:color w:val="FFFFFF"/>
                <w:b/>
                <w:color w:val="FFFFFF"/>
              </w:rPr>
              <w:t xml:space="preserve">Beleg</w:t>
            </w:r>
          </w:p>
        </w:tc>
      </w:tr>
      <w:tr>
        <w:tc>
          <w:tcPr/>
          <w:p>
            <w:pPr>
              <w:pStyle w:val="Compact"/>
            </w:pPr>
            <w:r>
              <w:t xml:space="preserve">Finanziell</w:t>
            </w:r>
          </w:p>
        </w:tc>
        <w:tc>
          <w:tcPr/>
          <w:p>
            <w:pPr>
              <w:pStyle w:val="Compact"/>
            </w:pPr>
            <w:r>
              <w:t xml:space="preserve">Verschuldung, Zahlungsrückstände</w:t>
            </w:r>
          </w:p>
        </w:tc>
        <w:tc>
          <w:tcPr/>
          <w:p>
            <w:pPr>
              <w:pStyle w:val="Compact"/>
            </w:pPr>
            <w:r>
              <w:t xml:space="preserve">Q: Ärzteblatt; Gauls; Hogrefe</w:t>
            </w:r>
          </w:p>
        </w:tc>
      </w:tr>
      <w:tr>
        <w:tc>
          <w:tcPr/>
          <w:p>
            <w:pPr>
              <w:pStyle w:val="Compact"/>
            </w:pPr>
            <w:r>
              <w:t xml:space="preserve">Rechtlich</w:t>
            </w:r>
          </w:p>
        </w:tc>
        <w:tc>
          <w:tcPr/>
          <w:p>
            <w:pPr>
              <w:pStyle w:val="Compact"/>
            </w:pPr>
            <w:r>
              <w:t xml:space="preserve">Beschaffungskriminalität, delinquentes Verhalten</w:t>
            </w:r>
          </w:p>
        </w:tc>
        <w:tc>
          <w:tcPr/>
          <w:p>
            <w:pPr>
              <w:pStyle w:val="Compact"/>
            </w:pPr>
            <w:r>
              <w:t xml:space="preserve">Q: Ärzteblatt; Gauls; Hogrefe</w:t>
            </w:r>
          </w:p>
        </w:tc>
      </w:tr>
      <w:tr>
        <w:tc>
          <w:tcPr/>
          <w:p>
            <w:pPr>
              <w:pStyle w:val="Compact"/>
            </w:pPr>
            <w:r>
              <w:t xml:space="preserve">Sozial</w:t>
            </w:r>
          </w:p>
        </w:tc>
        <w:tc>
          <w:tcPr/>
          <w:p>
            <w:pPr>
              <w:pStyle w:val="Compact"/>
            </w:pPr>
            <w:r>
              <w:t xml:space="preserve">Isolation, Partnerschafts- und Familienkonflikte</w:t>
            </w:r>
          </w:p>
        </w:tc>
        <w:tc>
          <w:tcPr/>
          <w:p>
            <w:pPr>
              <w:pStyle w:val="Compact"/>
            </w:pPr>
            <w:r>
              <w:t xml:space="preserve">Q: Ärzteblatt; Thieme „Kaufsucht"</w:t>
            </w:r>
          </w:p>
        </w:tc>
      </w:tr>
      <w:tr>
        <w:tc>
          <w:tcPr/>
          <w:p>
            <w:pPr>
              <w:pStyle w:val="Compact"/>
            </w:pPr>
            <w:r>
              <w:t xml:space="preserve">Beruflich</w:t>
            </w:r>
          </w:p>
        </w:tc>
        <w:tc>
          <w:tcPr/>
          <w:p>
            <w:pPr>
              <w:pStyle w:val="Compact"/>
            </w:pPr>
            <w:r>
              <w:t xml:space="preserve">Arbeitslosigkeit, Leistungseinbussen</w:t>
            </w:r>
          </w:p>
        </w:tc>
        <w:tc>
          <w:tcPr/>
          <w:p>
            <w:pPr>
              <w:pStyle w:val="Compact"/>
            </w:pPr>
            <w:r>
              <w:t xml:space="preserve">Q: Gauls</w:t>
            </w:r>
          </w:p>
        </w:tc>
      </w:tr>
      <w:tr>
        <w:tc>
          <w:tcPr/>
          <w:p>
            <w:pPr>
              <w:pStyle w:val="Compact"/>
            </w:pPr>
            <w:r>
              <w:t xml:space="preserve">Psychisch</w:t>
            </w:r>
          </w:p>
        </w:tc>
        <w:tc>
          <w:tcPr/>
          <w:p>
            <w:pPr>
              <w:pStyle w:val="Compact"/>
            </w:pPr>
            <w:r>
              <w:t xml:space="preserve">Scham, Schuld, depressive Verstimmung, Suizidrisiko</w:t>
            </w:r>
          </w:p>
        </w:tc>
        <w:tc>
          <w:tcPr/>
          <w:p>
            <w:pPr>
              <w:pStyle w:val="Compact"/>
            </w:pPr>
            <w:r>
              <w:t xml:space="preserve">Q: Ärzteblatt</w:t>
            </w:r>
          </w:p>
        </w:tc>
      </w:tr>
      <w:tr>
        <w:tc>
          <w:tcPr/>
          <w:p>
            <w:pPr>
              <w:pStyle w:val="Compact"/>
            </w:pPr>
            <w:r>
              <w:t xml:space="preserve">Umfeld</w:t>
            </w:r>
          </w:p>
        </w:tc>
        <w:tc>
          <w:tcPr/>
          <w:p>
            <w:pPr>
              <w:pStyle w:val="Compact"/>
            </w:pPr>
            <w:r>
              <w:t xml:space="preserve">Belastung von Partnerinnen und Partnern, Kindern</w:t>
            </w:r>
          </w:p>
        </w:tc>
        <w:tc>
          <w:tcPr/>
          <w:p>
            <w:pPr>
              <w:pStyle w:val="Compact"/>
            </w:pPr>
            <w:r>
              <w:t xml:space="preserve">Q: Fachverband Sucht</w:t>
            </w:r>
          </w:p>
        </w:tc>
      </w:tr>
    </w:tbl>
    <w:bookmarkEnd w:id="46"/>
    <w:bookmarkStart w:id="47" w:name="X0fba76ad2e5bc044c3c2462073d9c34808bf136"/>
    <w:p>
      <w:pPr>
        <w:pStyle w:val="Heading4"/>
      </w:pPr>
      <w:r>
        <w:t xml:space="preserve">5.3 Suizidrisiko</w:t>
      </w:r>
    </w:p>
    <w:tbl>
      <w:tblPr>
        <w:tblStyle w:val="Table"/>
        <w:tblW w:type="auto" w:w="0"/>
        <w:tblLook w:firstRow="1" w:lastRow="0" w:firstColumn="0" w:lastColumn="0" w:noHBand="0" w:noVBand="0" w:val="0020"/>
      </w:tblPr>
      <w:tblGrid>
        <w:gridCol w:w="3960"/>
        <w:gridCol w:w="3960"/>
      </w:tblGrid>
      <w:tr>
        <w:trPr>
          <w:tblHeader w:val="on"/>
        </w:trPr>
        <w:tc>
          <w:tcPr>
            <w:shd w:val="clear" w:color="auto" w:fill="1A2B4C"/>
          </w:tcPr>
          <w:tcPr/>
          <w:p>
            <w:pPr>
              <w:pStyle w:val="Compact"/>
            </w:pPr>
            <w:r>
              <w:rPr>
                <w:b/>
                <w:color w:val="FFFFFF"/>
                <w:b/>
                <w:color w:val="FFFFFF"/>
              </w:rPr>
              <w:t xml:space="preserve">Befund</w:t>
            </w:r>
          </w:p>
        </w:tc>
        <w:tc>
          <w:tcPr>
            <w:shd w:val="clear" w:color="auto" w:fill="1A2B4C"/>
          </w:tcPr>
          <w:tcPr/>
          <w:p>
            <w:pPr>
              <w:pStyle w:val="Compact"/>
            </w:pPr>
            <w:r>
              <w:rPr>
                <w:b/>
                <w:color w:val="FFFFFF"/>
                <w:b/>
                <w:color w:val="FFFFFF"/>
              </w:rPr>
              <w:t xml:space="preserve">Beleg</w:t>
            </w:r>
          </w:p>
        </w:tc>
      </w:tr>
      <w:tr>
        <w:tc>
          <w:tcPr/>
          <w:p>
            <w:pPr>
              <w:pStyle w:val="Compact"/>
            </w:pPr>
            <w:r>
              <w:t xml:space="preserve">Verhaltenssüchte wie Glücksspiel- und Kaufsucht gehen nicht selten mit Verschuldung, deutlich erhöhtem Suizidrisiko, Beschaffungskriminalität und Isolation einher</w:t>
            </w:r>
          </w:p>
        </w:tc>
        <w:tc>
          <w:tcPr/>
          <w:p>
            <w:pPr>
              <w:pStyle w:val="Compact"/>
            </w:pPr>
            <w:r>
              <w:t xml:space="preserve">Q: Ärzteblatt</w:t>
            </w:r>
          </w:p>
        </w:tc>
      </w:tr>
      <w:tr>
        <w:tc>
          <w:tcPr/>
          <w:p>
            <w:pPr>
              <w:pStyle w:val="Compact"/>
            </w:pPr>
            <w:r>
              <w:t xml:space="preserve">Glücksspiel: Metaanalyse (107 Studien): ca. jede dritte Person mit Glücksspielproblemen mit Suizidgedanken, 13.5 % mit Suizidversuch. Norwegische Registerdaten: Suizidrisiko etwa fünffach gegenüber der Allgemeinbevölkerung</w:t>
            </w:r>
          </w:p>
        </w:tc>
        <w:tc>
          <w:tcPr/>
          <w:p>
            <w:pPr>
              <w:pStyle w:val="Compact"/>
            </w:pPr>
            <w:r>
              <w:t xml:space="preserve">Q: Univ. Bergen</w:t>
            </w:r>
          </w:p>
        </w:tc>
      </w:tr>
      <w:tr>
        <w:tc>
          <w:tcPr/>
          <w:p>
            <w:pPr>
              <w:pStyle w:val="Compact"/>
            </w:pPr>
            <w:r>
              <w:t xml:space="preserve">Deutschsprachige Übersicht: je nach Setting 19–62 % Suizidgedanken, 10–26 % Suizidversuche</w:t>
            </w:r>
          </w:p>
        </w:tc>
        <w:tc>
          <w:tcPr/>
          <w:p>
            <w:pPr>
              <w:pStyle w:val="Compact"/>
            </w:pPr>
            <w:r>
              <w:t xml:space="preserve">Q: Thieme 2019</w:t>
            </w:r>
          </w:p>
        </w:tc>
      </w:tr>
      <w:tr>
        <w:tc>
          <w:tcPr/>
          <w:p>
            <w:pPr>
              <w:pStyle w:val="Compact"/>
            </w:pPr>
            <w:r>
              <w:t xml:space="preserve">Zwei Hauptprozesse: Verschuldung und Scham</w:t>
            </w:r>
          </w:p>
        </w:tc>
        <w:tc>
          <w:tcPr/>
          <w:p>
            <w:pPr>
              <w:pStyle w:val="Compact"/>
            </w:pPr>
            <w:r>
              <w:t xml:space="preserve">Q: Marionneau/Nikkinen 2022</w:t>
            </w:r>
          </w:p>
        </w:tc>
      </w:tr>
      <w:tr>
        <w:tc>
          <w:tcPr/>
          <w:p>
            <w:pPr>
              <w:pStyle w:val="Compact"/>
            </w:pPr>
            <w:r>
              <w:t xml:space="preserve">Fachseite: routinemässig Suizidrisiko abklären, Sicherheitsplanung</w:t>
            </w:r>
          </w:p>
        </w:tc>
        <w:tc>
          <w:tcPr/>
          <w:p>
            <w:pPr>
              <w:pStyle w:val="Compact"/>
            </w:pPr>
            <w:r>
              <w:t xml:space="preserve">Q: BASIS/MNAPG (Glücksspiel)</w:t>
            </w:r>
          </w:p>
        </w:tc>
      </w:tr>
    </w:tbl>
    <w:p>
      <w:pPr>
        <w:pStyle w:val="BodyText"/>
      </w:pPr>
      <w:r>
        <w:t xml:space="preserve">Für Kaufsucht sowie Sex- und Pornografiesucht gibt es keine eigenen Zahlen. Konsequenz:</w:t>
      </w:r>
      <w:r>
        <w:t xml:space="preserve"> </w:t>
      </w:r>
      <w:r>
        <w:rPr>
          <w:b/>
          <w:bCs/>
        </w:rPr>
        <w:t xml:space="preserve">Suizidalität bei jeder Verhaltenssucht im Erstkontakt direkt ansprechen</w:t>
      </w:r>
      <w:r>
        <w:t xml:space="preserve"> </w:t>
      </w:r>
      <w:r>
        <w:t xml:space="preserve">und das Krisenprozedere (Kap. 13) kennen [Vorschlag].</w:t>
      </w:r>
    </w:p>
    <w:p>
      <w:r>
        <w:pict>
          <v:rect style="width:0;height:1.5pt" o:hralign="center" o:hrstd="t" o:hr="t"/>
        </w:pict>
      </w:r>
    </w:p>
    <w:bookmarkEnd w:id="47"/>
    <w:bookmarkEnd w:id="48"/>
    <w:bookmarkEnd w:id="49"/>
    <w:bookmarkStart w:id="56" w:name="teil-3-grundlagen-der-beratung"/>
    <w:p>
      <w:pPr>
        <w:pStyle w:val="Heading2"/>
      </w:pPr>
      <w:r>
        <w:t xml:space="preserve">Teil 3: Grundlagen der Beratung</w:t>
      </w:r>
    </w:p>
    <w:p>
      <w:pPr>
        <w:pStyle w:val="FirstParagraph"/>
      </w:pPr>
      <w:r>
        <w:rPr>
          <w:b/>
          <w:bCs/>
        </w:rPr>
        <w:t xml:space="preserve">Inhalt dieses Teils</w:t>
      </w:r>
    </w:p>
    <w:p>
      <w:pPr>
        <w:pStyle w:val="Compact"/>
        <w:numPr>
          <w:ilvl w:val="0"/>
          <w:numId w:val="1021"/>
        </w:numPr>
      </w:pPr>
      <w:hyperlink w:anchor="Xc1ddd451809d4f3c8f5bf687ff7221ea75e0e56">
        <w:r>
          <w:rPr>
            <w:rStyle w:val="Hyperlink"/>
          </w:rPr>
          <w:t xml:space="preserve">6. Beratung</w:t>
        </w:r>
      </w:hyperlink>
    </w:p>
    <w:p>
      <w:pPr>
        <w:pStyle w:val="Compact"/>
        <w:numPr>
          <w:ilvl w:val="1"/>
          <w:numId w:val="1022"/>
        </w:numPr>
      </w:pPr>
      <w:hyperlink w:anchor="Xdf66fdf2d642f4179c288a366ae5c63ad2fe6f3">
        <w:r>
          <w:rPr>
            <w:rStyle w:val="Hyperlink"/>
          </w:rPr>
          <w:t xml:space="preserve">6.1 Haltung und Grundansatz</w:t>
        </w:r>
      </w:hyperlink>
    </w:p>
    <w:p>
      <w:pPr>
        <w:pStyle w:val="Compact"/>
        <w:numPr>
          <w:ilvl w:val="1"/>
          <w:numId w:val="1022"/>
        </w:numPr>
      </w:pPr>
      <w:hyperlink w:anchor="Xaee722899f3d2292a91ff8cd61c0ebda55a5ad4">
        <w:r>
          <w:rPr>
            <w:rStyle w:val="Hyperlink"/>
          </w:rPr>
          <w:t xml:space="preserve">6.2 Abgrenzung zur Psychotherapie</w:t>
        </w:r>
      </w:hyperlink>
    </w:p>
    <w:p>
      <w:pPr>
        <w:pStyle w:val="Compact"/>
        <w:numPr>
          <w:ilvl w:val="1"/>
          <w:numId w:val="1022"/>
        </w:numPr>
      </w:pPr>
      <w:hyperlink w:anchor="Xd82403a9a4aef5325bde2bb8e0a93366cae26c9">
        <w:r>
          <w:rPr>
            <w:rStyle w:val="Hyperlink"/>
          </w:rPr>
          <w:t xml:space="preserve">6.3 Beratungsweg in fünf Schritten</w:t>
        </w:r>
      </w:hyperlink>
    </w:p>
    <w:p>
      <w:pPr>
        <w:pStyle w:val="Compact"/>
        <w:numPr>
          <w:ilvl w:val="1"/>
          <w:numId w:val="1022"/>
        </w:numPr>
      </w:pPr>
      <w:hyperlink w:anchor="X6fb9ed9900ed87b14efb77981ad93fbcc0df125">
        <w:r>
          <w:rPr>
            <w:rStyle w:val="Hyperlink"/>
          </w:rPr>
          <w:t xml:space="preserve">6.4 Technik-Katalog</w:t>
        </w:r>
      </w:hyperlink>
    </w:p>
    <w:p>
      <w:pPr>
        <w:pStyle w:val="Compact"/>
        <w:numPr>
          <w:ilvl w:val="1"/>
          <w:numId w:val="1022"/>
        </w:numPr>
      </w:pPr>
      <w:hyperlink w:anchor="X7abae8a893dceb86f30741bf643235ce081b08a">
        <w:r>
          <w:rPr>
            <w:rStyle w:val="Hyperlink"/>
          </w:rPr>
          <w:t xml:space="preserve">6.5 Rückfälle, Abbrüche, Heimlichkeit</w:t>
        </w:r>
      </w:hyperlink>
    </w:p>
    <w:bookmarkStart w:id="55" w:name="Xc1ddd451809d4f3c8f5bf687ff7221ea75e0e56"/>
    <w:p>
      <w:pPr>
        <w:pStyle w:val="Heading3"/>
      </w:pPr>
      <w:r>
        <w:t xml:space="preserve">6. Beratung</w:t>
      </w:r>
    </w:p>
    <w:bookmarkStart w:id="50" w:name="Xdf66fdf2d642f4179c288a366ae5c63ad2fe6f3"/>
    <w:p>
      <w:pPr>
        <w:pStyle w:val="Heading4"/>
      </w:pPr>
      <w:r>
        <w:t xml:space="preserve">6.1 Haltung und Grundansatz</w:t>
      </w:r>
    </w:p>
    <w:tbl>
      <w:tblPr>
        <w:tblStyle w:val="Table"/>
        <w:tblW w:type="auto" w:w="0"/>
        <w:tblLook w:firstRow="1" w:lastRow="0" w:firstColumn="0" w:lastColumn="0" w:noHBand="0" w:noVBand="0" w:val="0020"/>
      </w:tblPr>
      <w:tblGrid>
        <w:gridCol w:w="2640"/>
        <w:gridCol w:w="2640"/>
        <w:gridCol w:w="2640"/>
      </w:tblGrid>
      <w:tr>
        <w:trPr>
          <w:tblHeader w:val="on"/>
        </w:trPr>
        <w:tc>
          <w:tcPr>
            <w:shd w:val="clear" w:color="auto" w:fill="1A2B4C"/>
          </w:tcPr>
          <w:tcPr/>
          <w:p>
            <w:pPr>
              <w:pStyle w:val="Compact"/>
            </w:pPr>
            <w:r>
              <w:rPr>
                <w:b/>
                <w:color w:val="FFFFFF"/>
                <w:b/>
                <w:color w:val="FFFFFF"/>
              </w:rPr>
              <w:t xml:space="preserve">Element</w:t>
            </w:r>
          </w:p>
        </w:tc>
        <w:tc>
          <w:tcPr>
            <w:shd w:val="clear" w:color="auto" w:fill="1A2B4C"/>
          </w:tcPr>
          <w:tcPr/>
          <w:p>
            <w:pPr>
              <w:pStyle w:val="Compact"/>
            </w:pPr>
            <w:r>
              <w:rPr>
                <w:b/>
                <w:color w:val="FFFFFF"/>
                <w:b/>
                <w:color w:val="FFFFFF"/>
              </w:rPr>
              <w:t xml:space="preserve">Inhalt</w:t>
            </w:r>
          </w:p>
        </w:tc>
        <w:tc>
          <w:tcPr>
            <w:shd w:val="clear" w:color="auto" w:fill="1A2B4C"/>
          </w:tcPr>
          <w:tcPr/>
          <w:p>
            <w:pPr>
              <w:pStyle w:val="Compact"/>
            </w:pPr>
            <w:r>
              <w:rPr>
                <w:b/>
                <w:color w:val="FFFFFF"/>
                <w:b/>
                <w:color w:val="FFFFFF"/>
              </w:rPr>
              <w:t xml:space="preserve">Beleg</w:t>
            </w:r>
          </w:p>
        </w:tc>
      </w:tr>
      <w:tr>
        <w:tc>
          <w:tcPr/>
          <w:p>
            <w:pPr>
              <w:pStyle w:val="Compact"/>
            </w:pPr>
            <w:r>
              <w:t xml:space="preserve">Personzentriert</w:t>
            </w:r>
          </w:p>
        </w:tc>
        <w:tc>
          <w:tcPr/>
          <w:p>
            <w:pPr>
              <w:pStyle w:val="Compact"/>
            </w:pPr>
            <w:r>
              <w:t xml:space="preserve">Vorurteilsfreie Arbeit am Selbstkonzept, Wertschätzung, Alltags- und Geldmanagement als fester Bestandteil</w:t>
            </w:r>
          </w:p>
        </w:tc>
        <w:tc>
          <w:tcPr/>
          <w:p>
            <w:pPr>
              <w:pStyle w:val="Compact"/>
            </w:pPr>
            <w:r>
              <w:t xml:space="preserve">Q: Gauls</w:t>
            </w:r>
          </w:p>
        </w:tc>
      </w:tr>
      <w:tr>
        <w:tc>
          <w:tcPr/>
          <w:p>
            <w:pPr>
              <w:pStyle w:val="Compact"/>
            </w:pPr>
            <w:r>
              <w:t xml:space="preserve">Ganzheitlich</w:t>
            </w:r>
          </w:p>
        </w:tc>
        <w:tc>
          <w:tcPr/>
          <w:p>
            <w:pPr>
              <w:pStyle w:val="Compact"/>
            </w:pPr>
            <w:r>
              <w:t xml:space="preserve">Nicht nur das Verhalten, auch Arbeit, Wohnen, Finanzen, Freizeit, soziale Kontakte. Ziele gemeinsam festlegen</w:t>
            </w:r>
          </w:p>
        </w:tc>
        <w:tc>
          <w:tcPr/>
          <w:p>
            <w:pPr>
              <w:pStyle w:val="Compact"/>
            </w:pPr>
            <w:r>
              <w:t xml:space="preserve">Q: Basel-Stadt, Abteilung Sucht</w:t>
            </w:r>
          </w:p>
        </w:tc>
      </w:tr>
      <w:tr>
        <w:tc>
          <w:tcPr/>
          <w:p>
            <w:pPr>
              <w:pStyle w:val="Compact"/>
            </w:pPr>
            <w:r>
              <w:t xml:space="preserve">Zieloffen</w:t>
            </w:r>
          </w:p>
        </w:tc>
        <w:tc>
          <w:tcPr/>
          <w:p>
            <w:pPr>
              <w:pStyle w:val="Compact"/>
            </w:pPr>
            <w:r>
              <w:t xml:space="preserve">Mit dem Ziel arbeiten, das die Person sich selbst setzt. Abstinenz und Reduktion als gleichwertige Optionen</w:t>
            </w:r>
          </w:p>
        </w:tc>
        <w:tc>
          <w:tcPr/>
          <w:p>
            <w:pPr>
              <w:pStyle w:val="Compact"/>
            </w:pPr>
            <w:r>
              <w:t xml:space="preserve">Q: Caritas (Ansatz nach Körkel)</w:t>
            </w:r>
          </w:p>
        </w:tc>
      </w:tr>
      <w:tr>
        <w:tc>
          <w:tcPr/>
          <w:p>
            <w:pPr>
              <w:pStyle w:val="Compact"/>
            </w:pPr>
            <w:r>
              <w:t xml:space="preserve">Ambivalenz ernst nehmen</w:t>
            </w:r>
          </w:p>
        </w:tc>
        <w:tc>
          <w:tcPr/>
          <w:p>
            <w:pPr>
              <w:pStyle w:val="Compact"/>
            </w:pPr>
            <w:r>
              <w:t xml:space="preserve">Das Verhalten bringt kurzfristig Entlastung. Betroffene kommen oft erst auf Druck oder bei Folgeproblemen</w:t>
            </w:r>
          </w:p>
        </w:tc>
        <w:tc>
          <w:tcPr/>
          <w:p>
            <w:pPr>
              <w:pStyle w:val="Compact"/>
            </w:pPr>
            <w:r>
              <w:t xml:space="preserve">Q: Ärzteblatt</w:t>
            </w:r>
          </w:p>
        </w:tc>
      </w:tr>
      <w:tr>
        <w:tc>
          <w:tcPr/>
          <w:p>
            <w:pPr>
              <w:pStyle w:val="Compact"/>
            </w:pPr>
            <w:r>
              <w:t xml:space="preserve">Nicht-konfrontativ</w:t>
            </w:r>
          </w:p>
        </w:tc>
        <w:tc>
          <w:tcPr/>
          <w:p>
            <w:pPr>
              <w:pStyle w:val="Compact"/>
            </w:pPr>
            <w:r>
              <w:t xml:space="preserve">Rückzug bei Vorwürfen ist typisch. Bagatellisieren und Verheimlichen gehören zum Bild</w:t>
            </w:r>
          </w:p>
        </w:tc>
        <w:tc>
          <w:tcPr/>
          <w:p>
            <w:pPr>
              <w:pStyle w:val="Compact"/>
            </w:pPr>
            <w:r>
              <w:t xml:space="preserve">Q: Ärzteblatt</w:t>
            </w:r>
          </w:p>
        </w:tc>
      </w:tr>
    </w:tbl>
    <w:bookmarkEnd w:id="50"/>
    <w:bookmarkStart w:id="51" w:name="Xaee722899f3d2292a91ff8cd61c0ebda55a5ad4"/>
    <w:p>
      <w:pPr>
        <w:pStyle w:val="Heading4"/>
      </w:pPr>
      <w:r>
        <w:t xml:space="preserve">6.2 Abgrenzung zur Psychotherapie</w:t>
      </w:r>
    </w:p>
    <w:p>
      <w:pPr>
        <w:pStyle w:val="FirstParagraph"/>
      </w:pPr>
      <w:r>
        <w:t xml:space="preserve">Die Grenze läuft über den</w:t>
      </w:r>
      <w:r>
        <w:t xml:space="preserve"> </w:t>
      </w:r>
      <w:r>
        <w:rPr>
          <w:b/>
          <w:bCs/>
        </w:rPr>
        <w:t xml:space="preserve">Behandlungsauftrag</w:t>
      </w:r>
      <w:r>
        <w:t xml:space="preserve">, nicht über die Methode (Q: Beratung–Psychotherapie). „Psychologisch arbeiten" ist nicht automatisch Psychotherapie.</w:t>
      </w:r>
    </w:p>
    <w:p>
      <w:pPr>
        <w:pStyle w:val="BodyText"/>
      </w:pPr>
      <w:r>
        <w:rPr>
          <w:b/>
          <w:bCs/>
        </w:rPr>
        <w:t xml:space="preserve">Dreiebenenmodell</w:t>
      </w:r>
    </w:p>
    <w:tbl>
      <w:tblPr>
        <w:tblStyle w:val="Table"/>
        <w:tblW w:type="auto" w:w="0"/>
        <w:tblLook w:firstRow="1" w:lastRow="0" w:firstColumn="0" w:lastColumn="0" w:noHBand="0" w:noVBand="0" w:val="0020"/>
      </w:tblPr>
      <w:tblGrid>
        <w:gridCol w:w="2640"/>
        <w:gridCol w:w="2640"/>
        <w:gridCol w:w="2640"/>
      </w:tblGrid>
      <w:tr>
        <w:trPr>
          <w:tblHeader w:val="on"/>
        </w:trPr>
        <w:tc>
          <w:tcPr>
            <w:shd w:val="clear" w:color="auto" w:fill="1A2B4C"/>
          </w:tcPr>
          <w:tcPr/>
          <w:p>
            <w:pPr>
              <w:pStyle w:val="Compact"/>
            </w:pPr>
            <w:r>
              <w:rPr>
                <w:b/>
                <w:color w:val="FFFFFF"/>
                <w:b/>
                <w:color w:val="FFFFFF"/>
              </w:rPr>
              <w:t xml:space="preserve">Ebene</w:t>
            </w:r>
          </w:p>
        </w:tc>
        <w:tc>
          <w:tcPr>
            <w:shd w:val="clear" w:color="auto" w:fill="1A2B4C"/>
          </w:tcPr>
          <w:tcPr/>
          <w:p>
            <w:pPr>
              <w:pStyle w:val="Compact"/>
            </w:pPr>
            <w:r>
              <w:rPr>
                <w:b/>
                <w:color w:val="FFFFFF"/>
                <w:b/>
                <w:color w:val="FFFFFF"/>
              </w:rPr>
              <w:t xml:space="preserve">Leitfrage</w:t>
            </w:r>
          </w:p>
        </w:tc>
        <w:tc>
          <w:tcPr>
            <w:shd w:val="clear" w:color="auto" w:fill="1A2B4C"/>
          </w:tcPr>
          <w:tcPr/>
          <w:p>
            <w:pPr>
              <w:pStyle w:val="Compact"/>
            </w:pPr>
            <w:r>
              <w:rPr>
                <w:b/>
                <w:color w:val="FFFFFF"/>
                <w:b/>
                <w:color w:val="FFFFFF"/>
              </w:rPr>
              <w:t xml:space="preserve">Zuständigkeit</w:t>
            </w:r>
          </w:p>
        </w:tc>
      </w:tr>
      <w:tr>
        <w:tc>
          <w:tcPr/>
          <w:p>
            <w:pPr>
              <w:pStyle w:val="Compact"/>
            </w:pPr>
            <w:r>
              <w:t xml:space="preserve">1. Suchtbezogene Beratung</w:t>
            </w:r>
          </w:p>
        </w:tc>
        <w:tc>
          <w:tcPr/>
          <w:p>
            <w:pPr>
              <w:pStyle w:val="Compact"/>
            </w:pPr>
            <w:r>
              <w:t xml:space="preserve">Wie funktioniert das Verhalten und wie lässt es sich verändern?</w:t>
            </w:r>
          </w:p>
        </w:tc>
        <w:tc>
          <w:tcPr/>
          <w:p>
            <w:pPr>
              <w:pStyle w:val="Compact"/>
            </w:pPr>
            <w:r>
              <w:t xml:space="preserve">Suchtberatung</w:t>
            </w:r>
          </w:p>
        </w:tc>
      </w:tr>
      <w:tr>
        <w:tc>
          <w:tcPr/>
          <w:p>
            <w:pPr>
              <w:pStyle w:val="Compact"/>
            </w:pPr>
            <w:r>
              <w:t xml:space="preserve">2. Psychosoziale Begleitung</w:t>
            </w:r>
          </w:p>
        </w:tc>
        <w:tc>
          <w:tcPr/>
          <w:p>
            <w:pPr>
              <w:pStyle w:val="Compact"/>
            </w:pPr>
            <w:r>
              <w:t xml:space="preserve">Welche psychischen, sozialen, lebenspraktischen Faktoren halten es aufrecht?</w:t>
            </w:r>
          </w:p>
        </w:tc>
        <w:tc>
          <w:tcPr/>
          <w:p>
            <w:pPr>
              <w:pStyle w:val="Compact"/>
            </w:pPr>
            <w:r>
              <w:t xml:space="preserve">Suchtberatung</w:t>
            </w:r>
          </w:p>
        </w:tc>
      </w:tr>
      <w:tr>
        <w:tc>
          <w:tcPr/>
          <w:p>
            <w:pPr>
              <w:pStyle w:val="Compact"/>
            </w:pPr>
            <w:r>
              <w:t xml:space="preserve">3. Psychotherapeutische Behandlung</w:t>
            </w:r>
          </w:p>
        </w:tc>
        <w:tc>
          <w:tcPr/>
          <w:p>
            <w:pPr>
              <w:pStyle w:val="Compact"/>
            </w:pPr>
            <w:r>
              <w:t xml:space="preserve">Welche psychische Störung liegt vor und wie wird sie gezielt psychotherapeutisch behandelt?</w:t>
            </w:r>
          </w:p>
        </w:tc>
        <w:tc>
          <w:tcPr/>
          <w:p>
            <w:pPr>
              <w:pStyle w:val="Compact"/>
            </w:pPr>
            <w:r>
              <w:t xml:space="preserve">Psychotherapie</w:t>
            </w:r>
          </w:p>
        </w:tc>
      </w:tr>
    </w:tbl>
    <w:p>
      <w:pPr>
        <w:pStyle w:val="BodyText"/>
      </w:pPr>
      <w:r>
        <w:rPr>
          <w:b/>
          <w:bCs/>
        </w:rPr>
        <w:t xml:space="preserve">Merksätze</w:t>
      </w:r>
    </w:p>
    <w:p>
      <w:pPr>
        <w:pStyle w:val="Compact"/>
        <w:numPr>
          <w:ilvl w:val="0"/>
          <w:numId w:val="1023"/>
        </w:numPr>
      </w:pPr>
      <w:r>
        <w:t xml:space="preserve">Scham als Auslöser</w:t>
      </w:r>
      <w:r>
        <w:t xml:space="preserve"> </w:t>
      </w:r>
      <w:r>
        <w:rPr>
          <w:b/>
          <w:bCs/>
        </w:rPr>
        <w:t xml:space="preserve">besprechen</w:t>
      </w:r>
      <w:r>
        <w:t xml:space="preserve"> </w:t>
      </w:r>
      <w:r>
        <w:t xml:space="preserve">(wann tritt sie auf, was löst sie aus, Alternativen) ist Beratung. Die</w:t>
      </w:r>
      <w:r>
        <w:t xml:space="preserve"> </w:t>
      </w:r>
      <w:r>
        <w:rPr>
          <w:b/>
          <w:bCs/>
        </w:rPr>
        <w:t xml:space="preserve">systematische Behandlung</w:t>
      </w:r>
      <w:r>
        <w:t xml:space="preserve"> </w:t>
      </w:r>
      <w:r>
        <w:t xml:space="preserve">früher Schemata oder von Traumafolgen ist Psychotherapie.</w:t>
      </w:r>
    </w:p>
    <w:p>
      <w:pPr>
        <w:pStyle w:val="Compact"/>
        <w:numPr>
          <w:ilvl w:val="0"/>
          <w:numId w:val="1023"/>
        </w:numPr>
      </w:pPr>
      <w:r>
        <w:t xml:space="preserve">Psychologische Psychotherapie braucht Qualifikation und kantonale Bewilligung. Seit 1. Juli 2022 wird sie im Anordnungsmodell von der obligatorischen Krankenpflegeversicherung (OKP) vergütet und setzt Krankheit voraus (Q: Beratung–Psychotherapie; CSS).</w:t>
      </w:r>
    </w:p>
    <w:p>
      <w:pPr>
        <w:pStyle w:val="FirstParagraph"/>
      </w:pPr>
      <w:r>
        <w:t xml:space="preserve">Grafik G3 (Dreiebenenmodell): siehe Kap. 14.</w:t>
      </w:r>
    </w:p>
    <w:p>
      <w:pPr>
        <w:pStyle w:val="BodyText"/>
      </w:pPr>
      <w:r>
        <w:rPr>
          <w:b/>
          <w:bCs/>
        </w:rPr>
        <w:t xml:space="preserve">Weitervermittlungs-Signale [Vorschlag]</w:t>
      </w:r>
    </w:p>
    <w:tbl>
      <w:tblPr>
        <w:tblStyle w:val="Table"/>
        <w:tblW w:type="auto" w:w="0"/>
        <w:tblLook w:firstRow="1" w:lastRow="0" w:firstColumn="0" w:lastColumn="0" w:noHBand="0" w:noVBand="0" w:val="0020"/>
      </w:tblPr>
      <w:tblGrid>
        <w:gridCol w:w="3960"/>
        <w:gridCol w:w="3960"/>
      </w:tblGrid>
      <w:tr>
        <w:trPr>
          <w:tblHeader w:val="on"/>
        </w:trPr>
        <w:tc>
          <w:tcPr>
            <w:shd w:val="clear" w:color="auto" w:fill="1A2B4C"/>
          </w:tcPr>
          <w:tcPr/>
          <w:p>
            <w:pPr>
              <w:pStyle w:val="Compact"/>
            </w:pPr>
            <w:r>
              <w:rPr>
                <w:b/>
                <w:color w:val="FFFFFF"/>
                <w:b/>
                <w:color w:val="FFFFFF"/>
              </w:rPr>
              <w:t xml:space="preserve">Signal</w:t>
            </w:r>
          </w:p>
        </w:tc>
        <w:tc>
          <w:tcPr>
            <w:shd w:val="clear" w:color="auto" w:fill="1A2B4C"/>
          </w:tcPr>
          <w:tcPr/>
          <w:p>
            <w:pPr>
              <w:pStyle w:val="Compact"/>
            </w:pPr>
            <w:r>
              <w:rPr>
                <w:b/>
                <w:color w:val="FFFFFF"/>
                <w:b/>
                <w:color w:val="FFFFFF"/>
              </w:rPr>
              <w:t xml:space="preserve">Reaktion</w:t>
            </w:r>
          </w:p>
        </w:tc>
      </w:tr>
      <w:tr>
        <w:tc>
          <w:tcPr/>
          <w:p>
            <w:pPr>
              <w:pStyle w:val="Compact"/>
            </w:pPr>
            <w:r>
              <w:t xml:space="preserve">Akute Suizidalität oder konkrete Pläne</w:t>
            </w:r>
          </w:p>
        </w:tc>
        <w:tc>
          <w:tcPr/>
          <w:p>
            <w:pPr>
              <w:pStyle w:val="Compact"/>
            </w:pPr>
            <w:r>
              <w:t xml:space="preserve">Sofort Krisenprozedere (Kap. 13)</w:t>
            </w:r>
          </w:p>
        </w:tc>
      </w:tr>
      <w:tr>
        <w:tc>
          <w:tcPr/>
          <w:p>
            <w:pPr>
              <w:pStyle w:val="Compact"/>
            </w:pPr>
            <w:r>
              <w:t xml:space="preserve">Verdacht auf Manie/Hypomanie, Psychose</w:t>
            </w:r>
          </w:p>
        </w:tc>
        <w:tc>
          <w:tcPr/>
          <w:p>
            <w:pPr>
              <w:pStyle w:val="Compact"/>
            </w:pPr>
            <w:r>
              <w:t xml:space="preserve">Ärztliche/psychiatrische Abklärung</w:t>
            </w:r>
          </w:p>
        </w:tc>
      </w:tr>
      <w:tr>
        <w:tc>
          <w:tcPr/>
          <w:p>
            <w:pPr>
              <w:pStyle w:val="Compact"/>
            </w:pPr>
            <w:r>
              <w:t xml:space="preserve">Schwere Depression, ausgeprägte Angststörung, Trauma-Symptomatik im Vordergrund</w:t>
            </w:r>
          </w:p>
        </w:tc>
        <w:tc>
          <w:tcPr/>
          <w:p>
            <w:pPr>
              <w:pStyle w:val="Compact"/>
            </w:pPr>
            <w:r>
              <w:t xml:space="preserve">Psychotherapeutische/psychiatrische Abklärung, Beratung begleitend</w:t>
            </w:r>
          </w:p>
        </w:tc>
      </w:tr>
      <w:tr>
        <w:tc>
          <w:tcPr/>
          <w:p>
            <w:pPr>
              <w:pStyle w:val="Compact"/>
            </w:pPr>
            <w:r>
              <w:t xml:space="preserve">Beratungsziele über mehrere Sitzungen trotz Mitarbeit nicht erreichbar</w:t>
            </w:r>
          </w:p>
        </w:tc>
        <w:tc>
          <w:tcPr/>
          <w:p>
            <w:pPr>
              <w:pStyle w:val="Compact"/>
            </w:pPr>
            <w:r>
              <w:t xml:space="preserve">Triage-Gespräch im Team, Intensität prüfen</w:t>
            </w:r>
          </w:p>
        </w:tc>
      </w:tr>
      <w:tr>
        <w:tc>
          <w:tcPr/>
          <w:p>
            <w:pPr>
              <w:pStyle w:val="Compact"/>
            </w:pPr>
            <w:r>
              <w:t xml:space="preserve">Behandlungsbedarf für Komorbidität (z. B. ADHS, Essstörung)</w:t>
            </w:r>
          </w:p>
        </w:tc>
        <w:tc>
          <w:tcPr/>
          <w:p>
            <w:pPr>
              <w:pStyle w:val="Compact"/>
            </w:pPr>
            <w:r>
              <w:t xml:space="preserve">Zuweisung über Hausärztin oder Hausarzt</w:t>
            </w:r>
          </w:p>
        </w:tc>
      </w:tr>
      <w:tr>
        <w:tc>
          <w:tcPr/>
          <w:p>
            <w:pPr>
              <w:pStyle w:val="Compact"/>
            </w:pPr>
            <w:r>
              <w:t xml:space="preserve">Wunsch der Person nach Bearbeitung der Hintergründe</w:t>
            </w:r>
          </w:p>
        </w:tc>
        <w:tc>
          <w:tcPr/>
          <w:p>
            <w:pPr>
              <w:pStyle w:val="Compact"/>
            </w:pPr>
            <w:r>
              <w:t xml:space="preserve">Information über Psychotherapie, Weiterverweisung</w:t>
            </w:r>
          </w:p>
        </w:tc>
      </w:tr>
      <w:tr>
        <w:tc>
          <w:tcPr/>
          <w:p>
            <w:pPr>
              <w:pStyle w:val="Compact"/>
            </w:pPr>
            <w:r>
              <w:t xml:space="preserve">Gesundheitsrisiko (z. B. Anabolika, Verletzungen)</w:t>
            </w:r>
          </w:p>
        </w:tc>
        <w:tc>
          <w:tcPr/>
          <w:p>
            <w:pPr>
              <w:pStyle w:val="Compact"/>
            </w:pPr>
            <w:r>
              <w:t xml:space="preserve">Ärztliche Abklärung</w:t>
            </w:r>
          </w:p>
        </w:tc>
      </w:tr>
    </w:tbl>
    <w:bookmarkEnd w:id="51"/>
    <w:bookmarkStart w:id="52" w:name="Xd82403a9a4aef5325bde2bb8e0a93366cae26c9"/>
    <w:p>
      <w:pPr>
        <w:pStyle w:val="Heading4"/>
      </w:pPr>
      <w:r>
        <w:t xml:space="preserve">6.3 Beratungsweg in fünf Schritten</w:t>
      </w:r>
    </w:p>
    <w:p>
      <w:pPr>
        <w:pStyle w:val="FirstParagraph"/>
      </w:pPr>
      <w:r>
        <w:t xml:space="preserve">Kein starres Programm: Reihenfolge und Dichte richten sich nach der Person [Vorschlag]. Der Weg ist für Klientinnen und Klienten als Grafik (G4a) und für Beratende als Fachblatt (G4b) aufbereitet, siehe Kap. 14.</w:t>
      </w:r>
    </w:p>
    <w:tbl>
      <w:tblPr>
        <w:tblStyle w:val="Table"/>
        <w:tblW w:type="auto" w:w="0"/>
        <w:tblLook w:firstRow="1" w:lastRow="0" w:firstColumn="0" w:lastColumn="0" w:noHBand="0" w:noVBand="0" w:val="0020"/>
      </w:tblPr>
      <w:tblGrid>
        <w:gridCol w:w="2640"/>
        <w:gridCol w:w="2640"/>
        <w:gridCol w:w="2640"/>
      </w:tblGrid>
      <w:tr>
        <w:trPr>
          <w:tblHeader w:val="on"/>
        </w:trPr>
        <w:tc>
          <w:tcPr>
            <w:shd w:val="clear" w:color="auto" w:fill="1A2B4C"/>
          </w:tcPr>
          <w:tcPr/>
          <w:p>
            <w:pPr>
              <w:pStyle w:val="Compact"/>
            </w:pPr>
            <w:r>
              <w:rPr>
                <w:b/>
                <w:color w:val="FFFFFF"/>
                <w:b/>
                <w:color w:val="FFFFFF"/>
              </w:rPr>
              <w:t xml:space="preserve">Schritt</w:t>
            </w:r>
          </w:p>
        </w:tc>
        <w:tc>
          <w:tcPr>
            <w:shd w:val="clear" w:color="auto" w:fill="1A2B4C"/>
          </w:tcPr>
          <w:tcPr/>
          <w:p>
            <w:pPr>
              <w:pStyle w:val="Compact"/>
            </w:pPr>
            <w:r>
              <w:rPr>
                <w:b/>
                <w:color w:val="FFFFFF"/>
                <w:b/>
                <w:color w:val="FFFFFF"/>
              </w:rPr>
              <w:t xml:space="preserve">Ziel</w:t>
            </w:r>
          </w:p>
        </w:tc>
        <w:tc>
          <w:tcPr>
            <w:shd w:val="clear" w:color="auto" w:fill="1A2B4C"/>
          </w:tcPr>
          <w:tcPr/>
          <w:p>
            <w:pPr>
              <w:pStyle w:val="Compact"/>
            </w:pPr>
            <w:r>
              <w:rPr>
                <w:b/>
                <w:color w:val="FFFFFF"/>
                <w:b/>
                <w:color w:val="FFFFFF"/>
              </w:rPr>
              <w:t xml:space="preserve">Typische Bausteine</w:t>
            </w:r>
          </w:p>
        </w:tc>
      </w:tr>
      <w:tr>
        <w:tc>
          <w:tcPr/>
          <w:p>
            <w:pPr>
              <w:pStyle w:val="Compact"/>
            </w:pPr>
            <w:r>
              <w:t xml:space="preserve">1 Ankommen</w:t>
            </w:r>
          </w:p>
        </w:tc>
        <w:tc>
          <w:tcPr/>
          <w:p>
            <w:pPr>
              <w:pStyle w:val="Compact"/>
            </w:pPr>
            <w:r>
              <w:t xml:space="preserve">Anliegen, Risiko, Auftrag, Erstziele klären</w:t>
            </w:r>
          </w:p>
        </w:tc>
        <w:tc>
          <w:tcPr/>
          <w:p>
            <w:pPr>
              <w:pStyle w:val="Compact"/>
            </w:pPr>
            <w:r>
              <w:t xml:space="preserve">Anliegenklärung, Verhaltensanamnese, Suizid-/Krisenabklärung, kurze Psychoedukation, MI (Raster Kap. 7)</w:t>
            </w:r>
          </w:p>
        </w:tc>
      </w:tr>
      <w:tr>
        <w:tc>
          <w:tcPr/>
          <w:p>
            <w:pPr>
              <w:pStyle w:val="Compact"/>
            </w:pPr>
            <w:r>
              <w:t xml:space="preserve">2 Verstehen</w:t>
            </w:r>
          </w:p>
        </w:tc>
        <w:tc>
          <w:tcPr/>
          <w:p>
            <w:pPr>
              <w:pStyle w:val="Compact"/>
            </w:pPr>
            <w:r>
              <w:t xml:space="preserve">Funktion des Verhaltens, Auslöser, Aufrechterhaltung</w:t>
            </w:r>
          </w:p>
        </w:tc>
        <w:tc>
          <w:tcPr/>
          <w:p>
            <w:pPr>
              <w:pStyle w:val="Compact"/>
            </w:pPr>
            <w:r>
              <w:t xml:space="preserve">Selbstbeobachtungsprotokoll, funktionale Verhaltensanalyse, Kosten-Nutzen-Analyse</w:t>
            </w:r>
          </w:p>
        </w:tc>
      </w:tr>
      <w:tr>
        <w:tc>
          <w:tcPr/>
          <w:p>
            <w:pPr>
              <w:pStyle w:val="Compact"/>
            </w:pPr>
            <w:r>
              <w:t xml:space="preserve">3 Ziele setzen</w:t>
            </w:r>
          </w:p>
        </w:tc>
        <w:tc>
          <w:tcPr/>
          <w:p>
            <w:pPr>
              <w:pStyle w:val="Compact"/>
            </w:pPr>
            <w:r>
              <w:t xml:space="preserve">Gemeinsame, messbare Ziele</w:t>
            </w:r>
          </w:p>
        </w:tc>
        <w:tc>
          <w:tcPr/>
          <w:p>
            <w:pPr>
              <w:pStyle w:val="Compact"/>
            </w:pPr>
            <w:r>
              <w:t xml:space="preserve">Zielstaffelung, SMART, GAS, „Mein Mass" (Kap. 8)</w:t>
            </w:r>
          </w:p>
        </w:tc>
      </w:tr>
      <w:tr>
        <w:tc>
          <w:tcPr/>
          <w:p>
            <w:pPr>
              <w:pStyle w:val="Compact"/>
            </w:pPr>
            <w:r>
              <w:t xml:space="preserve">4 Verändern</w:t>
            </w:r>
          </w:p>
        </w:tc>
        <w:tc>
          <w:tcPr/>
          <w:p>
            <w:pPr>
              <w:pStyle w:val="Compact"/>
            </w:pPr>
            <w:r>
              <w:t xml:space="preserve">Kontrolle zurückgewinnen, Alternativen aufbauen</w:t>
            </w:r>
          </w:p>
        </w:tc>
        <w:tc>
          <w:tcPr/>
          <w:p>
            <w:pPr>
              <w:pStyle w:val="Compact"/>
            </w:pPr>
            <w:r>
              <w:t xml:space="preserve">Stimuluskontrolle, Reaktionsverzögerung, Wochenstruktur, Craving-Skills, Sperren/Limiten, Schuldenmanagement</w:t>
            </w:r>
          </w:p>
        </w:tc>
      </w:tr>
      <w:tr>
        <w:tc>
          <w:tcPr/>
          <w:p>
            <w:pPr>
              <w:pStyle w:val="Compact"/>
            </w:pPr>
            <w:r>
              <w:t xml:space="preserve">5 Festigen</w:t>
            </w:r>
          </w:p>
        </w:tc>
        <w:tc>
          <w:tcPr/>
          <w:p>
            <w:pPr>
              <w:pStyle w:val="Compact"/>
            </w:pPr>
            <w:r>
              <w:t xml:space="preserve">Ergebnis sichern, Rückfälle vorbereiten, Weiterführung</w:t>
            </w:r>
          </w:p>
        </w:tc>
        <w:tc>
          <w:tcPr/>
          <w:p>
            <w:pPr>
              <w:pStyle w:val="Compact"/>
            </w:pPr>
            <w:r>
              <w:t xml:space="preserve">Rückfallprophylaxe, Zielerreichung (GAS), Rückmeldung an Hausarzt (mit Einwilligung), Katamnese nach 3 Monaten (analog Alkohol-Konzept SDS)</w:t>
            </w:r>
          </w:p>
        </w:tc>
      </w:tr>
    </w:tbl>
    <w:p>
      <w:pPr>
        <w:pStyle w:val="BodyText"/>
      </w:pPr>
      <w:r>
        <w:t xml:space="preserve">Parallel immer: Komorbidität und Suizidalität im Blick behalten, Triage-Signale prüfen (Kap. 6.2, 12).</w:t>
      </w:r>
    </w:p>
    <w:bookmarkEnd w:id="52"/>
    <w:bookmarkStart w:id="53" w:name="X6fb9ed9900ed87b14efb77981ad93fbcc0df125"/>
    <w:p>
      <w:pPr>
        <w:pStyle w:val="Heading4"/>
      </w:pPr>
      <w:r>
        <w:t xml:space="preserve">6.4 Technik-Katalog</w:t>
      </w:r>
    </w:p>
    <w:p>
      <w:pPr>
        <w:pStyle w:val="FirstParagraph"/>
      </w:pPr>
      <w:r>
        <w:t xml:space="preserve">Die Einstufung folgt dem Dreiebenenmodell. Sie ist ein [Vorschlag] und im Team zu bestätigen.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shd w:val="clear" w:color="auto" w:fill="1A2B4C"/>
          </w:tcPr>
          <w:tcPr/>
          <w:p>
            <w:pPr>
              <w:pStyle w:val="Compact"/>
            </w:pPr>
            <w:r>
              <w:rPr>
                <w:b/>
                <w:color w:val="FFFFFF"/>
                <w:b/>
                <w:color w:val="FFFFFF"/>
              </w:rPr>
              <w:t xml:space="preserve">Technik</w:t>
            </w:r>
          </w:p>
        </w:tc>
        <w:tc>
          <w:tcPr>
            <w:shd w:val="clear" w:color="auto" w:fill="1A2B4C"/>
          </w:tcPr>
          <w:tcPr/>
          <w:p>
            <w:pPr>
              <w:pStyle w:val="Compact"/>
            </w:pPr>
            <w:r>
              <w:rPr>
                <w:b/>
                <w:color w:val="FFFFFF"/>
                <w:b/>
                <w:color w:val="FFFFFF"/>
              </w:rPr>
              <w:t xml:space="preserve">Zweck und Vorgehen</w:t>
            </w:r>
          </w:p>
        </w:tc>
        <w:tc>
          <w:tcPr>
            <w:shd w:val="clear" w:color="auto" w:fill="1A2B4C"/>
          </w:tcPr>
          <w:tcPr/>
          <w:p>
            <w:pPr>
              <w:pStyle w:val="Compact"/>
            </w:pPr>
            <w:r>
              <w:rPr>
                <w:b/>
                <w:color w:val="FFFFFF"/>
                <w:b/>
                <w:color w:val="FFFFFF"/>
              </w:rPr>
              <w:t xml:space="preserve">Beleg</w:t>
            </w:r>
          </w:p>
        </w:tc>
        <w:tc>
          <w:tcPr>
            <w:shd w:val="clear" w:color="auto" w:fill="1A2B4C"/>
          </w:tcPr>
          <w:tcPr/>
          <w:p>
            <w:pPr>
              <w:pStyle w:val="Compact"/>
            </w:pPr>
            <w:r>
              <w:rPr>
                <w:b/>
                <w:color w:val="FFFFFF"/>
                <w:b/>
                <w:color w:val="FFFFFF"/>
              </w:rPr>
              <w:t xml:space="preserve">Einstufung</w:t>
            </w:r>
          </w:p>
        </w:tc>
      </w:tr>
      <w:tr>
        <w:tc>
          <w:tcPr/>
          <w:p>
            <w:pPr>
              <w:pStyle w:val="Compact"/>
            </w:pPr>
            <w:r>
              <w:t xml:space="preserve">Psychoedukation</w:t>
            </w:r>
          </w:p>
        </w:tc>
        <w:tc>
          <w:tcPr/>
          <w:p>
            <w:pPr>
              <w:pStyle w:val="Compact"/>
            </w:pPr>
            <w:r>
              <w:t xml:space="preserve">Krankheitsbild, Wirkmechanismen (Belohnungslernen, Neuroadaption, Craving), Problembewusstsein</w:t>
            </w:r>
          </w:p>
        </w:tc>
        <w:tc>
          <w:tcPr/>
          <w:p>
            <w:pPr>
              <w:pStyle w:val="Compact"/>
            </w:pPr>
            <w:r>
              <w:t xml:space="preserve">Q: Ärzteblatt; Fachverband Sucht</w:t>
            </w:r>
          </w:p>
        </w:tc>
        <w:tc>
          <w:tcPr/>
          <w:p>
            <w:pPr>
              <w:pStyle w:val="Compact"/>
            </w:pPr>
            <w:r>
              <w:t xml:space="preserve">Beratung</w:t>
            </w:r>
          </w:p>
        </w:tc>
      </w:tr>
      <w:tr>
        <w:tc>
          <w:tcPr/>
          <w:p>
            <w:pPr>
              <w:pStyle w:val="Compact"/>
            </w:pPr>
            <w:r>
              <w:t xml:space="preserve">Motivierende Gesprächsführung (MI)</w:t>
            </w:r>
          </w:p>
        </w:tc>
        <w:tc>
          <w:tcPr/>
          <w:p>
            <w:pPr>
              <w:pStyle w:val="Compact"/>
            </w:pPr>
            <w:r>
              <w:t xml:space="preserve">Ambivalenz aufgreifen, intrinsische Motivation stärken; auch für Sexualverhalten beschrieben</w:t>
            </w:r>
          </w:p>
        </w:tc>
        <w:tc>
          <w:tcPr/>
          <w:p>
            <w:pPr>
              <w:pStyle w:val="Compact"/>
            </w:pPr>
            <w:r>
              <w:t xml:space="preserve">Q: Ärzteblatt; Del Giudice/Kutinsky; Hughes</w:t>
            </w:r>
          </w:p>
        </w:tc>
        <w:tc>
          <w:tcPr/>
          <w:p>
            <w:pPr>
              <w:pStyle w:val="Compact"/>
            </w:pPr>
            <w:r>
              <w:t xml:space="preserve">Beratung (Motivationsgespräche gehören nach BAG zur Beratung, Q: Beratung–Psychotherapie)</w:t>
            </w:r>
          </w:p>
        </w:tc>
      </w:tr>
      <w:tr>
        <w:tc>
          <w:tcPr/>
          <w:p>
            <w:pPr>
              <w:pStyle w:val="Compact"/>
            </w:pPr>
            <w:r>
              <w:t xml:space="preserve">Kosten-Nutzen-Analyse, Imaginationsübungen</w:t>
            </w:r>
          </w:p>
        </w:tc>
        <w:tc>
          <w:tcPr/>
          <w:p>
            <w:pPr>
              <w:pStyle w:val="Compact"/>
            </w:pPr>
            <w:r>
              <w:t xml:space="preserve">Vor- und Nachteile von Verhalten und Veränderung abwägen</w:t>
            </w:r>
          </w:p>
        </w:tc>
        <w:tc>
          <w:tcPr/>
          <w:p>
            <w:pPr>
              <w:pStyle w:val="Compact"/>
            </w:pPr>
            <w:r>
              <w:t xml:space="preserve">Q: Ärzteblatt</w:t>
            </w:r>
          </w:p>
        </w:tc>
        <w:tc>
          <w:tcPr/>
          <w:p>
            <w:pPr>
              <w:pStyle w:val="Compact"/>
            </w:pPr>
            <w:r>
              <w:t xml:space="preserve">Beratung</w:t>
            </w:r>
          </w:p>
        </w:tc>
      </w:tr>
      <w:tr>
        <w:tc>
          <w:tcPr/>
          <w:p>
            <w:pPr>
              <w:pStyle w:val="Compact"/>
            </w:pPr>
            <w:r>
              <w:t xml:space="preserve">Realistische Ziele formulieren</w:t>
            </w:r>
          </w:p>
        </w:tc>
        <w:tc>
          <w:tcPr/>
          <w:p>
            <w:pPr>
              <w:pStyle w:val="Compact"/>
            </w:pPr>
            <w:r>
              <w:t xml:space="preserve">Stärkt Veränderungsmotivation</w:t>
            </w:r>
          </w:p>
        </w:tc>
        <w:tc>
          <w:tcPr/>
          <w:p>
            <w:pPr>
              <w:pStyle w:val="Compact"/>
            </w:pPr>
            <w:r>
              <w:t xml:space="preserve">Q: Ärzteblatt</w:t>
            </w:r>
          </w:p>
        </w:tc>
        <w:tc>
          <w:tcPr/>
          <w:p>
            <w:pPr>
              <w:pStyle w:val="Compact"/>
            </w:pPr>
            <w:r>
              <w:t xml:space="preserve">Beratung</w:t>
            </w:r>
          </w:p>
        </w:tc>
      </w:tr>
      <w:tr>
        <w:tc>
          <w:tcPr/>
          <w:p>
            <w:pPr>
              <w:pStyle w:val="Compact"/>
            </w:pPr>
            <w:r>
              <w:t xml:space="preserve">Selbstbeobachtung/Protokoll</w:t>
            </w:r>
          </w:p>
        </w:tc>
        <w:tc>
          <w:tcPr/>
          <w:p>
            <w:pPr>
              <w:pStyle w:val="Compact"/>
            </w:pPr>
            <w:r>
              <w:t xml:space="preserve">Über Wochen: Häufigkeit, Gedanken, Gefühle, Auslöser, Folgen</w:t>
            </w:r>
          </w:p>
        </w:tc>
        <w:tc>
          <w:tcPr/>
          <w:p>
            <w:pPr>
              <w:pStyle w:val="Compact"/>
            </w:pPr>
            <w:r>
              <w:t xml:space="preserve">Q: Ärzteblatt</w:t>
            </w:r>
          </w:p>
        </w:tc>
        <w:tc>
          <w:tcPr/>
          <w:p>
            <w:pPr>
              <w:pStyle w:val="Compact"/>
            </w:pPr>
            <w:r>
              <w:t xml:space="preserve">Beratung</w:t>
            </w:r>
          </w:p>
        </w:tc>
      </w:tr>
      <w:tr>
        <w:tc>
          <w:tcPr/>
          <w:p>
            <w:pPr>
              <w:pStyle w:val="Compact"/>
            </w:pPr>
            <w:r>
              <w:t xml:space="preserve">Funktionale Verhaltensanalyse</w:t>
            </w:r>
          </w:p>
        </w:tc>
        <w:tc>
          <w:tcPr/>
          <w:p>
            <w:pPr>
              <w:pStyle w:val="Compact"/>
            </w:pPr>
            <w:r>
              <w:t xml:space="preserve">Verstehen, wozu das Verhalten dient, deckt oft Komorbidität auf</w:t>
            </w:r>
          </w:p>
        </w:tc>
        <w:tc>
          <w:tcPr/>
          <w:p>
            <w:pPr>
              <w:pStyle w:val="Compact"/>
            </w:pPr>
            <w:r>
              <w:t xml:space="preserve">Q: Ärzteblatt; Hughes</w:t>
            </w:r>
          </w:p>
        </w:tc>
        <w:tc>
          <w:tcPr/>
          <w:p>
            <w:pPr>
              <w:pStyle w:val="Compact"/>
            </w:pPr>
            <w:r>
              <w:t xml:space="preserve">Beratung</w:t>
            </w:r>
          </w:p>
        </w:tc>
      </w:tr>
      <w:tr>
        <w:tc>
          <w:tcPr/>
          <w:p>
            <w:pPr>
              <w:pStyle w:val="Compact"/>
            </w:pPr>
            <w:r>
              <w:t xml:space="preserve">Stimuluskontrolle, Reaktionsverzögerung</w:t>
            </w:r>
          </w:p>
        </w:tc>
        <w:tc>
          <w:tcPr/>
          <w:p>
            <w:pPr>
              <w:pStyle w:val="Compact"/>
            </w:pPr>
            <w:r>
              <w:t xml:space="preserve">Auslöser meiden, Drang erst nach Stunden nachgeben</w:t>
            </w:r>
          </w:p>
        </w:tc>
        <w:tc>
          <w:tcPr/>
          <w:p>
            <w:pPr>
              <w:pStyle w:val="Compact"/>
            </w:pPr>
            <w:r>
              <w:t xml:space="preserve">Q: Ärzteblatt</w:t>
            </w:r>
          </w:p>
        </w:tc>
        <w:tc>
          <w:tcPr/>
          <w:p>
            <w:pPr>
              <w:pStyle w:val="Compact"/>
            </w:pPr>
            <w:r>
              <w:t xml:space="preserve">Beratung</w:t>
            </w:r>
          </w:p>
        </w:tc>
      </w:tr>
      <w:tr>
        <w:tc>
          <w:tcPr/>
          <w:p>
            <w:pPr>
              <w:pStyle w:val="Compact"/>
            </w:pPr>
            <w:r>
              <w:t xml:space="preserve">Verhaltensaktivierung, Wochenstruktur</w:t>
            </w:r>
          </w:p>
        </w:tc>
        <w:tc>
          <w:tcPr/>
          <w:p>
            <w:pPr>
              <w:pStyle w:val="Compact"/>
            </w:pPr>
            <w:r>
              <w:t xml:space="preserve">Alternativen aufbauen, Vermeidung reduzieren, reale Kontakte</w:t>
            </w:r>
          </w:p>
        </w:tc>
        <w:tc>
          <w:tcPr/>
          <w:p>
            <w:pPr>
              <w:pStyle w:val="Compact"/>
            </w:pPr>
            <w:r>
              <w:t xml:space="preserve">Q: Ärzteblatt</w:t>
            </w:r>
          </w:p>
        </w:tc>
        <w:tc>
          <w:tcPr/>
          <w:p>
            <w:pPr>
              <w:pStyle w:val="Compact"/>
            </w:pPr>
            <w:r>
              <w:t xml:space="preserve">Beratung</w:t>
            </w:r>
          </w:p>
        </w:tc>
      </w:tr>
      <w:tr>
        <w:tc>
          <w:tcPr/>
          <w:p>
            <w:pPr>
              <w:pStyle w:val="Compact"/>
            </w:pPr>
            <w:r>
              <w:t xml:space="preserve">Selbstbeschränkung/Sperren</w:t>
            </w:r>
          </w:p>
        </w:tc>
        <w:tc>
          <w:tcPr/>
          <w:p>
            <w:pPr>
              <w:pStyle w:val="Compact"/>
            </w:pPr>
            <w:r>
              <w:t xml:space="preserve">Läden und Schlussverkäufe meiden, Prospekte entsorgen, Limiten, Sperren</w:t>
            </w:r>
          </w:p>
        </w:tc>
        <w:tc>
          <w:tcPr/>
          <w:p>
            <w:pPr>
              <w:pStyle w:val="Compact"/>
            </w:pPr>
            <w:r>
              <w:t xml:space="preserve">Q: Ärzteblatt</w:t>
            </w:r>
          </w:p>
        </w:tc>
        <w:tc>
          <w:tcPr/>
          <w:p>
            <w:pPr>
              <w:pStyle w:val="Compact"/>
            </w:pPr>
            <w:r>
              <w:t xml:space="preserve">Beratung</w:t>
            </w:r>
          </w:p>
        </w:tc>
      </w:tr>
      <w:tr>
        <w:tc>
          <w:tcPr/>
          <w:p>
            <w:pPr>
              <w:pStyle w:val="Compact"/>
            </w:pPr>
            <w:r>
              <w:t xml:space="preserve">Craving-Skills</w:t>
            </w:r>
          </w:p>
        </w:tc>
        <w:tc>
          <w:tcPr/>
          <w:p>
            <w:pPr>
              <w:pStyle w:val="Compact"/>
            </w:pPr>
            <w:r>
              <w:t xml:space="preserve">Ablenken, Welle aushalten, Situation verlassen, Vertrauensperson</w:t>
            </w:r>
          </w:p>
        </w:tc>
        <w:tc>
          <w:tcPr/>
          <w:p>
            <w:pPr>
              <w:pStyle w:val="Compact"/>
            </w:pPr>
            <w:r>
              <w:t xml:space="preserve">Q: Alkohol-Konzept SDS (substanzbezogen, übertragbar [Vorschlag])</w:t>
            </w:r>
          </w:p>
        </w:tc>
        <w:tc>
          <w:tcPr/>
          <w:p>
            <w:pPr>
              <w:pStyle w:val="Compact"/>
            </w:pPr>
            <w:r>
              <w:t xml:space="preserve">Beratung</w:t>
            </w:r>
          </w:p>
        </w:tc>
      </w:tr>
      <w:tr>
        <w:tc>
          <w:tcPr/>
          <w:p>
            <w:pPr>
              <w:pStyle w:val="Compact"/>
            </w:pPr>
            <w:r>
              <w:t xml:space="preserve">Geld- und Schuldenmanagement</w:t>
            </w:r>
          </w:p>
        </w:tc>
        <w:tc>
          <w:tcPr/>
          <w:p>
            <w:pPr>
              <w:pStyle w:val="Compact"/>
            </w:pPr>
            <w:r>
              <w:t xml:space="preserve">Umgang mit Geld explorieren, Schuldgefühle begleiten, bei schweren Fällen Schuldenberatung</w:t>
            </w:r>
          </w:p>
        </w:tc>
        <w:tc>
          <w:tcPr/>
          <w:p>
            <w:pPr>
              <w:pStyle w:val="Compact"/>
            </w:pPr>
            <w:r>
              <w:t xml:space="preserve">Q: Ärzteblatt</w:t>
            </w:r>
          </w:p>
        </w:tc>
        <w:tc>
          <w:tcPr/>
          <w:p>
            <w:pPr>
              <w:pStyle w:val="Compact"/>
            </w:pPr>
            <w:r>
              <w:t xml:space="preserve">Beratung (Kernkompetenz Sozialarbeit)</w:t>
            </w:r>
          </w:p>
        </w:tc>
      </w:tr>
      <w:tr>
        <w:tc>
          <w:tcPr/>
          <w:p>
            <w:pPr>
              <w:pStyle w:val="Compact"/>
            </w:pPr>
            <w:r>
              <w:t xml:space="preserve">Emotionsregulation, Stressbewältigung, soziale Fertigkeiten</w:t>
            </w:r>
          </w:p>
        </w:tc>
        <w:tc>
          <w:tcPr/>
          <w:p>
            <w:pPr>
              <w:pStyle w:val="Compact"/>
            </w:pPr>
            <w:r>
              <w:t xml:space="preserve">Funktion des Verhaltens (Gefühlsregulation) ersetzen</w:t>
            </w:r>
          </w:p>
        </w:tc>
        <w:tc>
          <w:tcPr/>
          <w:p>
            <w:pPr>
              <w:pStyle w:val="Compact"/>
            </w:pPr>
            <w:r>
              <w:t xml:space="preserve">Q: Ärzteblatt</w:t>
            </w:r>
          </w:p>
        </w:tc>
        <w:tc>
          <w:tcPr/>
          <w:p>
            <w:pPr>
              <w:pStyle w:val="Compact"/>
            </w:pPr>
            <w:r>
              <w:t xml:space="preserve">Beratung als Vermittlung einfacher Strategien. Vertiefte Bearbeitung ist Grenzbereich</w:t>
            </w:r>
          </w:p>
        </w:tc>
      </w:tr>
      <w:tr>
        <w:tc>
          <w:tcPr/>
          <w:p>
            <w:pPr>
              <w:pStyle w:val="Compact"/>
            </w:pPr>
            <w:r>
              <w:t xml:space="preserve">Rückfallprophylaxe</w:t>
            </w:r>
          </w:p>
        </w:tc>
        <w:tc>
          <w:tcPr/>
          <w:p>
            <w:pPr>
              <w:pStyle w:val="Compact"/>
            </w:pPr>
            <w:r>
              <w:t xml:space="preserve">Früh integrieren, Frühwarnzeichen, Plan für Ausrutscher</w:t>
            </w:r>
          </w:p>
        </w:tc>
        <w:tc>
          <w:tcPr/>
          <w:p>
            <w:pPr>
              <w:pStyle w:val="Compact"/>
            </w:pPr>
            <w:r>
              <w:t xml:space="preserve">Q: Ärzteblatt; Alkohol-Konzept SDS</w:t>
            </w:r>
          </w:p>
        </w:tc>
        <w:tc>
          <w:tcPr/>
          <w:p>
            <w:pPr>
              <w:pStyle w:val="Compact"/>
            </w:pPr>
            <w:r>
              <w:t xml:space="preserve">Beratung</w:t>
            </w:r>
          </w:p>
        </w:tc>
      </w:tr>
      <w:tr>
        <w:tc>
          <w:tcPr/>
          <w:p>
            <w:pPr>
              <w:pStyle w:val="Compact"/>
            </w:pPr>
            <w:r>
              <w:t xml:space="preserve">Einbezug des Umfelds</w:t>
            </w:r>
          </w:p>
        </w:tc>
        <w:tc>
          <w:tcPr/>
          <w:p>
            <w:pPr>
              <w:pStyle w:val="Compact"/>
            </w:pPr>
            <w:r>
              <w:t xml:space="preserve">Partnerin/Partner, Familie, evtl. Arbeitgebende</w:t>
            </w:r>
          </w:p>
        </w:tc>
        <w:tc>
          <w:tcPr/>
          <w:p>
            <w:pPr>
              <w:pStyle w:val="Compact"/>
            </w:pPr>
            <w:r>
              <w:t xml:space="preserve">Q: Fachverband Sucht</w:t>
            </w:r>
          </w:p>
        </w:tc>
        <w:tc>
          <w:tcPr/>
          <w:p>
            <w:pPr>
              <w:pStyle w:val="Compact"/>
            </w:pPr>
            <w:r>
              <w:t xml:space="preserve">Beratung (mit Einwilligung)</w:t>
            </w:r>
          </w:p>
        </w:tc>
      </w:tr>
      <w:tr>
        <w:tc>
          <w:tcPr/>
          <w:p>
            <w:pPr>
              <w:pStyle w:val="Compact"/>
            </w:pPr>
            <w:r>
              <w:t xml:space="preserve">Kognitive Umstrukturierung, Reframing</w:t>
            </w:r>
          </w:p>
        </w:tc>
        <w:tc>
          <w:tcPr/>
          <w:p>
            <w:pPr>
              <w:pStyle w:val="Compact"/>
            </w:pPr>
            <w:r>
              <w:t xml:space="preserve">Dysfunktionale Gedanken hinterfragen</w:t>
            </w:r>
          </w:p>
        </w:tc>
        <w:tc>
          <w:tcPr/>
          <w:p>
            <w:pPr>
              <w:pStyle w:val="Compact"/>
            </w:pPr>
            <w:r>
              <w:t xml:space="preserve">Q: Ärzteblatt</w:t>
            </w:r>
          </w:p>
        </w:tc>
        <w:tc>
          <w:tcPr/>
          <w:p>
            <w:pPr>
              <w:pStyle w:val="Compact"/>
            </w:pPr>
            <w:r>
              <w:rPr>
                <w:b/>
                <w:bCs/>
              </w:rPr>
              <w:t xml:space="preserve">Grenzbereich</w:t>
            </w:r>
            <w:r>
              <w:t xml:space="preserve">: als Anregung ja, systematische Schema-Arbeit nein</w:t>
            </w:r>
          </w:p>
        </w:tc>
      </w:tr>
      <w:tr>
        <w:tc>
          <w:tcPr/>
          <w:p>
            <w:pPr>
              <w:pStyle w:val="Compact"/>
            </w:pPr>
            <w:r>
              <w:t xml:space="preserve">Exposition mit Reaktionsverhinderung</w:t>
            </w:r>
          </w:p>
        </w:tc>
        <w:tc>
          <w:tcPr/>
          <w:p>
            <w:pPr>
              <w:pStyle w:val="Compact"/>
            </w:pPr>
            <w:r>
              <w:t xml:space="preserve">Angeleitete Konfrontation mit Auslösern ohne Ausführen</w:t>
            </w:r>
          </w:p>
        </w:tc>
        <w:tc>
          <w:tcPr/>
          <w:p>
            <w:pPr>
              <w:pStyle w:val="Compact"/>
            </w:pPr>
            <w:r>
              <w:t xml:space="preserve">Q: Ärzteblatt</w:t>
            </w:r>
          </w:p>
        </w:tc>
        <w:tc>
          <w:tcPr/>
          <w:p>
            <w:pPr>
              <w:pStyle w:val="Compact"/>
            </w:pPr>
            <w:r>
              <w:rPr>
                <w:b/>
                <w:bCs/>
              </w:rPr>
              <w:t xml:space="preserve">eher Psychotherapie</w:t>
            </w:r>
          </w:p>
        </w:tc>
      </w:tr>
      <w:tr>
        <w:tc>
          <w:tcPr/>
          <w:p>
            <w:pPr>
              <w:pStyle w:val="Compact"/>
            </w:pPr>
            <w:r>
              <w:t xml:space="preserve">Arbeit an Selbstkonzept, Idealvorstellungen</w:t>
            </w:r>
          </w:p>
        </w:tc>
        <w:tc>
          <w:tcPr/>
          <w:p>
            <w:pPr>
              <w:pStyle w:val="Compact"/>
            </w:pPr>
            <w:r>
              <w:t xml:space="preserve">Wertschätzende Reflexion</w:t>
            </w:r>
          </w:p>
        </w:tc>
        <w:tc>
          <w:tcPr/>
          <w:p>
            <w:pPr>
              <w:pStyle w:val="Compact"/>
            </w:pPr>
            <w:r>
              <w:t xml:space="preserve">Q: Ärzteblatt</w:t>
            </w:r>
          </w:p>
        </w:tc>
        <w:tc>
          <w:tcPr/>
          <w:p>
            <w:pPr>
              <w:pStyle w:val="Compact"/>
            </w:pPr>
            <w:r>
              <w:t xml:space="preserve">Beratung, solange suchtbezogen. Tiefenarbeit ist Therapie</w:t>
            </w:r>
          </w:p>
        </w:tc>
      </w:tr>
      <w:tr>
        <w:tc>
          <w:tcPr/>
          <w:p>
            <w:pPr>
              <w:pStyle w:val="Compact"/>
            </w:pPr>
            <w:r>
              <w:t xml:space="preserve">Pharmakotherapie</w:t>
            </w:r>
          </w:p>
        </w:tc>
        <w:tc>
          <w:tcPr/>
          <w:p>
            <w:pPr>
              <w:pStyle w:val="Compact"/>
            </w:pPr>
            <w:r>
              <w:t xml:space="preserve">Selten unterstützend. Bei Kaufsucht keine ausreichende Wirksamkeit rein medikamentös gezeigt</w:t>
            </w:r>
          </w:p>
        </w:tc>
        <w:tc>
          <w:tcPr/>
          <w:p>
            <w:pPr>
              <w:pStyle w:val="Compact"/>
            </w:pPr>
            <w:r>
              <w:t xml:space="preserve">Q: Fachverband Sucht; Hogrefe; Thieme</w:t>
            </w:r>
          </w:p>
        </w:tc>
        <w:tc>
          <w:tcPr/>
          <w:p>
            <w:pPr>
              <w:pStyle w:val="Compact"/>
            </w:pPr>
            <w:r>
              <w:t xml:space="preserve">Ärztliche Aufgabe</w:t>
            </w:r>
          </w:p>
        </w:tc>
      </w:tr>
    </w:tbl>
    <w:p>
      <w:pPr>
        <w:pStyle w:val="BodyText"/>
      </w:pPr>
      <w:r>
        <w:rPr>
          <w:b/>
          <w:bCs/>
        </w:rPr>
        <w:t xml:space="preserve">Wirksamkeitslage ehrlich benennen:</w:t>
      </w:r>
      <w:r>
        <w:t xml:space="preserve"> </w:t>
      </w:r>
      <w:r>
        <w:t xml:space="preserve">Für Verhaltenssüchte stützen die Quellen überwiegend kognitiv-verhaltenstherapeutische Ansätze (Q: Ärzteblatt; Springer-Übersicht). Beratende sind bei Wirkversprechen zurückhaltend.</w:t>
      </w:r>
    </w:p>
    <w:bookmarkEnd w:id="53"/>
    <w:bookmarkStart w:id="54" w:name="X7abae8a893dceb86f30741bf643235ce081b08a"/>
    <w:p>
      <w:pPr>
        <w:pStyle w:val="Heading4"/>
      </w:pPr>
      <w:r>
        <w:t xml:space="preserve">6.5 Rückfälle, Abbrüche, Heimlichkeit</w:t>
      </w:r>
    </w:p>
    <w:p>
      <w:pPr>
        <w:pStyle w:val="Compact"/>
        <w:numPr>
          <w:ilvl w:val="0"/>
          <w:numId w:val="1024"/>
        </w:numPr>
      </w:pPr>
      <w:r>
        <w:t xml:space="preserve">Mit Abbrüchen, Hindernissen und Rückfällen ist zu rechnen. Störungsspezifische und störungsübergreifende Interventionen sowie Rückfallprophylaxe werden früh einbezogen (Q: Ärzteblatt).</w:t>
      </w:r>
    </w:p>
    <w:p>
      <w:pPr>
        <w:pStyle w:val="Compact"/>
        <w:numPr>
          <w:ilvl w:val="0"/>
          <w:numId w:val="1024"/>
        </w:numPr>
      </w:pPr>
      <w:r>
        <w:t xml:space="preserve">Vorlage für „Ausrutscher": Beilagenteil „Konsumereignis: was tun?" im Alkohol-Konzept SDS (Vertrauensperson, Fachperson, Angehörige, Auslöser verstehen) [Vorschlag, übertragbar].</w:t>
      </w:r>
    </w:p>
    <w:p>
      <w:pPr>
        <w:pStyle w:val="Compact"/>
        <w:numPr>
          <w:ilvl w:val="0"/>
          <w:numId w:val="1024"/>
        </w:numPr>
      </w:pPr>
      <w:r>
        <w:t xml:space="preserve">Ein Ausrutscher ist eine Information, kein Misserfolg. Das Gespräch bleibt vorwurfsfrei und fragt nach der Funktion statt zu bewerten.</w:t>
      </w:r>
    </w:p>
    <w:p>
      <w:r>
        <w:pict>
          <v:rect style="width:0;height:1.5pt" o:hralign="center" o:hrstd="t" o:hr="t"/>
        </w:pict>
      </w:r>
    </w:p>
    <w:bookmarkEnd w:id="54"/>
    <w:bookmarkEnd w:id="55"/>
    <w:bookmarkEnd w:id="56"/>
    <w:bookmarkStart w:id="72" w:name="teil-4-vorgehensmodell"/>
    <w:p>
      <w:pPr>
        <w:pStyle w:val="Heading2"/>
      </w:pPr>
      <w:r>
        <w:t xml:space="preserve">Teil 4: Vorgehensmodell</w:t>
      </w:r>
    </w:p>
    <w:p>
      <w:pPr>
        <w:pStyle w:val="FirstParagraph"/>
      </w:pPr>
      <w:r>
        <w:rPr>
          <w:b/>
          <w:bCs/>
        </w:rPr>
        <w:t xml:space="preserve">Inhalt dieses Teils</w:t>
      </w:r>
    </w:p>
    <w:p>
      <w:pPr>
        <w:pStyle w:val="Compact"/>
        <w:numPr>
          <w:ilvl w:val="0"/>
          <w:numId w:val="1025"/>
        </w:numPr>
      </w:pPr>
      <w:hyperlink w:anchor="X1d49b161ac04cc68c2ed723808db40ed62d239c">
        <w:r>
          <w:rPr>
            <w:rStyle w:val="Hyperlink"/>
          </w:rPr>
          <w:t xml:space="preserve">7. Was wann zu erfragen ist: erste zwei Sitzungen</w:t>
        </w:r>
      </w:hyperlink>
    </w:p>
    <w:p>
      <w:pPr>
        <w:pStyle w:val="Compact"/>
        <w:numPr>
          <w:ilvl w:val="1"/>
          <w:numId w:val="1026"/>
        </w:numPr>
      </w:pPr>
      <w:hyperlink w:anchor="X6839d9991b6b7512435c2470270df1f93ea67ec">
        <w:r>
          <w:rPr>
            <w:rStyle w:val="Hyperlink"/>
          </w:rPr>
          <w:t xml:space="preserve">7.1 Sitzung 1: Ankommen, Risiko, Anliegen</w:t>
        </w:r>
      </w:hyperlink>
    </w:p>
    <w:p>
      <w:pPr>
        <w:pStyle w:val="Compact"/>
        <w:numPr>
          <w:ilvl w:val="1"/>
          <w:numId w:val="1026"/>
        </w:numPr>
      </w:pPr>
      <w:hyperlink w:anchor="X86d3ffc9b94eab63245cfeb9140211dea705b2f">
        <w:r>
          <w:rPr>
            <w:rStyle w:val="Hyperlink"/>
          </w:rPr>
          <w:t xml:space="preserve">7.2 Sitzung 2: Vertiefen und Abklären</w:t>
        </w:r>
      </w:hyperlink>
    </w:p>
    <w:p>
      <w:pPr>
        <w:pStyle w:val="Compact"/>
        <w:numPr>
          <w:ilvl w:val="1"/>
          <w:numId w:val="1026"/>
        </w:numPr>
      </w:pPr>
      <w:hyperlink w:anchor="X77f5feddffb3e16edf84f28e081cf6cb98ad139">
        <w:r>
          <w:rPr>
            <w:rStyle w:val="Hyperlink"/>
          </w:rPr>
          <w:t xml:space="preserve">7.3 Zusatzfragen je Verhalten</w:t>
        </w:r>
      </w:hyperlink>
    </w:p>
    <w:p>
      <w:pPr>
        <w:pStyle w:val="Compact"/>
        <w:numPr>
          <w:ilvl w:val="0"/>
          <w:numId w:val="1025"/>
        </w:numPr>
      </w:pPr>
      <w:hyperlink w:anchor="Xae081ec9c4df524c269b01636f62bf6976f87bf">
        <w:r>
          <w:rPr>
            <w:rStyle w:val="Hyperlink"/>
          </w:rPr>
          <w:t xml:space="preserve">8. Ziele und Fortschritt</w:t>
        </w:r>
      </w:hyperlink>
    </w:p>
    <w:p>
      <w:pPr>
        <w:pStyle w:val="Compact"/>
        <w:numPr>
          <w:ilvl w:val="1"/>
          <w:numId w:val="1027"/>
        </w:numPr>
      </w:pPr>
      <w:hyperlink w:anchor="X0f822a568354166f76c64536a94acdc14dc13f2">
        <w:r>
          <w:rPr>
            <w:rStyle w:val="Hyperlink"/>
          </w:rPr>
          <w:t xml:space="preserve">8.1 Zielhierarchie</w:t>
        </w:r>
      </w:hyperlink>
    </w:p>
    <w:p>
      <w:pPr>
        <w:pStyle w:val="Compact"/>
        <w:numPr>
          <w:ilvl w:val="1"/>
          <w:numId w:val="1027"/>
        </w:numPr>
      </w:pPr>
      <w:hyperlink w:anchor="X29f57d7871c1656a38893ef5b346581ef197fe6">
        <w:r>
          <w:rPr>
            <w:rStyle w:val="Hyperlink"/>
          </w:rPr>
          <w:t xml:space="preserve">8.2 Zielinhalt: Abstinenz oder Kontrolle</w:t>
        </w:r>
      </w:hyperlink>
    </w:p>
    <w:p>
      <w:pPr>
        <w:pStyle w:val="Compact"/>
        <w:numPr>
          <w:ilvl w:val="1"/>
          <w:numId w:val="1027"/>
        </w:numPr>
      </w:pPr>
      <w:hyperlink w:anchor="Xc048fa20f7f1a453247e27d9995e99987c28925">
        <w:r>
          <w:rPr>
            <w:rStyle w:val="Hyperlink"/>
          </w:rPr>
          <w:t xml:space="preserve">8.3 SMART und Messgrössen</w:t>
        </w:r>
      </w:hyperlink>
    </w:p>
    <w:p>
      <w:pPr>
        <w:pStyle w:val="Compact"/>
        <w:numPr>
          <w:ilvl w:val="1"/>
          <w:numId w:val="1027"/>
        </w:numPr>
      </w:pPr>
      <w:hyperlink w:anchor="Xf5f2555872e82c1449306d8cdaa17947ecfadb6">
        <w:r>
          <w:rPr>
            <w:rStyle w:val="Hyperlink"/>
          </w:rPr>
          <w:t xml:space="preserve">8.4 Goal Attainment Scaling (GAS)</w:t>
        </w:r>
      </w:hyperlink>
    </w:p>
    <w:p>
      <w:pPr>
        <w:pStyle w:val="Compact"/>
        <w:numPr>
          <w:ilvl w:val="1"/>
          <w:numId w:val="1027"/>
        </w:numPr>
      </w:pPr>
      <w:hyperlink w:anchor="X47c0db27761adad9feef7f28db219a3d89e89eb">
        <w:r>
          <w:rPr>
            <w:rStyle w:val="Hyperlink"/>
          </w:rPr>
          <w:t xml:space="preserve">8.5 Fortschrittsbogen</w:t>
        </w:r>
      </w:hyperlink>
    </w:p>
    <w:p>
      <w:pPr>
        <w:pStyle w:val="Compact"/>
        <w:numPr>
          <w:ilvl w:val="1"/>
          <w:numId w:val="1027"/>
        </w:numPr>
      </w:pPr>
      <w:hyperlink w:anchor="Xe62fffd7aed56bf6e42bf200071668e30d98c15">
        <w:r>
          <w:rPr>
            <w:rStyle w:val="Hyperlink"/>
          </w:rPr>
          <w:t xml:space="preserve">8.6 Screening-Instrumente</w:t>
        </w:r>
      </w:hyperlink>
    </w:p>
    <w:p>
      <w:pPr>
        <w:pStyle w:val="Compact"/>
        <w:numPr>
          <w:ilvl w:val="1"/>
          <w:numId w:val="1027"/>
        </w:numPr>
      </w:pPr>
      <w:hyperlink w:anchor="X1251e33aa2c588a831b870f747e4ff2662fd103">
        <w:r>
          <w:rPr>
            <w:rStyle w:val="Hyperlink"/>
          </w:rPr>
          <w:t xml:space="preserve">8.7 Hinweise zur Messung</w:t>
        </w:r>
      </w:hyperlink>
    </w:p>
    <w:bookmarkStart w:id="63" w:name="X1d49b161ac04cc68c2ed723808db40ed62d239c"/>
    <w:p>
      <w:pPr>
        <w:pStyle w:val="Heading3"/>
      </w:pPr>
      <w:r>
        <w:t xml:space="preserve">7. Was wann zu erfragen ist: erste zwei Sitzungen</w:t>
      </w:r>
    </w:p>
    <w:p>
      <w:pPr>
        <w:pStyle w:val="FirstParagraph"/>
      </w:pPr>
      <w:r>
        <w:t xml:space="preserve">Gesprächsimpulse, kein Formular. Aufbau analog zum Indikationsgespräch im Alkohol-Konzept SDS, ergänzt um Basler Beratungsfragen und die Ärzteblatt-Methodik. Die Praxis-Suchtmedizin-Seite war nicht abrufbar; Abgleich von Hand empfohlen [Lücke].</w:t>
      </w:r>
    </w:p>
    <w:p>
      <w:pPr>
        <w:pStyle w:val="BodyText"/>
      </w:pPr>
      <w:r>
        <w:t xml:space="preserve">Grafik G5 (Ablauf der ersten zwei Sitzungen):</w:t>
      </w:r>
    </w:p>
    <w:p>
      <w:pPr>
        <w:pStyle w:val="BodyText"/>
      </w:pPr>
      <w:r>
        <w:drawing>
          <wp:inline>
            <wp:extent cx="5334000" cy="8001000"/>
            <wp:effectExtent b="0" l="0" r="0" t="0"/>
            <wp:docPr descr="Grafik G5: Ablauf der ersten zwei Sitzungen" title="" id="58" name="Picture"/>
            <a:graphic>
              <a:graphicData uri="http://schemas.openxmlformats.org/drawingml/2006/picture">
                <pic:pic>
                  <pic:nvPicPr>
                    <pic:cNvPr descr="/Users/georgscharf/Documents/GitHub/Britta/grafiken/grafik-G5-ablauf-erste-zwei-sitzungen.png" id="59" name="Picture"/>
                    <pic:cNvPicPr>
                      <a:picLocks noChangeArrowheads="1" noChangeAspect="1"/>
                    </pic:cNvPicPr>
                  </pic:nvPicPr>
                  <pic:blipFill>
                    <a:blip r:embed="rId57"/>
                    <a:stretch>
                      <a:fillRect/>
                    </a:stretch>
                  </pic:blipFill>
                  <pic:spPr bwMode="auto">
                    <a:xfrm>
                      <a:off x="0" y="0"/>
                      <a:ext cx="5334000" cy="8001000"/>
                    </a:xfrm>
                    <a:prstGeom prst="rect">
                      <a:avLst/>
                    </a:prstGeom>
                    <a:noFill/>
                    <a:ln w="9525">
                      <a:noFill/>
                      <a:headEnd/>
                      <a:tailEnd/>
                    </a:ln>
                  </pic:spPr>
                </pic:pic>
              </a:graphicData>
            </a:graphic>
          </wp:inline>
        </w:drawing>
      </w:r>
    </w:p>
    <w:bookmarkStart w:id="60" w:name="X6839d9991b6b7512435c2470270df1f93ea67ec"/>
    <w:p>
      <w:pPr>
        <w:pStyle w:val="Heading4"/>
      </w:pPr>
      <w:r>
        <w:t xml:space="preserve">7.1 Sitzung 1: Ankommen, Risiko, Anliegen</w:t>
      </w:r>
    </w:p>
    <w:p>
      <w:pPr>
        <w:pStyle w:val="Compact"/>
        <w:numPr>
          <w:ilvl w:val="0"/>
          <w:numId w:val="1028"/>
        </w:numPr>
      </w:pPr>
      <w:r>
        <w:rPr>
          <w:b/>
          <w:bCs/>
        </w:rPr>
        <w:t xml:space="preserve">Auftrag und Rahmen:</w:t>
      </w:r>
      <w:r>
        <w:t xml:space="preserve"> </w:t>
      </w:r>
      <w:r>
        <w:t xml:space="preserve">Was führt Sie her? Was erhoffen Sie sich? Vertraulichkeit, Schweigepflicht, freiwillig, kostenlos erklären</w:t>
      </w:r>
    </w:p>
    <w:p>
      <w:pPr>
        <w:pStyle w:val="Compact"/>
        <w:numPr>
          <w:ilvl w:val="0"/>
          <w:numId w:val="1028"/>
        </w:numPr>
      </w:pPr>
      <w:r>
        <w:rPr>
          <w:b/>
          <w:bCs/>
        </w:rPr>
        <w:t xml:space="preserve">Verhalten:</w:t>
      </w:r>
      <w:r>
        <w:t xml:space="preserve"> </w:t>
      </w:r>
      <w:r>
        <w:t xml:space="preserve">Was genau, seit wann, wie oft, wie lange, wann und wo, mit welchen Mitteln, Plattformen, welchem Geld?</w:t>
      </w:r>
    </w:p>
    <w:p>
      <w:pPr>
        <w:pStyle w:val="Compact"/>
        <w:numPr>
          <w:ilvl w:val="0"/>
          <w:numId w:val="1028"/>
        </w:numPr>
      </w:pPr>
      <w:r>
        <w:rPr>
          <w:b/>
          <w:bCs/>
        </w:rPr>
        <w:t xml:space="preserve">Funktion:</w:t>
      </w:r>
      <w:r>
        <w:t xml:space="preserve"> </w:t>
      </w:r>
      <w:r>
        <w:t xml:space="preserve">Was gibt Ihnen das Verhalten? Was ist davor, was danach?</w:t>
      </w:r>
    </w:p>
    <w:p>
      <w:pPr>
        <w:pStyle w:val="Compact"/>
        <w:numPr>
          <w:ilvl w:val="0"/>
          <w:numId w:val="1028"/>
        </w:numPr>
      </w:pPr>
      <w:r>
        <w:rPr>
          <w:b/>
          <w:bCs/>
        </w:rPr>
        <w:t xml:space="preserve">Kontrolle:</w:t>
      </w:r>
      <w:r>
        <w:t xml:space="preserve"> </w:t>
      </w:r>
      <w:r>
        <w:t xml:space="preserve">Versuche, zu reduzieren oder aufzuhören? Was hat geholfen, was nicht?</w:t>
      </w:r>
    </w:p>
    <w:p>
      <w:pPr>
        <w:pStyle w:val="Compact"/>
        <w:numPr>
          <w:ilvl w:val="0"/>
          <w:numId w:val="1028"/>
        </w:numPr>
      </w:pPr>
      <w:r>
        <w:rPr>
          <w:b/>
          <w:bCs/>
        </w:rPr>
        <w:t xml:space="preserve">Folgen:</w:t>
      </w:r>
      <w:r>
        <w:t xml:space="preserve"> </w:t>
      </w:r>
      <w:r>
        <w:t xml:space="preserve">Geld/Schulden, Beziehung, Arbeit, Gesundheit, Recht</w:t>
      </w:r>
    </w:p>
    <w:p>
      <w:pPr>
        <w:pStyle w:val="Compact"/>
        <w:numPr>
          <w:ilvl w:val="0"/>
          <w:numId w:val="1028"/>
        </w:numPr>
      </w:pPr>
      <w:r>
        <w:rPr>
          <w:b/>
          <w:bCs/>
        </w:rPr>
        <w:t xml:space="preserve">Heimlichkeit/Scham:</w:t>
      </w:r>
      <w:r>
        <w:t xml:space="preserve"> </w:t>
      </w:r>
      <w:r>
        <w:t xml:space="preserve">Wer weiss davon? Wie geht es Ihnen mit dem Thema?</w:t>
      </w:r>
    </w:p>
    <w:p>
      <w:pPr>
        <w:pStyle w:val="Compact"/>
        <w:numPr>
          <w:ilvl w:val="0"/>
          <w:numId w:val="1028"/>
        </w:numPr>
      </w:pPr>
      <w:r>
        <w:rPr>
          <w:b/>
          <w:bCs/>
        </w:rPr>
        <w:t xml:space="preserve">Suizidalität/Krise:</w:t>
      </w:r>
      <w:r>
        <w:t xml:space="preserve"> </w:t>
      </w:r>
      <w:r>
        <w:rPr>
          <w:b/>
          <w:bCs/>
        </w:rPr>
        <w:t xml:space="preserve">Immer direkt fragen.</w:t>
      </w:r>
      <w:r>
        <w:t xml:space="preserve"> </w:t>
      </w:r>
      <w:r>
        <w:t xml:space="preserve">Krisenprozedere (Kap. 13)</w:t>
      </w:r>
    </w:p>
    <w:p>
      <w:pPr>
        <w:pStyle w:val="Compact"/>
        <w:numPr>
          <w:ilvl w:val="0"/>
          <w:numId w:val="1028"/>
        </w:numPr>
      </w:pPr>
      <w:r>
        <w:rPr>
          <w:b/>
          <w:bCs/>
        </w:rPr>
        <w:t xml:space="preserve">Erstziel:</w:t>
      </w:r>
      <w:r>
        <w:t xml:space="preserve"> </w:t>
      </w:r>
      <w:r>
        <w:t xml:space="preserve">Was soll sich in den nächsten Wochen verändern?</w:t>
      </w:r>
    </w:p>
    <w:bookmarkEnd w:id="60"/>
    <w:bookmarkStart w:id="61" w:name="X86d3ffc9b94eab63245cfeb9140211dea705b2f"/>
    <w:p>
      <w:pPr>
        <w:pStyle w:val="Heading4"/>
      </w:pPr>
      <w:r>
        <w:t xml:space="preserve">7.2 Sitzung 2: Vertiefen und Abklären</w:t>
      </w:r>
    </w:p>
    <w:p>
      <w:pPr>
        <w:pStyle w:val="Compact"/>
        <w:numPr>
          <w:ilvl w:val="0"/>
          <w:numId w:val="1029"/>
        </w:numPr>
      </w:pPr>
      <w:r>
        <w:rPr>
          <w:b/>
          <w:bCs/>
        </w:rPr>
        <w:t xml:space="preserve">Rückblick:</w:t>
      </w:r>
      <w:r>
        <w:t xml:space="preserve"> </w:t>
      </w:r>
      <w:r>
        <w:t xml:space="preserve">Was ist seit der letzten Sitzung passiert? Protokoll auswerten</w:t>
      </w:r>
    </w:p>
    <w:p>
      <w:pPr>
        <w:pStyle w:val="Compact"/>
        <w:numPr>
          <w:ilvl w:val="0"/>
          <w:numId w:val="1029"/>
        </w:numPr>
      </w:pPr>
      <w:r>
        <w:rPr>
          <w:b/>
          <w:bCs/>
        </w:rPr>
        <w:t xml:space="preserve">Psychische Gesundheit:</w:t>
      </w:r>
      <w:r>
        <w:t xml:space="preserve"> </w:t>
      </w:r>
      <w:r>
        <w:t xml:space="preserve">Stimmung, Angst, Schlaf, Aufmerksamkeit/ADHS, Essverhalten, Zwänge, Phasen mit stark erhöhter Energie</w:t>
      </w:r>
    </w:p>
    <w:p>
      <w:pPr>
        <w:pStyle w:val="Compact"/>
        <w:numPr>
          <w:ilvl w:val="0"/>
          <w:numId w:val="1029"/>
        </w:numPr>
      </w:pPr>
      <w:r>
        <w:rPr>
          <w:b/>
          <w:bCs/>
        </w:rPr>
        <w:t xml:space="preserve">Substanzen/Medikamente:</w:t>
      </w:r>
      <w:r>
        <w:t xml:space="preserve"> </w:t>
      </w:r>
      <w:r>
        <w:t xml:space="preserve">Alkohol, Drogen, Medikamente (auch solche, die die Impulskontrolle beeinflussen können [eigenes Wissen])</w:t>
      </w:r>
    </w:p>
    <w:p>
      <w:pPr>
        <w:pStyle w:val="Compact"/>
        <w:numPr>
          <w:ilvl w:val="0"/>
          <w:numId w:val="1029"/>
        </w:numPr>
      </w:pPr>
      <w:r>
        <w:rPr>
          <w:b/>
          <w:bCs/>
        </w:rPr>
        <w:t xml:space="preserve">Vorbehandlungen:</w:t>
      </w:r>
      <w:r>
        <w:t xml:space="preserve"> </w:t>
      </w:r>
      <w:r>
        <w:t xml:space="preserve">Beratung, Therapie, Klinik, Hausarzt</w:t>
      </w:r>
    </w:p>
    <w:p>
      <w:pPr>
        <w:pStyle w:val="Compact"/>
        <w:numPr>
          <w:ilvl w:val="0"/>
          <w:numId w:val="1029"/>
        </w:numPr>
      </w:pPr>
      <w:r>
        <w:rPr>
          <w:b/>
          <w:bCs/>
        </w:rPr>
        <w:t xml:space="preserve">Umfeld/Ressourcen:</w:t>
      </w:r>
      <w:r>
        <w:t xml:space="preserve"> </w:t>
      </w:r>
      <w:r>
        <w:t xml:space="preserve">Wer unterstützt? Wer ist betroffen? Arbeit?</w:t>
      </w:r>
    </w:p>
    <w:p>
      <w:pPr>
        <w:pStyle w:val="Compact"/>
        <w:numPr>
          <w:ilvl w:val="0"/>
          <w:numId w:val="1029"/>
        </w:numPr>
      </w:pPr>
      <w:r>
        <w:rPr>
          <w:b/>
          <w:bCs/>
        </w:rPr>
        <w:t xml:space="preserve">Motivation:</w:t>
      </w:r>
      <w:r>
        <w:t xml:space="preserve"> </w:t>
      </w:r>
      <w:r>
        <w:t xml:space="preserve">Wie wichtig ist die Veränderung (0–10)? Wie zuversichtlich (0–10)? [eigenes Wissen, MI-Standard]</w:t>
      </w:r>
    </w:p>
    <w:p>
      <w:pPr>
        <w:pStyle w:val="Compact"/>
        <w:numPr>
          <w:ilvl w:val="0"/>
          <w:numId w:val="1029"/>
        </w:numPr>
      </w:pPr>
      <w:r>
        <w:rPr>
          <w:b/>
          <w:bCs/>
        </w:rPr>
        <w:t xml:space="preserve">Ziele und Plan:</w:t>
      </w:r>
      <w:r>
        <w:t xml:space="preserve"> </w:t>
      </w:r>
      <w:r>
        <w:t xml:space="preserve">Rahmen-, Teil-, Handlungsziele, evtl. GAS (Kap. 8). Fortschrittsbogen Seite 1 (Beginn)</w:t>
      </w:r>
    </w:p>
    <w:p>
      <w:pPr>
        <w:pStyle w:val="Compact"/>
        <w:numPr>
          <w:ilvl w:val="0"/>
          <w:numId w:val="1029"/>
        </w:numPr>
      </w:pPr>
      <w:r>
        <w:rPr>
          <w:b/>
          <w:bCs/>
        </w:rPr>
        <w:t xml:space="preserve">Triage-Check:</w:t>
      </w:r>
      <w:r>
        <w:t xml:space="preserve"> </w:t>
      </w:r>
      <w:r>
        <w:t xml:space="preserve">Signale aus Kap. 6.2 prüfen, Weiterverweisung besprechen</w:t>
      </w:r>
    </w:p>
    <w:p>
      <w:pPr>
        <w:pStyle w:val="Compact"/>
        <w:numPr>
          <w:ilvl w:val="0"/>
          <w:numId w:val="1029"/>
        </w:numPr>
      </w:pPr>
      <w:r>
        <w:rPr>
          <w:b/>
          <w:bCs/>
        </w:rPr>
        <w:t xml:space="preserve">Angehörige/Arbeitgebende:</w:t>
      </w:r>
      <w:r>
        <w:t xml:space="preserve"> </w:t>
      </w:r>
      <w:r>
        <w:t xml:space="preserve">Einbezug, Einwilligung</w:t>
      </w:r>
    </w:p>
    <w:bookmarkEnd w:id="61"/>
    <w:bookmarkStart w:id="62" w:name="X77f5feddffb3e16edf84f28e081cf6cb98ad139"/>
    <w:p>
      <w:pPr>
        <w:pStyle w:val="Heading4"/>
      </w:pPr>
      <w:r>
        <w:t xml:space="preserve">7.3 Zusatzfragen je Verhalten</w:t>
      </w:r>
    </w:p>
    <w:p>
      <w:pPr>
        <w:pStyle w:val="FirstParagraph"/>
      </w:pPr>
      <w:r>
        <w:t xml:space="preserve">[Vorschlag, noch auszuformulieren]</w:t>
      </w:r>
    </w:p>
    <w:tbl>
      <w:tblPr>
        <w:tblStyle w:val="Table"/>
        <w:tblW w:type="auto" w:w="0"/>
        <w:tblLook w:firstRow="1" w:lastRow="0" w:firstColumn="0" w:lastColumn="0" w:noHBand="0" w:noVBand="0" w:val="0020"/>
      </w:tblPr>
      <w:tblGrid>
        <w:gridCol w:w="3960"/>
        <w:gridCol w:w="3960"/>
      </w:tblGrid>
      <w:tr>
        <w:trPr>
          <w:tblHeader w:val="on"/>
        </w:trPr>
        <w:tc>
          <w:tcPr>
            <w:shd w:val="clear" w:color="auto" w:fill="1A2B4C"/>
          </w:tcPr>
          <w:tcPr/>
          <w:p>
            <w:pPr>
              <w:pStyle w:val="Compact"/>
            </w:pPr>
            <w:r>
              <w:rPr>
                <w:b/>
                <w:color w:val="FFFFFF"/>
                <w:b/>
                <w:color w:val="FFFFFF"/>
              </w:rPr>
              <w:t xml:space="preserve">Verhalten</w:t>
            </w:r>
          </w:p>
        </w:tc>
        <w:tc>
          <w:tcPr>
            <w:shd w:val="clear" w:color="auto" w:fill="1A2B4C"/>
          </w:tcPr>
          <w:tcPr/>
          <w:p>
            <w:pPr>
              <w:pStyle w:val="Compact"/>
            </w:pPr>
            <w:r>
              <w:rPr>
                <w:b/>
                <w:color w:val="FFFFFF"/>
                <w:b/>
                <w:color w:val="FFFFFF"/>
              </w:rPr>
              <w:t xml:space="preserve">Zusatzfragen</w:t>
            </w:r>
          </w:p>
        </w:tc>
      </w:tr>
      <w:tr>
        <w:tc>
          <w:tcPr/>
          <w:p>
            <w:pPr>
              <w:pStyle w:val="Compact"/>
            </w:pPr>
            <w:r>
              <w:t xml:space="preserve">Kaufsucht</w:t>
            </w:r>
          </w:p>
        </w:tc>
        <w:tc>
          <w:tcPr/>
          <w:p>
            <w:pPr>
              <w:pStyle w:val="Compact"/>
            </w:pPr>
            <w:r>
              <w:t xml:space="preserve">Ausgaben pro Woche und Monat, Kreditkarten und Kredite, Retouren, Verstecken von Waren, Schuldenstand, gemeinsame Konten, Betreibungen</w:t>
            </w:r>
          </w:p>
        </w:tc>
      </w:tr>
      <w:tr>
        <w:tc>
          <w:tcPr/>
          <w:p>
            <w:pPr>
              <w:pStyle w:val="Compact"/>
            </w:pPr>
            <w:r>
              <w:t xml:space="preserve">Sex/Porno</w:t>
            </w:r>
          </w:p>
        </w:tc>
        <w:tc>
          <w:tcPr/>
          <w:p>
            <w:pPr>
              <w:pStyle w:val="Compact"/>
            </w:pPr>
            <w:r>
              <w:t xml:space="preserve">Zeit pro Tag/Woche, Beziehungsfolgen, Risikoverhalten, Illegales, Heimlichkeit, Filter und Blocker, Wirkung auf Arbeit und Schlaf</w:t>
            </w:r>
          </w:p>
        </w:tc>
      </w:tr>
      <w:tr>
        <w:tc>
          <w:tcPr/>
          <w:p>
            <w:pPr>
              <w:pStyle w:val="Compact"/>
            </w:pPr>
            <w:r>
              <w:t xml:space="preserve">Arbeit</w:t>
            </w:r>
          </w:p>
        </w:tc>
        <w:tc>
          <w:tcPr/>
          <w:p>
            <w:pPr>
              <w:pStyle w:val="Compact"/>
            </w:pPr>
            <w:r>
              <w:t xml:space="preserve">Wochenstunden, Erreichbarkeit, Erholung und Urlaub, Reaktion der Umgebung, Schlaf, Körperliche Warnzeichen</w:t>
            </w:r>
          </w:p>
        </w:tc>
      </w:tr>
      <w:tr>
        <w:tc>
          <w:tcPr/>
          <w:p>
            <w:pPr>
              <w:pStyle w:val="Compact"/>
            </w:pPr>
            <w:r>
              <w:t xml:space="preserve">Sport</w:t>
            </w:r>
          </w:p>
        </w:tc>
        <w:tc>
          <w:tcPr/>
          <w:p>
            <w:pPr>
              <w:pStyle w:val="Compact"/>
            </w:pPr>
            <w:r>
              <w:t xml:space="preserve">Schmerzen, Verletzungen, Trainingsumfang, Ersatz bei Ausfall, Anabolika oder Nahrungsergänzung, Essverhalten</w:t>
            </w:r>
          </w:p>
        </w:tc>
      </w:tr>
    </w:tbl>
    <w:p>
      <w:r>
        <w:pict>
          <v:rect style="width:0;height:1.5pt" o:hralign="center" o:hrstd="t" o:hr="t"/>
        </w:pict>
      </w:r>
    </w:p>
    <w:bookmarkEnd w:id="62"/>
    <w:bookmarkEnd w:id="63"/>
    <w:bookmarkStart w:id="71" w:name="Xae081ec9c4df524c269b01636f62bf6976f87bf"/>
    <w:p>
      <w:pPr>
        <w:pStyle w:val="Heading3"/>
      </w:pPr>
      <w:r>
        <w:t xml:space="preserve">8. Ziele und Fortschritt</w:t>
      </w:r>
    </w:p>
    <w:bookmarkStart w:id="64" w:name="X0f822a568354166f76c64536a94acdc14dc13f2"/>
    <w:p>
      <w:pPr>
        <w:pStyle w:val="Heading4"/>
      </w:pPr>
      <w:r>
        <w:t xml:space="preserve">8.1 Zielhierarchie</w:t>
      </w:r>
    </w:p>
    <w:p>
      <w:pPr>
        <w:pStyle w:val="FirstParagraph"/>
      </w:pPr>
      <w:r>
        <w:t xml:space="preserve">[Vorschlag]</w:t>
      </w:r>
    </w:p>
    <w:p>
      <w:pPr>
        <w:pStyle w:val="BodyText"/>
      </w:pPr>
      <w:r>
        <w:t xml:space="preserve">Ziele zwischen Zielen lassen sich über gestaffelte Ebenen fassen. Belegt sind individuelle Zielvereinbarung (Basel), zieloffene Arbeit (Caritas/Körkel) und Zielerreichungsskalen (GAS). Die Staffelung selbst ist ein Vorschlag.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shd w:val="clear" w:color="auto" w:fill="1A2B4C"/>
          </w:tcPr>
          <w:tcPr/>
          <w:p>
            <w:pPr>
              <w:pStyle w:val="Compact"/>
            </w:pPr>
            <w:r>
              <w:rPr>
                <w:b/>
                <w:color w:val="FFFFFF"/>
                <w:b/>
                <w:color w:val="FFFFFF"/>
              </w:rPr>
              <w:t xml:space="preserve">Ebene</w:t>
            </w:r>
          </w:p>
        </w:tc>
        <w:tc>
          <w:tcPr>
            <w:shd w:val="clear" w:color="auto" w:fill="1A2B4C"/>
          </w:tcPr>
          <w:tcPr/>
          <w:p>
            <w:pPr>
              <w:pStyle w:val="Compact"/>
            </w:pPr>
            <w:r>
              <w:rPr>
                <w:b/>
                <w:color w:val="FFFFFF"/>
                <w:b/>
                <w:color w:val="FFFFFF"/>
              </w:rPr>
              <w:t xml:space="preserve">Zeithorizont</w:t>
            </w:r>
          </w:p>
        </w:tc>
        <w:tc>
          <w:tcPr>
            <w:shd w:val="clear" w:color="auto" w:fill="1A2B4C"/>
          </w:tcPr>
          <w:tcPr/>
          <w:p>
            <w:pPr>
              <w:pStyle w:val="Compact"/>
            </w:pPr>
            <w:r>
              <w:rPr>
                <w:b/>
                <w:color w:val="FFFFFF"/>
                <w:b/>
                <w:color w:val="FFFFFF"/>
              </w:rPr>
              <w:t xml:space="preserve">Beispiel Kaufsucht</w:t>
            </w:r>
          </w:p>
        </w:tc>
        <w:tc>
          <w:tcPr>
            <w:shd w:val="clear" w:color="auto" w:fill="1A2B4C"/>
          </w:tcPr>
          <w:tcPr/>
          <w:p>
            <w:pPr>
              <w:pStyle w:val="Compact"/>
            </w:pPr>
            <w:r>
              <w:rPr>
                <w:b/>
                <w:color w:val="FFFFFF"/>
                <w:b/>
                <w:color w:val="FFFFFF"/>
              </w:rPr>
              <w:t xml:space="preserve">Beispiel CSBD/Pornografie</w:t>
            </w:r>
          </w:p>
        </w:tc>
      </w:tr>
      <w:tr>
        <w:tc>
          <w:tcPr/>
          <w:p>
            <w:pPr>
              <w:pStyle w:val="Compact"/>
            </w:pPr>
            <w:r>
              <w:t xml:space="preserve">Rahmenziel (Wirkung)</w:t>
            </w:r>
          </w:p>
        </w:tc>
        <w:tc>
          <w:tcPr/>
          <w:p>
            <w:pPr>
              <w:pStyle w:val="Compact"/>
            </w:pPr>
            <w:r>
              <w:t xml:space="preserve">6–12 Monate</w:t>
            </w:r>
          </w:p>
        </w:tc>
        <w:tc>
          <w:tcPr/>
          <w:p>
            <w:pPr>
              <w:pStyle w:val="Compact"/>
            </w:pPr>
            <w:r>
              <w:t xml:space="preserve">Einkaufen bedarfsgerecht, keine neuen Schulden</w:t>
            </w:r>
          </w:p>
        </w:tc>
        <w:tc>
          <w:tcPr/>
          <w:p>
            <w:pPr>
              <w:pStyle w:val="Compact"/>
            </w:pPr>
            <w:r>
              <w:t xml:space="preserve">Sexualverhalten und Pornografienutzung wieder kontrollierbar, Partnerschaft stabil</w:t>
            </w:r>
          </w:p>
        </w:tc>
      </w:tr>
      <w:tr>
        <w:tc>
          <w:tcPr/>
          <w:p>
            <w:pPr>
              <w:pStyle w:val="Compact"/>
            </w:pPr>
            <w:r>
              <w:t xml:space="preserve">Teilziel</w:t>
            </w:r>
          </w:p>
        </w:tc>
        <w:tc>
          <w:tcPr/>
          <w:p>
            <w:pPr>
              <w:pStyle w:val="Compact"/>
            </w:pPr>
            <w:r>
              <w:t xml:space="preserve">4–12 Wochen</w:t>
            </w:r>
          </w:p>
        </w:tc>
        <w:tc>
          <w:tcPr/>
          <w:p>
            <w:pPr>
              <w:pStyle w:val="Compact"/>
            </w:pPr>
            <w:r>
              <w:t xml:space="preserve">Kaufverhalten pro Woche halbiert, Online-Shops gesperrt</w:t>
            </w:r>
          </w:p>
        </w:tc>
        <w:tc>
          <w:tcPr/>
          <w:p>
            <w:pPr>
              <w:pStyle w:val="Compact"/>
            </w:pPr>
            <w:r>
              <w:t xml:space="preserve">Nutzung auf definierte Zeiten begrenzt, Filter eingerichtet</w:t>
            </w:r>
          </w:p>
        </w:tc>
      </w:tr>
      <w:tr>
        <w:tc>
          <w:tcPr/>
          <w:p>
            <w:pPr>
              <w:pStyle w:val="Compact"/>
            </w:pPr>
            <w:r>
              <w:t xml:space="preserve">Handlungsziel</w:t>
            </w:r>
          </w:p>
        </w:tc>
        <w:tc>
          <w:tcPr/>
          <w:p>
            <w:pPr>
              <w:pStyle w:val="Compact"/>
            </w:pPr>
            <w:r>
              <w:t xml:space="preserve">1–2 Wochen</w:t>
            </w:r>
          </w:p>
        </w:tc>
        <w:tc>
          <w:tcPr/>
          <w:p>
            <w:pPr>
              <w:pStyle w:val="Compact"/>
            </w:pPr>
            <w:r>
              <w:t xml:space="preserve">Protokoll 14 Tage, Termin Schuldenberatung</w:t>
            </w:r>
          </w:p>
        </w:tc>
        <w:tc>
          <w:tcPr/>
          <w:p>
            <w:pPr>
              <w:pStyle w:val="Compact"/>
            </w:pPr>
            <w:r>
              <w:t xml:space="preserve">Auslöser-Protokoll, eine Alternativaktivität planen</w:t>
            </w:r>
          </w:p>
        </w:tc>
      </w:tr>
      <w:tr>
        <w:tc>
          <w:tcPr/>
          <w:p>
            <w:pPr>
              <w:pStyle w:val="Compact"/>
            </w:pPr>
            <w:r>
              <w:t xml:space="preserve">Prozessziel der Beratung</w:t>
            </w:r>
          </w:p>
        </w:tc>
        <w:tc>
          <w:tcPr/>
          <w:p>
            <w:pPr>
              <w:pStyle w:val="Compact"/>
            </w:pPr>
            <w:r>
              <w:t xml:space="preserve">laufend</w:t>
            </w:r>
          </w:p>
        </w:tc>
        <w:tc>
          <w:tcPr/>
          <w:p>
            <w:pPr>
              <w:pStyle w:val="Compact"/>
            </w:pPr>
            <w:r>
              <w:t xml:space="preserve">Beziehung tragfähig, Krisenplan vorhanden</w:t>
            </w:r>
          </w:p>
        </w:tc>
        <w:tc>
          <w:tcPr/>
          <w:p>
            <w:pPr>
              <w:pStyle w:val="Compact"/>
            </w:pPr>
            <w:r>
              <w:t xml:space="preserve">dito</w:t>
            </w:r>
          </w:p>
        </w:tc>
      </w:tr>
    </w:tbl>
    <w:bookmarkEnd w:id="64"/>
    <w:bookmarkStart w:id="65" w:name="X29f57d7871c1656a38893ef5b346581ef197fe6"/>
    <w:p>
      <w:pPr>
        <w:pStyle w:val="Heading4"/>
      </w:pPr>
      <w:r>
        <w:t xml:space="preserve">8.2 Zielinhalt: Abstinenz oder Kontrolle</w:t>
      </w:r>
    </w:p>
    <w:p>
      <w:pPr>
        <w:pStyle w:val="Compact"/>
        <w:numPr>
          <w:ilvl w:val="0"/>
          <w:numId w:val="1030"/>
        </w:numPr>
      </w:pPr>
      <w:r>
        <w:t xml:space="preserve">Laut Fachliteratur ist das Kernziel die Abstinenz vom</w:t>
      </w:r>
      <w:r>
        <w:t xml:space="preserve"> </w:t>
      </w:r>
      <w:r>
        <w:rPr>
          <w:i/>
          <w:iCs/>
        </w:rPr>
        <w:t xml:space="preserve">problembezogenen</w:t>
      </w:r>
      <w:r>
        <w:t xml:space="preserve"> </w:t>
      </w:r>
      <w:r>
        <w:t xml:space="preserve">Verhalten. Sie ist nicht immer möglich oder sinnvoll, denn Einkaufen und Internet lassen sich nicht ganz meiden. Das Ausmass wird je Verhalten differenziert (Q: Ärzteblatt).</w:t>
      </w:r>
    </w:p>
    <w:p>
      <w:pPr>
        <w:pStyle w:val="Compact"/>
        <w:numPr>
          <w:ilvl w:val="0"/>
          <w:numId w:val="1030"/>
        </w:numPr>
      </w:pPr>
      <w:r>
        <w:t xml:space="preserve">Kaufsucht: bestimmte Geschäfte, Portale, Marken meiden und Warenkonsum auf bedarfsgerechtes Mass beschränken. Im Vordergrund:</w:t>
      </w:r>
      <w:r>
        <w:t xml:space="preserve"> </w:t>
      </w:r>
      <w:r>
        <w:rPr>
          <w:b/>
          <w:bCs/>
        </w:rPr>
        <w:t xml:space="preserve">Kontrolle zurückgewinnen</w:t>
      </w:r>
      <w:r>
        <w:t xml:space="preserve"> </w:t>
      </w:r>
      <w:r>
        <w:t xml:space="preserve">(Q: Ärzteblatt).</w:t>
      </w:r>
    </w:p>
    <w:p>
      <w:pPr>
        <w:pStyle w:val="Compact"/>
        <w:numPr>
          <w:ilvl w:val="0"/>
          <w:numId w:val="1030"/>
        </w:numPr>
      </w:pPr>
      <w:r>
        <w:t xml:space="preserve">Zieloffene Suchtarbeit: Abstinenz und Reduktion als Optionen mit motivierenden Hilfen zur Abstinenz (Q: Caritas). Für Verhaltenssüchte plausibel übertragbar [Vorschlag].</w:t>
      </w:r>
    </w:p>
    <w:p>
      <w:pPr>
        <w:pStyle w:val="Compact"/>
        <w:numPr>
          <w:ilvl w:val="0"/>
          <w:numId w:val="1030"/>
        </w:numPr>
      </w:pPr>
      <w:r>
        <w:t xml:space="preserve">Realistische, gut erreichbare Ziele stützen die Motivation (Q: Ärzteblatt).</w:t>
      </w:r>
    </w:p>
    <w:bookmarkEnd w:id="65"/>
    <w:bookmarkStart w:id="66" w:name="Xc048fa20f7f1a453247e27d9995e99987c28925"/>
    <w:p>
      <w:pPr>
        <w:pStyle w:val="Heading4"/>
      </w:pPr>
      <w:r>
        <w:t xml:space="preserve">8.3 SMART und Messgrössen</w:t>
      </w:r>
    </w:p>
    <w:p>
      <w:pPr>
        <w:pStyle w:val="FirstParagraph"/>
      </w:pPr>
      <w:r>
        <w:t xml:space="preserve">[Vorschlag]</w:t>
      </w:r>
    </w:p>
    <w:p>
      <w:pPr>
        <w:pStyle w:val="BodyText"/>
      </w:pPr>
      <w:r>
        <w:t xml:space="preserve">SMART: spezifisch, messbar, attraktiv/erreichbar, realistisch, terminiert [eigenes Wissen].</w:t>
      </w:r>
    </w:p>
    <w:tbl>
      <w:tblPr>
        <w:tblStyle w:val="Table"/>
        <w:tblW w:type="auto" w:w="0"/>
        <w:tblLook w:firstRow="1" w:lastRow="0" w:firstColumn="0" w:lastColumn="0" w:noHBand="0" w:noVBand="0" w:val="0020"/>
      </w:tblPr>
      <w:tblGrid>
        <w:gridCol w:w="2640"/>
        <w:gridCol w:w="2640"/>
        <w:gridCol w:w="2640"/>
      </w:tblGrid>
      <w:tr>
        <w:trPr>
          <w:tblHeader w:val="on"/>
        </w:trPr>
        <w:tc>
          <w:tcPr>
            <w:shd w:val="clear" w:color="auto" w:fill="1A2B4C"/>
          </w:tcPr>
          <w:tcPr/>
          <w:p>
            <w:pPr>
              <w:pStyle w:val="Compact"/>
            </w:pPr>
            <w:r>
              <w:rPr>
                <w:b/>
                <w:color w:val="FFFFFF"/>
                <w:b/>
                <w:color w:val="FFFFFF"/>
              </w:rPr>
              <w:t xml:space="preserve">Messgrösse</w:t>
            </w:r>
          </w:p>
        </w:tc>
        <w:tc>
          <w:tcPr>
            <w:shd w:val="clear" w:color="auto" w:fill="1A2B4C"/>
          </w:tcPr>
          <w:tcPr/>
          <w:p>
            <w:pPr>
              <w:pStyle w:val="Compact"/>
            </w:pPr>
            <w:r>
              <w:rPr>
                <w:b/>
                <w:color w:val="FFFFFF"/>
                <w:b/>
                <w:color w:val="FFFFFF"/>
              </w:rPr>
              <w:t xml:space="preserve">Erhebung</w:t>
            </w:r>
          </w:p>
        </w:tc>
        <w:tc>
          <w:tcPr>
            <w:shd w:val="clear" w:color="auto" w:fill="1A2B4C"/>
          </w:tcPr>
          <w:tcPr/>
          <w:p>
            <w:pPr>
              <w:pStyle w:val="Compact"/>
            </w:pPr>
            <w:r>
              <w:rPr>
                <w:b/>
                <w:color w:val="FFFFFF"/>
                <w:b/>
                <w:color w:val="FFFFFF"/>
              </w:rPr>
              <w:t xml:space="preserve">Passt zu</w:t>
            </w:r>
          </w:p>
        </w:tc>
      </w:tr>
      <w:tr>
        <w:tc>
          <w:tcPr/>
          <w:p>
            <w:pPr>
              <w:pStyle w:val="Compact"/>
            </w:pPr>
            <w:r>
              <w:t xml:space="preserve">Frequenz (Tage pro Woche mit Verhalten)</w:t>
            </w:r>
          </w:p>
        </w:tc>
        <w:tc>
          <w:tcPr/>
          <w:p>
            <w:pPr>
              <w:pStyle w:val="Compact"/>
            </w:pPr>
            <w:r>
              <w:t xml:space="preserve">Selbstbeobachtungsprotokoll</w:t>
            </w:r>
          </w:p>
        </w:tc>
        <w:tc>
          <w:tcPr/>
          <w:p>
            <w:pPr>
              <w:pStyle w:val="Compact"/>
            </w:pPr>
            <w:r>
              <w:t xml:space="preserve">alle</w:t>
            </w:r>
          </w:p>
        </w:tc>
      </w:tr>
      <w:tr>
        <w:tc>
          <w:tcPr/>
          <w:p>
            <w:pPr>
              <w:pStyle w:val="Compact"/>
            </w:pPr>
            <w:r>
              <w:t xml:space="preserve">Dauer (Min./Std. pro Episode)</w:t>
            </w:r>
          </w:p>
        </w:tc>
        <w:tc>
          <w:tcPr/>
          <w:p>
            <w:pPr>
              <w:pStyle w:val="Compact"/>
            </w:pPr>
            <w:r>
              <w:t xml:space="preserve">Protokoll, Bildschirmzeit</w:t>
            </w:r>
          </w:p>
        </w:tc>
        <w:tc>
          <w:tcPr/>
          <w:p>
            <w:pPr>
              <w:pStyle w:val="Compact"/>
            </w:pPr>
            <w:r>
              <w:t xml:space="preserve">Porno/CSBD, Arbeit</w:t>
            </w:r>
          </w:p>
        </w:tc>
      </w:tr>
      <w:tr>
        <w:tc>
          <w:tcPr/>
          <w:p>
            <w:pPr>
              <w:pStyle w:val="Compact"/>
            </w:pPr>
            <w:r>
              <w:t xml:space="preserve">Geld (CHF pro Woche)</w:t>
            </w:r>
          </w:p>
        </w:tc>
        <w:tc>
          <w:tcPr/>
          <w:p>
            <w:pPr>
              <w:pStyle w:val="Compact"/>
            </w:pPr>
            <w:r>
              <w:t xml:space="preserve">Kontoauszug, Protokoll</w:t>
            </w:r>
          </w:p>
        </w:tc>
        <w:tc>
          <w:tcPr/>
          <w:p>
            <w:pPr>
              <w:pStyle w:val="Compact"/>
            </w:pPr>
            <w:r>
              <w:t xml:space="preserve">Kaufsucht</w:t>
            </w:r>
          </w:p>
        </w:tc>
      </w:tr>
      <w:tr>
        <w:tc>
          <w:tcPr/>
          <w:p>
            <w:pPr>
              <w:pStyle w:val="Compact"/>
            </w:pPr>
            <w:r>
              <w:t xml:space="preserve">Schuldenstand, Zahlungsrückstände</w:t>
            </w:r>
          </w:p>
        </w:tc>
        <w:tc>
          <w:tcPr/>
          <w:p>
            <w:pPr>
              <w:pStyle w:val="Compact"/>
            </w:pPr>
            <w:r>
              <w:t xml:space="preserve">Übersicht, Schuldenberatung</w:t>
            </w:r>
          </w:p>
        </w:tc>
        <w:tc>
          <w:tcPr/>
          <w:p>
            <w:pPr>
              <w:pStyle w:val="Compact"/>
            </w:pPr>
            <w:r>
              <w:t xml:space="preserve">Kaufsucht, Arbeit (Folgen)</w:t>
            </w:r>
          </w:p>
        </w:tc>
      </w:tr>
      <w:tr>
        <w:tc>
          <w:tcPr/>
          <w:p>
            <w:pPr>
              <w:pStyle w:val="Compact"/>
            </w:pPr>
            <w:r>
              <w:t xml:space="preserve">Craving (0–10)</w:t>
            </w:r>
          </w:p>
        </w:tc>
        <w:tc>
          <w:tcPr/>
          <w:p>
            <w:pPr>
              <w:pStyle w:val="Compact"/>
            </w:pPr>
            <w:r>
              <w:t xml:space="preserve">Skala im Protokoll</w:t>
            </w:r>
          </w:p>
        </w:tc>
        <w:tc>
          <w:tcPr/>
          <w:p>
            <w:pPr>
              <w:pStyle w:val="Compact"/>
            </w:pPr>
            <w:r>
              <w:t xml:space="preserve">alle</w:t>
            </w:r>
          </w:p>
        </w:tc>
      </w:tr>
      <w:tr>
        <w:tc>
          <w:tcPr/>
          <w:p>
            <w:pPr>
              <w:pStyle w:val="Compact"/>
            </w:pPr>
            <w:r>
              <w:t xml:space="preserve">Kontrollversuche und -erfolge</w:t>
            </w:r>
          </w:p>
        </w:tc>
        <w:tc>
          <w:tcPr/>
          <w:p>
            <w:pPr>
              <w:pStyle w:val="Compact"/>
            </w:pPr>
            <w:r>
              <w:t xml:space="preserve">Protokoll</w:t>
            </w:r>
          </w:p>
        </w:tc>
        <w:tc>
          <w:tcPr/>
          <w:p>
            <w:pPr>
              <w:pStyle w:val="Compact"/>
            </w:pPr>
            <w:r>
              <w:t xml:space="preserve">alle</w:t>
            </w:r>
          </w:p>
        </w:tc>
      </w:tr>
      <w:tr>
        <w:tc>
          <w:tcPr/>
          <w:p>
            <w:pPr>
              <w:pStyle w:val="Compact"/>
            </w:pPr>
            <w:r>
              <w:t xml:space="preserve">Tage/Wochen ohne problembezogenes Verhalten</w:t>
            </w:r>
          </w:p>
        </w:tc>
        <w:tc>
          <w:tcPr/>
          <w:p>
            <w:pPr>
              <w:pStyle w:val="Compact"/>
            </w:pPr>
            <w:r>
              <w:t xml:space="preserve">Protokoll</w:t>
            </w:r>
          </w:p>
        </w:tc>
        <w:tc>
          <w:tcPr/>
          <w:p>
            <w:pPr>
              <w:pStyle w:val="Compact"/>
            </w:pPr>
            <w:r>
              <w:t xml:space="preserve">alle</w:t>
            </w:r>
          </w:p>
        </w:tc>
      </w:tr>
      <w:tr>
        <w:tc>
          <w:tcPr/>
          <w:p>
            <w:pPr>
              <w:pStyle w:val="Compact"/>
            </w:pPr>
            <w:r>
              <w:t xml:space="preserve">Funktionsbereiche (Arbeit, Beziehung, Finanzen, Gesundheit, Freizeit)</w:t>
            </w:r>
          </w:p>
        </w:tc>
        <w:tc>
          <w:tcPr/>
          <w:p>
            <w:pPr>
              <w:pStyle w:val="Compact"/>
            </w:pPr>
            <w:r>
              <w:t xml:space="preserve">Selbsteinschätzung, Fortschrittsbogen</w:t>
            </w:r>
          </w:p>
        </w:tc>
        <w:tc>
          <w:tcPr/>
          <w:p>
            <w:pPr>
              <w:pStyle w:val="Compact"/>
            </w:pPr>
            <w:r>
              <w:t xml:space="preserve">alle</w:t>
            </w:r>
          </w:p>
        </w:tc>
      </w:tr>
      <w:tr>
        <w:tc>
          <w:tcPr/>
          <w:p>
            <w:pPr>
              <w:pStyle w:val="Compact"/>
            </w:pPr>
            <w:r>
              <w:t xml:space="preserve">Zielerreichung (−2 bis +2)</w:t>
            </w:r>
          </w:p>
        </w:tc>
        <w:tc>
          <w:tcPr/>
          <w:p>
            <w:pPr>
              <w:pStyle w:val="Compact"/>
            </w:pPr>
            <w:r>
              <w:t xml:space="preserve">GAS (Kap. 8.4)</w:t>
            </w:r>
          </w:p>
        </w:tc>
        <w:tc>
          <w:tcPr/>
          <w:p>
            <w:pPr>
              <w:pStyle w:val="Compact"/>
            </w:pPr>
            <w:r>
              <w:t xml:space="preserve">alle</w:t>
            </w:r>
          </w:p>
        </w:tc>
      </w:tr>
      <w:tr>
        <w:tc>
          <w:tcPr/>
          <w:p>
            <w:pPr>
              <w:pStyle w:val="Compact"/>
            </w:pPr>
            <w:r>
              <w:t xml:space="preserve">Katamnese nach 3 Monaten</w:t>
            </w:r>
          </w:p>
        </w:tc>
        <w:tc>
          <w:tcPr/>
          <w:p>
            <w:pPr>
              <w:pStyle w:val="Compact"/>
            </w:pPr>
            <w:r>
              <w:t xml:space="preserve">Telefonisch, analog Alkohol-Konzept</w:t>
            </w:r>
          </w:p>
        </w:tc>
        <w:tc>
          <w:tcPr/>
          <w:p>
            <w:pPr>
              <w:pStyle w:val="Compact"/>
            </w:pPr>
            <w:r>
              <w:t xml:space="preserve">alle</w:t>
            </w:r>
          </w:p>
        </w:tc>
      </w:tr>
    </w:tbl>
    <w:p>
      <w:pPr>
        <w:pStyle w:val="BodyText"/>
      </w:pPr>
      <w:r>
        <w:rPr>
          <w:b/>
          <w:bCs/>
        </w:rPr>
        <w:t xml:space="preserve">Hinweis:</w:t>
      </w:r>
      <w:r>
        <w:t xml:space="preserve"> </w:t>
      </w:r>
      <w:r>
        <w:t xml:space="preserve">Das Alkohol-Konzept nutzt Scores und Verlaufskurven mit objektiven Markern (Entzugsscore, Atemluft). Für Verhaltenssüchte fehlen vergleichbare Marker, alles beruht auf Selbstbericht. Das gehört offen in den Leitfaden, damit Zahlen keine Genauigkeit vortäuschen [Vorschlag].</w:t>
      </w:r>
    </w:p>
    <w:bookmarkEnd w:id="66"/>
    <w:bookmarkStart w:id="67" w:name="Xf5f2555872e82c1449306d8cdaa17947ecfadb6"/>
    <w:p>
      <w:pPr>
        <w:pStyle w:val="Heading4"/>
      </w:pPr>
      <w:r>
        <w:t xml:space="preserve">8.4 Goal Attainment Scaling (GAS)</w:t>
      </w:r>
    </w:p>
    <w:tbl>
      <w:tblPr>
        <w:tblStyle w:val="Table"/>
        <w:tblW w:type="auto" w:w="0"/>
        <w:tblLook w:firstRow="1" w:lastRow="0" w:firstColumn="0" w:lastColumn="0" w:noHBand="0" w:noVBand="0" w:val="0020"/>
      </w:tblPr>
      <w:tblGrid>
        <w:gridCol w:w="2640"/>
        <w:gridCol w:w="2640"/>
        <w:gridCol w:w="2640"/>
      </w:tblGrid>
      <w:tr>
        <w:trPr>
          <w:tblHeader w:val="on"/>
        </w:trPr>
        <w:tc>
          <w:tcPr>
            <w:shd w:val="clear" w:color="auto" w:fill="1A2B4C"/>
          </w:tcPr>
          <w:tcPr/>
          <w:p>
            <w:pPr>
              <w:pStyle w:val="Compact"/>
            </w:pPr>
            <w:r>
              <w:rPr>
                <w:b/>
                <w:color w:val="FFFFFF"/>
                <w:b/>
                <w:color w:val="FFFFFF"/>
              </w:rPr>
              <w:t xml:space="preserve">Punkt</w:t>
            </w:r>
          </w:p>
        </w:tc>
        <w:tc>
          <w:tcPr>
            <w:shd w:val="clear" w:color="auto" w:fill="1A2B4C"/>
          </w:tcPr>
          <w:tcPr/>
          <w:p>
            <w:pPr>
              <w:pStyle w:val="Compact"/>
            </w:pPr>
            <w:r>
              <w:rPr>
                <w:b/>
                <w:color w:val="FFFFFF"/>
                <w:b/>
                <w:color w:val="FFFFFF"/>
              </w:rPr>
              <w:t xml:space="preserve">Inhalt</w:t>
            </w:r>
          </w:p>
        </w:tc>
        <w:tc>
          <w:tcPr>
            <w:shd w:val="clear" w:color="auto" w:fill="1A2B4C"/>
          </w:tcPr>
          <w:tcPr/>
          <w:p>
            <w:pPr>
              <w:pStyle w:val="Compact"/>
            </w:pPr>
            <w:r>
              <w:rPr>
                <w:b/>
                <w:color w:val="FFFFFF"/>
                <w:b/>
                <w:color w:val="FFFFFF"/>
              </w:rPr>
              <w:t xml:space="preserve">Beleg</w:t>
            </w:r>
          </w:p>
        </w:tc>
      </w:tr>
      <w:tr>
        <w:tc>
          <w:tcPr/>
          <w:p>
            <w:pPr>
              <w:pStyle w:val="Compact"/>
            </w:pPr>
            <w:r>
              <w:t xml:space="preserve">Idee</w:t>
            </w:r>
          </w:p>
        </w:tc>
        <w:tc>
          <w:tcPr/>
          <w:p>
            <w:pPr>
              <w:pStyle w:val="Compact"/>
            </w:pPr>
            <w:r>
              <w:t xml:space="preserve">Individuelle Ziele werden mit der Person festgelegt und auf einer Skala operationalisiert</w:t>
            </w:r>
          </w:p>
        </w:tc>
        <w:tc>
          <w:tcPr/>
          <w:p>
            <w:pPr>
              <w:pStyle w:val="Compact"/>
            </w:pPr>
            <w:r>
              <w:t xml:space="preserve">Q: PMC (Training GAS)</w:t>
            </w:r>
          </w:p>
        </w:tc>
      </w:tr>
      <w:tr>
        <w:tc>
          <w:tcPr/>
          <w:p>
            <w:pPr>
              <w:pStyle w:val="Compact"/>
            </w:pPr>
            <w:r>
              <w:t xml:space="preserve">Skala</w:t>
            </w:r>
          </w:p>
        </w:tc>
        <w:tc>
          <w:tcPr/>
          <w:p>
            <w:pPr>
              <w:pStyle w:val="Compact"/>
            </w:pPr>
            <w:r>
              <w:t xml:space="preserve">−2 bis +2, 0 = erwartetes Ergebnis</w:t>
            </w:r>
          </w:p>
        </w:tc>
        <w:tc>
          <w:tcPr/>
          <w:p>
            <w:pPr>
              <w:pStyle w:val="Compact"/>
            </w:pPr>
            <w:r>
              <w:t xml:space="preserve">Q: PMC (Training GAS)</w:t>
            </w:r>
          </w:p>
        </w:tc>
      </w:tr>
      <w:tr>
        <w:tc>
          <w:tcPr/>
          <w:p>
            <w:pPr>
              <w:pStyle w:val="Compact"/>
            </w:pPr>
            <w:r>
              <w:t xml:space="preserve">Herkunft</w:t>
            </w:r>
          </w:p>
        </w:tc>
        <w:tc>
          <w:tcPr/>
          <w:p>
            <w:pPr>
              <w:pStyle w:val="Compact"/>
            </w:pPr>
            <w:r>
              <w:t xml:space="preserve">Kiresuk/Sherman, ursprünglich für ambulante psychiatrische Dienste</w:t>
            </w:r>
          </w:p>
        </w:tc>
        <w:tc>
          <w:tcPr/>
          <w:p>
            <w:pPr>
              <w:pStyle w:val="Compact"/>
            </w:pPr>
            <w:r>
              <w:t xml:space="preserve">Q: PMC (Berry et al.)</w:t>
            </w:r>
          </w:p>
        </w:tc>
      </w:tr>
      <w:tr>
        <w:tc>
          <w:tcPr/>
          <w:p>
            <w:pPr>
              <w:pStyle w:val="Compact"/>
            </w:pPr>
            <w:r>
              <w:t xml:space="preserve">Suchtbereich</w:t>
            </w:r>
          </w:p>
        </w:tc>
        <w:tc>
          <w:tcPr/>
          <w:p>
            <w:pPr>
              <w:pStyle w:val="Compact"/>
            </w:pPr>
            <w:r>
              <w:t xml:space="preserve">Modifizierte GAS in stationärer Suchtrehabilitation auf Machbarkeit, Reliabilität und Validität geprüft</w:t>
            </w:r>
          </w:p>
        </w:tc>
        <w:tc>
          <w:tcPr/>
          <w:p>
            <w:pPr>
              <w:pStyle w:val="Compact"/>
            </w:pPr>
            <w:r>
              <w:t xml:space="preserve">Q: Berry/Marceau/Lunn 2023</w:t>
            </w:r>
          </w:p>
        </w:tc>
      </w:tr>
    </w:tbl>
    <w:p>
      <w:pPr>
        <w:pStyle w:val="BodyText"/>
      </w:pPr>
      <w:r>
        <w:rPr>
          <w:b/>
          <w:bCs/>
        </w:rPr>
        <w:t xml:space="preserve">Beispiel Kaufsucht</w:t>
      </w:r>
      <w:r>
        <w:t xml:space="preserve"> </w:t>
      </w:r>
      <w:r>
        <w:t xml:space="preserve">(Ziel „Kontrolle über Online-Käufe", 3 Monate) [Vorschlag]</w:t>
      </w:r>
    </w:p>
    <w:tbl>
      <w:tblPr>
        <w:tblStyle w:val="Table"/>
        <w:tblW w:type="auto" w:w="0"/>
        <w:tblLook w:firstRow="1" w:lastRow="0" w:firstColumn="0" w:lastColumn="0" w:noHBand="0" w:noVBand="0" w:val="0020"/>
      </w:tblPr>
      <w:tblGrid>
        <w:gridCol w:w="3960"/>
        <w:gridCol w:w="3960"/>
      </w:tblGrid>
      <w:tr>
        <w:trPr>
          <w:tblHeader w:val="on"/>
        </w:trPr>
        <w:tc>
          <w:tcPr>
            <w:shd w:val="clear" w:color="auto" w:fill="1A2B4C"/>
          </w:tcPr>
          <w:tcPr/>
          <w:p>
            <w:pPr>
              <w:pStyle w:val="Compact"/>
            </w:pPr>
            <w:r>
              <w:rPr>
                <w:b/>
                <w:color w:val="FFFFFF"/>
                <w:b/>
                <w:color w:val="FFFFFF"/>
              </w:rPr>
              <w:t xml:space="preserve">Stufe</w:t>
            </w:r>
          </w:p>
        </w:tc>
        <w:tc>
          <w:tcPr>
            <w:shd w:val="clear" w:color="auto" w:fill="1A2B4C"/>
          </w:tcPr>
          <w:tcPr/>
          <w:p>
            <w:pPr>
              <w:pStyle w:val="Compact"/>
            </w:pPr>
            <w:r>
              <w:rPr>
                <w:b/>
                <w:color w:val="FFFFFF"/>
                <w:b/>
                <w:color w:val="FFFFFF"/>
              </w:rPr>
              <w:t xml:space="preserve">Beschreibung</w:t>
            </w:r>
          </w:p>
        </w:tc>
      </w:tr>
      <w:tr>
        <w:tc>
          <w:tcPr/>
          <w:p>
            <w:pPr>
              <w:pStyle w:val="Compact"/>
            </w:pPr>
            <w:r>
              <w:t xml:space="preserve">−2</w:t>
            </w:r>
          </w:p>
        </w:tc>
        <w:tc>
          <w:tcPr/>
          <w:p>
            <w:pPr>
              <w:pStyle w:val="Compact"/>
            </w:pPr>
            <w:r>
              <w:t xml:space="preserve">Käufe häufiger oder höher als zu Beginn</w:t>
            </w:r>
          </w:p>
        </w:tc>
      </w:tr>
      <w:tr>
        <w:tc>
          <w:tcPr/>
          <w:p>
            <w:pPr>
              <w:pStyle w:val="Compact"/>
            </w:pPr>
            <w:r>
              <w:t xml:space="preserve">−1</w:t>
            </w:r>
          </w:p>
        </w:tc>
        <w:tc>
          <w:tcPr/>
          <w:p>
            <w:pPr>
              <w:pStyle w:val="Compact"/>
            </w:pPr>
            <w:r>
              <w:t xml:space="preserve">Käufe wie zu Beginn</w:t>
            </w:r>
          </w:p>
        </w:tc>
      </w:tr>
      <w:tr>
        <w:tc>
          <w:tcPr/>
          <w:p>
            <w:pPr>
              <w:pStyle w:val="Compact"/>
            </w:pPr>
            <w:r>
              <w:rPr>
                <w:b/>
                <w:bCs/>
              </w:rPr>
              <w:t xml:space="preserve">0</w:t>
            </w:r>
          </w:p>
        </w:tc>
        <w:tc>
          <w:tcPr/>
          <w:p>
            <w:pPr>
              <w:pStyle w:val="Compact"/>
            </w:pPr>
            <w:r>
              <w:t xml:space="preserve">Höchstens 2 ungeplante Käufe pro Monat, Online-Shops gesperrt, Budgetplan vorhanden</w:t>
            </w:r>
          </w:p>
        </w:tc>
      </w:tr>
      <w:tr>
        <w:tc>
          <w:tcPr/>
          <w:p>
            <w:pPr>
              <w:pStyle w:val="Compact"/>
            </w:pPr>
            <w:r>
              <w:t xml:space="preserve">+1</w:t>
            </w:r>
          </w:p>
        </w:tc>
        <w:tc>
          <w:tcPr/>
          <w:p>
            <w:pPr>
              <w:pStyle w:val="Compact"/>
            </w:pPr>
            <w:r>
              <w:t xml:space="preserve">Keine ungeplanten Käufe in den letzten 4 Wochen</w:t>
            </w:r>
          </w:p>
        </w:tc>
      </w:tr>
      <w:tr>
        <w:tc>
          <w:tcPr/>
          <w:p>
            <w:pPr>
              <w:pStyle w:val="Compact"/>
            </w:pPr>
            <w:r>
              <w:t xml:space="preserve">+2</w:t>
            </w:r>
          </w:p>
        </w:tc>
        <w:tc>
          <w:tcPr/>
          <w:p>
            <w:pPr>
              <w:pStyle w:val="Compact"/>
            </w:pPr>
            <w:r>
              <w:t xml:space="preserve">Keine ungeplanten Käufe seit 8 Wochen, Schuldenplan umgesetzt</w:t>
            </w:r>
          </w:p>
        </w:tc>
      </w:tr>
    </w:tbl>
    <w:p>
      <w:pPr>
        <w:pStyle w:val="BodyText"/>
      </w:pPr>
      <w:r>
        <w:t xml:space="preserve">Zahlen („höchstens 2") immer</w:t>
      </w:r>
      <w:r>
        <w:t xml:space="preserve"> </w:t>
      </w:r>
      <w:r>
        <w:rPr>
          <w:b/>
          <w:bCs/>
        </w:rPr>
        <w:t xml:space="preserve">mit der Person</w:t>
      </w:r>
      <w:r>
        <w:t xml:space="preserve"> </w:t>
      </w:r>
      <w:r>
        <w:t xml:space="preserve">festlegen, nicht vorgeben.</w:t>
      </w:r>
    </w:p>
    <w:bookmarkEnd w:id="67"/>
    <w:bookmarkStart w:id="68" w:name="X47c0db27761adad9feef7f28db219a3d89e89eb"/>
    <w:p>
      <w:pPr>
        <w:pStyle w:val="Heading4"/>
      </w:pPr>
      <w:r>
        <w:t xml:space="preserve">8.5 Fortschrittsbogen</w:t>
      </w:r>
    </w:p>
    <w:p>
      <w:pPr>
        <w:pStyle w:val="FirstParagraph"/>
      </w:pPr>
      <w:r>
        <w:t xml:space="preserve">[Vorschlag, eigene Skala]</w:t>
      </w:r>
    </w:p>
    <w:p>
      <w:pPr>
        <w:pStyle w:val="BodyText"/>
      </w:pPr>
      <w:r>
        <w:t xml:space="preserve">Eigene, nicht validierte Skala mit gleichem Kern für alle Verhaltenssüchte. Nur Klient und Beratende sehen sie. Details: Anleitung zum Fortschrittsbogen (Kap. 14).</w:t>
      </w:r>
    </w:p>
    <w:tbl>
      <w:tblPr>
        <w:tblStyle w:val="Table"/>
        <w:tblW w:type="auto" w:w="0"/>
        <w:tblLook w:firstRow="1" w:lastRow="0" w:firstColumn="0" w:lastColumn="0" w:noHBand="0" w:noVBand="0" w:val="0020"/>
      </w:tblPr>
      <w:tblGrid>
        <w:gridCol w:w="2640"/>
        <w:gridCol w:w="2640"/>
        <w:gridCol w:w="2640"/>
      </w:tblGrid>
      <w:tr>
        <w:trPr>
          <w:tblHeader w:val="on"/>
        </w:trPr>
        <w:tc>
          <w:tcPr>
            <w:shd w:val="clear" w:color="auto" w:fill="1A2B4C"/>
          </w:tcPr>
          <w:tcPr/>
          <w:p>
            <w:pPr>
              <w:pStyle w:val="Compact"/>
            </w:pPr>
            <w:r>
              <w:rPr>
                <w:b/>
                <w:color w:val="FFFFFF"/>
                <w:b/>
                <w:color w:val="FFFFFF"/>
              </w:rPr>
              <w:t xml:space="preserve">Teil</w:t>
            </w:r>
          </w:p>
        </w:tc>
        <w:tc>
          <w:tcPr>
            <w:shd w:val="clear" w:color="auto" w:fill="1A2B4C"/>
          </w:tcPr>
          <w:tcPr/>
          <w:p>
            <w:pPr>
              <w:pStyle w:val="Compact"/>
            </w:pPr>
            <w:r>
              <w:rPr>
                <w:b/>
                <w:color w:val="FFFFFF"/>
                <w:b/>
                <w:color w:val="FFFFFF"/>
              </w:rPr>
              <w:t xml:space="preserve">Wann</w:t>
            </w:r>
          </w:p>
        </w:tc>
        <w:tc>
          <w:tcPr>
            <w:shd w:val="clear" w:color="auto" w:fill="1A2B4C"/>
          </w:tcPr>
          <w:tcPr/>
          <w:p>
            <w:pPr>
              <w:pStyle w:val="Compact"/>
            </w:pPr>
            <w:r>
              <w:rPr>
                <w:b/>
                <w:color w:val="FFFFFF"/>
                <w:b/>
                <w:color w:val="FFFFFF"/>
              </w:rPr>
              <w:t xml:space="preserve">Inhalt</w:t>
            </w:r>
          </w:p>
        </w:tc>
      </w:tr>
      <w:tr>
        <w:tc>
          <w:tcPr/>
          <w:p>
            <w:pPr>
              <w:pStyle w:val="Compact"/>
            </w:pPr>
            <w:r>
              <w:t xml:space="preserve">Seite 1: Lebensbereiche und Netz</w:t>
            </w:r>
          </w:p>
        </w:tc>
        <w:tc>
          <w:tcPr/>
          <w:p>
            <w:pPr>
              <w:pStyle w:val="Compact"/>
            </w:pPr>
            <w:r>
              <w:t xml:space="preserve">Beginn, Mitte, Ende, 3 Monate</w:t>
            </w:r>
          </w:p>
        </w:tc>
        <w:tc>
          <w:tcPr/>
          <w:p>
            <w:pPr>
              <w:pStyle w:val="Compact"/>
            </w:pPr>
            <w:r>
              <w:t xml:space="preserve">6 Bereiche (Kontrolle, Wohlbefinden, Finanzen, Beziehungen, Arbeit und Alltag, Gesundheit und Schlaf), Skala 1–10 mit Ankern</w:t>
            </w:r>
          </w:p>
        </w:tc>
      </w:tr>
      <w:tr>
        <w:tc>
          <w:tcPr/>
          <w:p>
            <w:pPr>
              <w:pStyle w:val="Compact"/>
            </w:pPr>
            <w:r>
              <w:t xml:space="preserve">Seite 2: Kurz-Check</w:t>
            </w:r>
          </w:p>
        </w:tc>
        <w:tc>
          <w:tcPr/>
          <w:p>
            <w:pPr>
              <w:pStyle w:val="Compact"/>
            </w:pPr>
            <w:r>
              <w:t xml:space="preserve">Jedes Gespräch</w:t>
            </w:r>
          </w:p>
        </w:tc>
        <w:tc>
          <w:tcPr/>
          <w:p>
            <w:pPr>
              <w:pStyle w:val="Compact"/>
            </w:pPr>
            <w:r>
              <w:t xml:space="preserve">6 Fragen A–F (0–10, höher ist besser), „Mein Mass" in Rohwerten, Verlaufskurve, 2 GAS-Ziele</w:t>
            </w:r>
          </w:p>
        </w:tc>
      </w:tr>
    </w:tbl>
    <w:p>
      <w:pPr>
        <w:pStyle w:val="BodyText"/>
      </w:pPr>
      <w:r>
        <w:t xml:space="preserve">Grundsätze: Profil statt Summenscore, die Person bewertet zuerst, Rückschritte neutral, keine Grenzwerte, keine Gamification (Kap. 8.7).</w:t>
      </w:r>
    </w:p>
    <w:bookmarkEnd w:id="68"/>
    <w:bookmarkStart w:id="69" w:name="Xe62fffd7aed56bf6e42bf200071668e30d98c15"/>
    <w:p>
      <w:pPr>
        <w:pStyle w:val="Heading4"/>
      </w:pPr>
      <w:r>
        <w:t xml:space="preserve">8.6 Screening-Instrumente</w:t>
      </w:r>
    </w:p>
    <w:p>
      <w:pPr>
        <w:pStyle w:val="FirstParagraph"/>
      </w:pPr>
      <w:r>
        <w:t xml:space="preserve">Gesprächsanker und Verlaufsmessung, keine Diagnose. Fragebögen sind für Erstscreening und Verlaufskontrolle bewährt; die Diagnose stellt das ausführliche Anamnesegespräch (Q: Thieme „Kaufsucht").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shd w:val="clear" w:color="auto" w:fill="1A2B4C"/>
          </w:tcPr>
          <w:tcPr/>
          <w:p>
            <w:pPr>
              <w:pStyle w:val="Compact"/>
            </w:pPr>
            <w:r>
              <w:rPr>
                <w:b/>
                <w:color w:val="FFFFFF"/>
                <w:b/>
                <w:color w:val="FFFFFF"/>
              </w:rPr>
              <w:t xml:space="preserve">Verhalten</w:t>
            </w:r>
          </w:p>
        </w:tc>
        <w:tc>
          <w:tcPr>
            <w:shd w:val="clear" w:color="auto" w:fill="1A2B4C"/>
          </w:tcPr>
          <w:tcPr/>
          <w:p>
            <w:pPr>
              <w:pStyle w:val="Compact"/>
            </w:pPr>
            <w:r>
              <w:rPr>
                <w:b/>
                <w:color w:val="FFFFFF"/>
                <w:b/>
                <w:color w:val="FFFFFF"/>
              </w:rPr>
              <w:t xml:space="preserve">Instrument</w:t>
            </w:r>
          </w:p>
        </w:tc>
        <w:tc>
          <w:tcPr>
            <w:shd w:val="clear" w:color="auto" w:fill="1A2B4C"/>
          </w:tcPr>
          <w:tcPr/>
          <w:p>
            <w:pPr>
              <w:pStyle w:val="Compact"/>
            </w:pPr>
            <w:r>
              <w:rPr>
                <w:b/>
                <w:color w:val="FFFFFF"/>
                <w:b/>
                <w:color w:val="FFFFFF"/>
              </w:rPr>
              <w:t xml:space="preserve">Hinweis</w:t>
            </w:r>
          </w:p>
        </w:tc>
        <w:tc>
          <w:tcPr>
            <w:shd w:val="clear" w:color="auto" w:fill="1A2B4C"/>
          </w:tcPr>
          <w:tcPr/>
          <w:p>
            <w:pPr>
              <w:pStyle w:val="Compact"/>
            </w:pPr>
            <w:r>
              <w:rPr>
                <w:b/>
                <w:color w:val="FFFFFF"/>
                <w:b/>
                <w:color w:val="FFFFFF"/>
              </w:rPr>
              <w:t xml:space="preserve">Beleg</w:t>
            </w:r>
          </w:p>
        </w:tc>
      </w:tr>
      <w:tr>
        <w:tc>
          <w:tcPr/>
          <w:p>
            <w:pPr>
              <w:pStyle w:val="Compact"/>
            </w:pPr>
            <w:r>
              <w:t xml:space="preserve">Kaufsucht</w:t>
            </w:r>
          </w:p>
        </w:tc>
        <w:tc>
          <w:tcPr/>
          <w:p>
            <w:pPr>
              <w:pStyle w:val="Compact"/>
            </w:pPr>
            <w:r>
              <w:t xml:space="preserve">Bergen Shopping Addiction Scale (BSAS)</w:t>
            </w:r>
          </w:p>
        </w:tc>
        <w:tc>
          <w:tcPr/>
          <w:p>
            <w:pPr>
              <w:pStyle w:val="Compact"/>
            </w:pPr>
            <w:r>
              <w:t xml:space="preserve">7 Items entlang der Suchtkriterien</w:t>
            </w:r>
          </w:p>
        </w:tc>
        <w:tc>
          <w:tcPr/>
          <w:p>
            <w:pPr>
              <w:pStyle w:val="Compact"/>
            </w:pPr>
            <w:r>
              <w:t xml:space="preserve">Q: Andreassen et al. 2015</w:t>
            </w:r>
          </w:p>
        </w:tc>
      </w:tr>
      <w:tr>
        <w:tc>
          <w:tcPr/>
          <w:p>
            <w:pPr>
              <w:pStyle w:val="Compact"/>
            </w:pPr>
            <w:r>
              <w:t xml:space="preserve">Kaufsucht</w:t>
            </w:r>
          </w:p>
        </w:tc>
        <w:tc>
          <w:tcPr/>
          <w:p>
            <w:pPr>
              <w:pStyle w:val="Compact"/>
            </w:pPr>
            <w:r>
              <w:t xml:space="preserve">Pathological Buying Screener (PBS)</w:t>
            </w:r>
          </w:p>
        </w:tc>
        <w:tc>
          <w:tcPr/>
          <w:p>
            <w:pPr>
              <w:pStyle w:val="Compact"/>
            </w:pPr>
            <w:r>
              <w:t xml:space="preserve">Deutsche Entwicklung, klinisch validiert</w:t>
            </w:r>
          </w:p>
        </w:tc>
        <w:tc>
          <w:tcPr/>
          <w:p>
            <w:pPr>
              <w:pStyle w:val="Compact"/>
            </w:pPr>
            <w:r>
              <w:t xml:space="preserve">Q: Literaturverzeichnis Psychotherapie Aktuell 2/2022</w:t>
            </w:r>
          </w:p>
        </w:tc>
      </w:tr>
      <w:tr>
        <w:tc>
          <w:tcPr/>
          <w:p>
            <w:pPr>
              <w:pStyle w:val="Compact"/>
            </w:pPr>
            <w:r>
              <w:t xml:space="preserve">Kaufsucht</w:t>
            </w:r>
          </w:p>
        </w:tc>
        <w:tc>
          <w:tcPr/>
          <w:p>
            <w:pPr>
              <w:pStyle w:val="Compact"/>
            </w:pPr>
            <w:r>
              <w:t xml:space="preserve">Faber &amp; O'Guinn Clinical Screener</w:t>
            </w:r>
          </w:p>
        </w:tc>
        <w:tc>
          <w:tcPr/>
          <w:p>
            <w:pPr>
              <w:pStyle w:val="Compact"/>
            </w:pPr>
            <w:r>
              <w:t xml:space="preserve">Älter (1992)</w:t>
            </w:r>
          </w:p>
        </w:tc>
        <w:tc>
          <w:tcPr/>
          <w:p>
            <w:pPr>
              <w:pStyle w:val="Compact"/>
            </w:pPr>
            <w:r>
              <w:t xml:space="preserve">Q: IDEAS/RePEc</w:t>
            </w:r>
          </w:p>
        </w:tc>
      </w:tr>
      <w:tr>
        <w:tc>
          <w:tcPr/>
          <w:p>
            <w:pPr>
              <w:pStyle w:val="Compact"/>
            </w:pPr>
            <w:r>
              <w:t xml:space="preserve">Sex/CSBD</w:t>
            </w:r>
          </w:p>
        </w:tc>
        <w:tc>
          <w:tcPr/>
          <w:p>
            <w:pPr>
              <w:pStyle w:val="Compact"/>
            </w:pPr>
            <w:r>
              <w:t xml:space="preserve">CSBD-19 (Kurzform CSBD-7)</w:t>
            </w:r>
          </w:p>
        </w:tc>
        <w:tc>
          <w:tcPr/>
          <w:p>
            <w:pPr>
              <w:pStyle w:val="Compact"/>
            </w:pPr>
            <w:r>
              <w:t xml:space="preserve">ICD-11-basiert, in 42 Ländern geprüft</w:t>
            </w:r>
          </w:p>
        </w:tc>
        <w:tc>
          <w:tcPr/>
          <w:p>
            <w:pPr>
              <w:pStyle w:val="Compact"/>
            </w:pPr>
            <w:r>
              <w:t xml:space="preserve">Q: Batthyany/Academia</w:t>
            </w:r>
          </w:p>
        </w:tc>
      </w:tr>
      <w:tr>
        <w:tc>
          <w:tcPr/>
          <w:p>
            <w:pPr>
              <w:pStyle w:val="Compact"/>
            </w:pPr>
            <w:r>
              <w:t xml:space="preserve">Pornografie</w:t>
            </w:r>
          </w:p>
        </w:tc>
        <w:tc>
          <w:tcPr/>
          <w:p>
            <w:pPr>
              <w:pStyle w:val="Compact"/>
            </w:pPr>
            <w:r>
              <w:t xml:space="preserve">PPCS, Kurzform PPCS-6</w:t>
            </w:r>
          </w:p>
        </w:tc>
        <w:tc>
          <w:tcPr/>
          <w:p>
            <w:pPr>
              <w:pStyle w:val="Compact"/>
            </w:pPr>
            <w:r>
              <w:t xml:space="preserve">Auch in Behandlungsstichproben geprüft</w:t>
            </w:r>
          </w:p>
        </w:tc>
        <w:tc>
          <w:tcPr/>
          <w:p>
            <w:pPr>
              <w:pStyle w:val="Compact"/>
            </w:pPr>
            <w:r>
              <w:t xml:space="preserve">Q: Literaturverzeichnis Psychotherapie Aktuell 2/2022</w:t>
            </w:r>
          </w:p>
        </w:tc>
      </w:tr>
      <w:tr>
        <w:tc>
          <w:tcPr/>
          <w:p>
            <w:pPr>
              <w:pStyle w:val="Compact"/>
            </w:pPr>
            <w:r>
              <w:t xml:space="preserve">Arbeitssucht</w:t>
            </w:r>
          </w:p>
        </w:tc>
        <w:tc>
          <w:tcPr/>
          <w:p>
            <w:pPr>
              <w:pStyle w:val="Compact"/>
            </w:pPr>
            <w:r>
              <w:t xml:space="preserve">Work-BAT, Bergen Work Addiction Scale</w:t>
            </w:r>
          </w:p>
        </w:tc>
        <w:tc>
          <w:tcPr/>
          <w:p>
            <w:pPr>
              <w:pStyle w:val="Compact"/>
            </w:pPr>
            <w:r>
              <w:t xml:space="preserve">[eigenes Wissen, nicht recherchiert]</w:t>
            </w:r>
          </w:p>
        </w:tc>
        <w:tc>
          <w:tcPr/>
          <w:p>
            <w:pPr>
              <w:pStyle w:val="Compact"/>
            </w:pPr>
          </w:p>
        </w:tc>
      </w:tr>
      <w:tr>
        <w:tc>
          <w:tcPr/>
          <w:p>
            <w:pPr>
              <w:pStyle w:val="Compact"/>
            </w:pPr>
            <w:r>
              <w:t xml:space="preserve">Sportsucht</w:t>
            </w:r>
          </w:p>
        </w:tc>
        <w:tc>
          <w:tcPr/>
          <w:p>
            <w:pPr>
              <w:pStyle w:val="Compact"/>
            </w:pPr>
            <w:r>
              <w:t xml:space="preserve">Exercise Addiction Inventory</w:t>
            </w:r>
          </w:p>
        </w:tc>
        <w:tc>
          <w:tcPr/>
          <w:p>
            <w:pPr>
              <w:pStyle w:val="Compact"/>
            </w:pPr>
            <w:r>
              <w:t xml:space="preserve">[eigenes Wissen, nicht recherchiert]</w:t>
            </w:r>
          </w:p>
        </w:tc>
        <w:tc>
          <w:tcPr/>
          <w:p>
            <w:pPr>
              <w:pStyle w:val="Compact"/>
            </w:pPr>
          </w:p>
        </w:tc>
      </w:tr>
    </w:tbl>
    <w:p>
      <w:pPr>
        <w:pStyle w:val="BodyText"/>
      </w:pPr>
      <w:r>
        <w:rPr>
          <w:b/>
          <w:bCs/>
        </w:rPr>
        <w:t xml:space="preserve">[Lücke]</w:t>
      </w:r>
      <w:r>
        <w:t xml:space="preserve"> </w:t>
      </w:r>
      <w:r>
        <w:t xml:space="preserve">Lizenz, deutsche Validierung und Cut-offs sind je Instrument vor Aufnahme zu prüfen. Keine Fragebögen ohne geklärte Nutzungsrechte abdrucken.</w:t>
      </w:r>
    </w:p>
    <w:bookmarkEnd w:id="69"/>
    <w:bookmarkStart w:id="70" w:name="X1251e33aa2c588a831b870f747e4ff2662fd103"/>
    <w:p>
      <w:pPr>
        <w:pStyle w:val="Heading4"/>
      </w:pPr>
      <w:r>
        <w:t xml:space="preserve">8.7 Hinweise zur Messung</w:t>
      </w:r>
    </w:p>
    <w:p>
      <w:pPr>
        <w:pStyle w:val="Compact"/>
        <w:numPr>
          <w:ilvl w:val="0"/>
          <w:numId w:val="1031"/>
        </w:numPr>
      </w:pPr>
      <w:r>
        <w:t xml:space="preserve">Selbstbeobachtungsprotokolle sind zugleich Intervention und Messinstrument (Q: Ärzteblatt).</w:t>
      </w:r>
    </w:p>
    <w:p>
      <w:pPr>
        <w:pStyle w:val="Compact"/>
        <w:numPr>
          <w:ilvl w:val="0"/>
          <w:numId w:val="1031"/>
        </w:numPr>
      </w:pPr>
      <w:r>
        <w:t xml:space="preserve">Scham und Heimlichkeit verfälschen Selbstberichte. Die Messung darf die Beziehung nicht gefährden [Vorschlag].</w:t>
      </w:r>
    </w:p>
    <w:p>
      <w:pPr>
        <w:pStyle w:val="Compact"/>
        <w:numPr>
          <w:ilvl w:val="0"/>
          <w:numId w:val="1031"/>
        </w:numPr>
      </w:pPr>
      <w:r>
        <w:t xml:space="preserve">Bei Leistungsmustern (Arbeits-, Sportsucht, Perfektionismus) dürfen Zahlen nicht zum Wettbewerb werden: keine Grenzwerte, keine Punktesammlung, „Mein Mass" nicht als Zielvorgabe [Vorschlag].</w:t>
      </w:r>
    </w:p>
    <w:p>
      <w:pPr>
        <w:pStyle w:val="Compact"/>
        <w:numPr>
          <w:ilvl w:val="0"/>
          <w:numId w:val="1031"/>
        </w:numPr>
      </w:pPr>
      <w:r>
        <w:t xml:space="preserve">Daten sparsam und datenschutzkonform führen; Aufbewahrung und Einwilligung klären (Kap. 16).</w:t>
      </w:r>
    </w:p>
    <w:p>
      <w:r>
        <w:pict>
          <v:rect style="width:0;height:1.5pt" o:hralign="center" o:hrstd="t" o:hr="t"/>
        </w:pict>
      </w:r>
    </w:p>
    <w:bookmarkEnd w:id="70"/>
    <w:bookmarkEnd w:id="71"/>
    <w:bookmarkEnd w:id="72"/>
    <w:bookmarkStart w:id="81" w:name="teil-5-zielgruppen-und-schnittstellen"/>
    <w:p>
      <w:pPr>
        <w:pStyle w:val="Heading2"/>
      </w:pPr>
      <w:r>
        <w:t xml:space="preserve">Teil 5: Zielgruppen und Schnittstellen</w:t>
      </w:r>
    </w:p>
    <w:p>
      <w:pPr>
        <w:pStyle w:val="FirstParagraph"/>
      </w:pPr>
      <w:r>
        <w:rPr>
          <w:b/>
          <w:bCs/>
        </w:rPr>
        <w:t xml:space="preserve">Inhalt dieses Teils</w:t>
      </w:r>
    </w:p>
    <w:p>
      <w:pPr>
        <w:pStyle w:val="Compact"/>
        <w:numPr>
          <w:ilvl w:val="0"/>
          <w:numId w:val="1032"/>
        </w:numPr>
      </w:pPr>
      <w:hyperlink w:anchor="Xf4da6f3fd62261db7b195fa2a616309a580e437">
        <w:r>
          <w:rPr>
            <w:rStyle w:val="Hyperlink"/>
          </w:rPr>
          <w:t xml:space="preserve">9. Betroffene: erste Schritte</w:t>
        </w:r>
      </w:hyperlink>
    </w:p>
    <w:p>
      <w:pPr>
        <w:pStyle w:val="Compact"/>
        <w:numPr>
          <w:ilvl w:val="0"/>
          <w:numId w:val="1032"/>
        </w:numPr>
      </w:pPr>
      <w:hyperlink w:anchor="Xb231f732f357d28c4400e0af97aae6ed6bcd8a5">
        <w:r>
          <w:rPr>
            <w:rStyle w:val="Hyperlink"/>
          </w:rPr>
          <w:t xml:space="preserve">10. Angehörige: erste Schritte</w:t>
        </w:r>
      </w:hyperlink>
    </w:p>
    <w:p>
      <w:pPr>
        <w:pStyle w:val="Compact"/>
        <w:numPr>
          <w:ilvl w:val="1"/>
          <w:numId w:val="1033"/>
        </w:numPr>
      </w:pPr>
      <w:hyperlink w:anchor="Xacce648ad9d4b5cb8ca38cdc62414690e3aab7a">
        <w:r>
          <w:rPr>
            <w:rStyle w:val="Hyperlink"/>
          </w:rPr>
          <w:t xml:space="preserve">10.1 Belastung einordnen</w:t>
        </w:r>
      </w:hyperlink>
    </w:p>
    <w:p>
      <w:pPr>
        <w:pStyle w:val="Compact"/>
        <w:numPr>
          <w:ilvl w:val="1"/>
          <w:numId w:val="1033"/>
        </w:numPr>
      </w:pPr>
      <w:hyperlink w:anchor="X6d8a8e575dcf34accfbe2292d5bd0f20dca3d67">
        <w:r>
          <w:rPr>
            <w:rStyle w:val="Hyperlink"/>
          </w:rPr>
          <w:t xml:space="preserve">10.2 Was Angehörige tun können</w:t>
        </w:r>
      </w:hyperlink>
    </w:p>
    <w:p>
      <w:pPr>
        <w:pStyle w:val="Compact"/>
        <w:numPr>
          <w:ilvl w:val="1"/>
          <w:numId w:val="1033"/>
        </w:numPr>
      </w:pPr>
      <w:hyperlink w:anchor="Xdf5a3057c0ac748be0c8b639698e8bd2e956b9d">
        <w:r>
          <w:rPr>
            <w:rStyle w:val="Hyperlink"/>
          </w:rPr>
          <w:t xml:space="preserve">10.3 Hinweise für Beratende</w:t>
        </w:r>
      </w:hyperlink>
    </w:p>
    <w:p>
      <w:pPr>
        <w:pStyle w:val="Compact"/>
        <w:numPr>
          <w:ilvl w:val="0"/>
          <w:numId w:val="1032"/>
        </w:numPr>
      </w:pPr>
      <w:hyperlink w:anchor="X736e555d1427107d1a9b75d536eb1b719a1fdb1">
        <w:r>
          <w:rPr>
            <w:rStyle w:val="Hyperlink"/>
          </w:rPr>
          <w:t xml:space="preserve">11. Arbeitgebende und Ausbildende</w:t>
        </w:r>
      </w:hyperlink>
    </w:p>
    <w:p>
      <w:pPr>
        <w:pStyle w:val="Compact"/>
        <w:numPr>
          <w:ilvl w:val="1"/>
          <w:numId w:val="1034"/>
        </w:numPr>
      </w:pPr>
      <w:hyperlink w:anchor="X570062dadc9529e94d97bd100863feb40105cf6">
        <w:r>
          <w:rPr>
            <w:rStyle w:val="Hyperlink"/>
          </w:rPr>
          <w:t xml:space="preserve">11.1 Ausgangslage</w:t>
        </w:r>
      </w:hyperlink>
    </w:p>
    <w:p>
      <w:pPr>
        <w:pStyle w:val="Compact"/>
        <w:numPr>
          <w:ilvl w:val="1"/>
          <w:numId w:val="1034"/>
        </w:numPr>
      </w:pPr>
      <w:hyperlink w:anchor="X7f4f6d0323c4b4d85d2dd5b5b80bc210b59d1a0">
        <w:r>
          <w:rPr>
            <w:rStyle w:val="Hyperlink"/>
          </w:rPr>
          <w:t xml:space="preserve">11.2 Rolle und Grenzen</w:t>
        </w:r>
      </w:hyperlink>
    </w:p>
    <w:bookmarkStart w:id="73" w:name="Xf4da6f3fd62261db7b195fa2a616309a580e437"/>
    <w:p>
      <w:pPr>
        <w:pStyle w:val="Heading3"/>
      </w:pPr>
      <w:r>
        <w:t xml:space="preserve">9. Betroffene: erste Schritte</w:t>
      </w:r>
    </w:p>
    <w:p>
      <w:pPr>
        <w:pStyle w:val="FirstParagraph"/>
      </w:pPr>
      <w:r>
        <w:t xml:space="preserve">Textbaustein für Handout oder Gespräch, in Sie-Form und einfacher Sprache [Vorschlag]. Belegt durch Ärzteblatt und Alkohol-Konzept SDS.</w:t>
      </w:r>
    </w:p>
    <w:p>
      <w:pPr>
        <w:pStyle w:val="BodyText"/>
      </w:pPr>
      <w:r>
        <w:rPr>
          <w:b/>
          <w:bCs/>
        </w:rPr>
        <w:t xml:space="preserve">Sie sind nicht allein, und es ist kein Charakterfehler.</w:t>
      </w:r>
      <w:r>
        <w:t xml:space="preserve"> </w:t>
      </w:r>
      <w:r>
        <w:t xml:space="preserve">Viele Menschen verlieren die Kontrolle über ein Verhalten, das ihnen zuerst gutgetan hat. Hilfe zu holen ist ein Zeichen von Stärke.</w:t>
      </w:r>
    </w:p>
    <w:tbl>
      <w:tblPr>
        <w:tblStyle w:val="Table"/>
        <w:tblW w:type="auto" w:w="0"/>
        <w:tblLook w:firstRow="1" w:lastRow="0" w:firstColumn="0" w:lastColumn="0" w:noHBand="0" w:noVBand="0" w:val="0020"/>
      </w:tblPr>
      <w:tblGrid>
        <w:gridCol w:w="3960"/>
        <w:gridCol w:w="3960"/>
      </w:tblGrid>
      <w:tr>
        <w:trPr>
          <w:tblHeader w:val="on"/>
        </w:trPr>
        <w:tc>
          <w:tcPr>
            <w:shd w:val="clear" w:color="auto" w:fill="1A2B4C"/>
          </w:tcPr>
          <w:tcPr/>
          <w:p>
            <w:pPr>
              <w:pStyle w:val="Compact"/>
            </w:pPr>
            <w:r>
              <w:rPr>
                <w:b/>
                <w:color w:val="FFFFFF"/>
                <w:b/>
                <w:color w:val="FFFFFF"/>
              </w:rPr>
              <w:t xml:space="preserve">Schritt</w:t>
            </w:r>
          </w:p>
        </w:tc>
        <w:tc>
          <w:tcPr>
            <w:shd w:val="clear" w:color="auto" w:fill="1A2B4C"/>
          </w:tcPr>
          <w:tcPr/>
          <w:p>
            <w:pPr>
              <w:pStyle w:val="Compact"/>
            </w:pPr>
            <w:r>
              <w:rPr>
                <w:b/>
                <w:color w:val="FFFFFF"/>
                <w:b/>
                <w:color w:val="FFFFFF"/>
              </w:rPr>
              <w:t xml:space="preserve">Was Sie tun können</w:t>
            </w:r>
          </w:p>
        </w:tc>
      </w:tr>
      <w:tr>
        <w:tc>
          <w:tcPr/>
          <w:p>
            <w:pPr>
              <w:pStyle w:val="Compact"/>
            </w:pPr>
            <w:r>
              <w:t xml:space="preserve">1 Darüber sprechen</w:t>
            </w:r>
          </w:p>
        </w:tc>
        <w:tc>
          <w:tcPr/>
          <w:p>
            <w:pPr>
              <w:pStyle w:val="Compact"/>
            </w:pPr>
            <w:r>
              <w:t xml:space="preserve">Mit einer vertrauten Person oder mit der Fachstelle. Die Beratung ist freiwillig, vertraulich und kostenlos</w:t>
            </w:r>
          </w:p>
        </w:tc>
      </w:tr>
      <w:tr>
        <w:tc>
          <w:tcPr/>
          <w:p>
            <w:pPr>
              <w:pStyle w:val="Compact"/>
            </w:pPr>
            <w:r>
              <w:t xml:space="preserve">2 Beobachten</w:t>
            </w:r>
          </w:p>
        </w:tc>
        <w:tc>
          <w:tcPr/>
          <w:p>
            <w:pPr>
              <w:pStyle w:val="Compact"/>
            </w:pPr>
            <w:r>
              <w:t xml:space="preserve">1–2 Wochen aufschreiben: Wann? Wie lange? Wie viel Geld? Welches Gefühl davor und danach?</w:t>
            </w:r>
          </w:p>
        </w:tc>
      </w:tr>
      <w:tr>
        <w:tc>
          <w:tcPr/>
          <w:p>
            <w:pPr>
              <w:pStyle w:val="Compact"/>
            </w:pPr>
            <w:r>
              <w:t xml:space="preserve">3 Auslöser verringern</w:t>
            </w:r>
          </w:p>
        </w:tc>
        <w:tc>
          <w:tcPr/>
          <w:p>
            <w:pPr>
              <w:pStyle w:val="Compact"/>
            </w:pPr>
            <w:r>
              <w:t xml:space="preserve">Apps und Konten sperren, Karten und Limiten setzen, Prospekte wegwerfen, Orte meiden, Filter einrichten</w:t>
            </w:r>
          </w:p>
        </w:tc>
      </w:tr>
      <w:tr>
        <w:tc>
          <w:tcPr/>
          <w:p>
            <w:pPr>
              <w:pStyle w:val="Compact"/>
            </w:pPr>
            <w:r>
              <w:t xml:space="preserve">4 Warten</w:t>
            </w:r>
          </w:p>
        </w:tc>
        <w:tc>
          <w:tcPr/>
          <w:p>
            <w:pPr>
              <w:pStyle w:val="Compact"/>
            </w:pPr>
            <w:r>
              <w:t xml:space="preserve">Dem Drang nicht sofort nachgeben. Erst eine Stunde, dann zwei warten. Der Drang geht wie eine Welle vorbei</w:t>
            </w:r>
          </w:p>
        </w:tc>
      </w:tr>
      <w:tr>
        <w:tc>
          <w:tcPr/>
          <w:p>
            <w:pPr>
              <w:pStyle w:val="Compact"/>
            </w:pPr>
            <w:r>
              <w:t xml:space="preserve">5 Alternativen planen</w:t>
            </w:r>
          </w:p>
        </w:tc>
        <w:tc>
          <w:tcPr/>
          <w:p>
            <w:pPr>
              <w:pStyle w:val="Compact"/>
            </w:pPr>
            <w:r>
              <w:t xml:space="preserve">Eine feste Tagesstruktur, Bewegung, Treffen mit realen Menschen</w:t>
            </w:r>
          </w:p>
        </w:tc>
      </w:tr>
      <w:tr>
        <w:tc>
          <w:tcPr/>
          <w:p>
            <w:pPr>
              <w:pStyle w:val="Compact"/>
            </w:pPr>
            <w:r>
              <w:t xml:space="preserve">6 Schulden früh ansprechen</w:t>
            </w:r>
          </w:p>
        </w:tc>
        <w:tc>
          <w:tcPr/>
          <w:p>
            <w:pPr>
              <w:pStyle w:val="Compact"/>
            </w:pPr>
            <w:r>
              <w:t xml:space="preserve">Je früher, desto mehr Möglichkeiten. Schuldenberatung ist kostenlos (Kap. 12)</w:t>
            </w:r>
          </w:p>
        </w:tc>
      </w:tr>
      <w:tr>
        <w:tc>
          <w:tcPr/>
          <w:p>
            <w:pPr>
              <w:pStyle w:val="Compact"/>
            </w:pPr>
            <w:r>
              <w:t xml:space="preserve">7 Rückschritte einplanen</w:t>
            </w:r>
          </w:p>
        </w:tc>
        <w:tc>
          <w:tcPr/>
          <w:p>
            <w:pPr>
              <w:pStyle w:val="Compact"/>
            </w:pPr>
            <w:r>
              <w:t xml:space="preserve">Ein Ausrutscher ist kein Scheitern. Sprechen Sie darüber, ohne Vorwürfe</w:t>
            </w:r>
          </w:p>
        </w:tc>
      </w:tr>
      <w:tr>
        <w:tc>
          <w:tcPr/>
          <w:p>
            <w:pPr>
              <w:pStyle w:val="Compact"/>
            </w:pPr>
            <w:r>
              <w:t xml:space="preserve">Wichtig</w:t>
            </w:r>
          </w:p>
        </w:tc>
        <w:tc>
          <w:tcPr/>
          <w:p>
            <w:pPr>
              <w:pStyle w:val="Compact"/>
            </w:pPr>
            <w:r>
              <w:t xml:space="preserve">Wenn Sie nicht mehr leben möchten oder dunkle Gedanken haben: Sprechen Sie sofort mit jemandem. Nummern: Kap. 13</w:t>
            </w:r>
          </w:p>
        </w:tc>
      </w:tr>
    </w:tbl>
    <w:p>
      <w:pPr>
        <w:pStyle w:val="BodyText"/>
      </w:pPr>
      <w:r>
        <w:t xml:space="preserve">Was Sie erwartet: Die Beratung läuft in fünf Schritten (Ankommen, Verstehen, Ziele setzen, Verändern, Festigen). Sie bestimmen das Tempo. Gemeinsam machen wir Fortschritt sichtbar (Fortschrittsbogen).</w:t>
      </w:r>
    </w:p>
    <w:p>
      <w:r>
        <w:pict>
          <v:rect style="width:0;height:1.5pt" o:hralign="center" o:hrstd="t" o:hr="t"/>
        </w:pict>
      </w:r>
    </w:p>
    <w:bookmarkEnd w:id="73"/>
    <w:bookmarkStart w:id="77" w:name="Xb231f732f357d28c4400e0af97aae6ed6bcd8a5"/>
    <w:p>
      <w:pPr>
        <w:pStyle w:val="Heading3"/>
      </w:pPr>
      <w:r>
        <w:t xml:space="preserve">10. Angehörige: erste Schritte</w:t>
      </w:r>
    </w:p>
    <w:p>
      <w:pPr>
        <w:pStyle w:val="FirstParagraph"/>
      </w:pPr>
      <w:r>
        <w:t xml:space="preserve">Belegt durch Alkohol-Konzept SDS (Beilage), CRAFT-Quellen, FHNW und Fachverband Sucht. Die Beratung steht Angehörigen auch ohne die betroffene Person offen [Vorschlag, laut Auftrag].</w:t>
      </w:r>
    </w:p>
    <w:bookmarkStart w:id="74" w:name="Xacce648ad9d4b5cb8ca38cdc62414690e3aab7a"/>
    <w:p>
      <w:pPr>
        <w:pStyle w:val="Heading4"/>
      </w:pPr>
      <w:r>
        <w:t xml:space="preserve">10.1 Belastung einordnen</w:t>
      </w:r>
    </w:p>
    <w:p>
      <w:pPr>
        <w:pStyle w:val="FirstParagraph"/>
      </w:pPr>
      <w:r>
        <w:t xml:space="preserve">(Q: Fachverband Sucht; Landkreis Esslingen)</w:t>
      </w:r>
    </w:p>
    <w:p>
      <w:pPr>
        <w:pStyle w:val="BodyText"/>
      </w:pPr>
      <w:r>
        <w:t xml:space="preserve">Stress, Scham- und Schuldgefühle, psychosomatische Beschwerden, bei Kindern besonders stark. Spannungen, Unberechenbarkeit, teils Gewalt.</w:t>
      </w:r>
    </w:p>
    <w:bookmarkEnd w:id="74"/>
    <w:bookmarkStart w:id="75" w:name="X6d8a8e575dcf34accfbe2292d5bd0f20dca3d67"/>
    <w:p>
      <w:pPr>
        <w:pStyle w:val="Heading4"/>
      </w:pPr>
      <w:r>
        <w:t xml:space="preserve">10.2 Was Angehörige tun können</w:t>
      </w:r>
    </w:p>
    <w:tbl>
      <w:tblPr>
        <w:tblStyle w:val="Table"/>
        <w:tblW w:type="auto" w:w="0"/>
        <w:tblLook w:firstRow="1" w:lastRow="0" w:firstColumn="0" w:lastColumn="0" w:noHBand="0" w:noVBand="0" w:val="0020"/>
      </w:tblPr>
      <w:tblGrid>
        <w:gridCol w:w="2640"/>
        <w:gridCol w:w="2640"/>
        <w:gridCol w:w="2640"/>
      </w:tblGrid>
      <w:tr>
        <w:trPr>
          <w:tblHeader w:val="on"/>
        </w:trPr>
        <w:tc>
          <w:tcPr>
            <w:shd w:val="clear" w:color="auto" w:fill="1A2B4C"/>
          </w:tcPr>
          <w:tcPr/>
          <w:p>
            <w:pPr>
              <w:pStyle w:val="Compact"/>
            </w:pPr>
            <w:r>
              <w:rPr>
                <w:b/>
                <w:color w:val="FFFFFF"/>
                <w:b/>
                <w:color w:val="FFFFFF"/>
              </w:rPr>
              <w:t xml:space="preserve">Schritt</w:t>
            </w:r>
          </w:p>
        </w:tc>
        <w:tc>
          <w:tcPr>
            <w:shd w:val="clear" w:color="auto" w:fill="1A2B4C"/>
          </w:tcPr>
          <w:tcPr/>
          <w:p>
            <w:pPr>
              <w:pStyle w:val="Compact"/>
            </w:pPr>
            <w:r>
              <w:rPr>
                <w:b/>
                <w:color w:val="FFFFFF"/>
                <w:b/>
                <w:color w:val="FFFFFF"/>
              </w:rPr>
              <w:t xml:space="preserve">Inhalt</w:t>
            </w:r>
          </w:p>
        </w:tc>
        <w:tc>
          <w:tcPr>
            <w:shd w:val="clear" w:color="auto" w:fill="1A2B4C"/>
          </w:tcPr>
          <w:tcPr/>
          <w:p>
            <w:pPr>
              <w:pStyle w:val="Compact"/>
            </w:pPr>
            <w:r>
              <w:rPr>
                <w:b/>
                <w:color w:val="FFFFFF"/>
                <w:b/>
                <w:color w:val="FFFFFF"/>
              </w:rPr>
              <w:t xml:space="preserve">Beleg</w:t>
            </w:r>
          </w:p>
        </w:tc>
      </w:tr>
      <w:tr>
        <w:tc>
          <w:tcPr/>
          <w:p>
            <w:pPr>
              <w:pStyle w:val="Compact"/>
            </w:pPr>
            <w:r>
              <w:t xml:space="preserve">1 Eigene Belastung ernst nehmen</w:t>
            </w:r>
          </w:p>
        </w:tc>
        <w:tc>
          <w:tcPr/>
          <w:p>
            <w:pPr>
              <w:pStyle w:val="Compact"/>
            </w:pPr>
            <w:r>
              <w:t xml:space="preserve">Eigene Beratung nutzen, eigene Gesundheit schützen</w:t>
            </w:r>
          </w:p>
        </w:tc>
        <w:tc>
          <w:tcPr/>
          <w:p>
            <w:pPr>
              <w:pStyle w:val="Compact"/>
            </w:pPr>
            <w:r>
              <w:t xml:space="preserve">Q: Alkohol-Konzept SDS</w:t>
            </w:r>
          </w:p>
        </w:tc>
      </w:tr>
      <w:tr>
        <w:tc>
          <w:tcPr/>
          <w:p>
            <w:pPr>
              <w:pStyle w:val="Compact"/>
            </w:pPr>
            <w:r>
              <w:t xml:space="preserve">2 Gespräch suchen</w:t>
            </w:r>
          </w:p>
        </w:tc>
        <w:tc>
          <w:tcPr/>
          <w:p>
            <w:pPr>
              <w:pStyle w:val="Compact"/>
            </w:pPr>
            <w:r>
              <w:t xml:space="preserve">In ruhiger Situation, ohne Vorwürfe und Drohungen, aus der Ich-Perspektive</w:t>
            </w:r>
          </w:p>
        </w:tc>
        <w:tc>
          <w:tcPr/>
          <w:p>
            <w:pPr>
              <w:pStyle w:val="Compact"/>
            </w:pPr>
            <w:r>
              <w:t xml:space="preserve">Q: CRAFT-Quellen</w:t>
            </w:r>
          </w:p>
        </w:tc>
      </w:tr>
      <w:tr>
        <w:tc>
          <w:tcPr/>
          <w:p>
            <w:pPr>
              <w:pStyle w:val="Compact"/>
            </w:pPr>
            <w:r>
              <w:t xml:space="preserve">3 Hilfe anbieten</w:t>
            </w:r>
          </w:p>
        </w:tc>
        <w:tc>
          <w:tcPr/>
          <w:p>
            <w:pPr>
              <w:pStyle w:val="Compact"/>
            </w:pPr>
            <w:r>
              <w:t xml:space="preserve">„Ich bin da, wenn du Hilfe willst." Eigene Grenzen klar benennen</w:t>
            </w:r>
          </w:p>
        </w:tc>
        <w:tc>
          <w:tcPr/>
          <w:p>
            <w:pPr>
              <w:pStyle w:val="Compact"/>
            </w:pPr>
            <w:r>
              <w:t xml:space="preserve">Q: Alkohol-Konzept SDS</w:t>
            </w:r>
          </w:p>
        </w:tc>
      </w:tr>
      <w:tr>
        <w:tc>
          <w:tcPr/>
          <w:p>
            <w:pPr>
              <w:pStyle w:val="Compact"/>
            </w:pPr>
            <w:r>
              <w:t xml:space="preserve">4 Auf Offenheit reagieren</w:t>
            </w:r>
          </w:p>
        </w:tc>
        <w:tc>
          <w:tcPr/>
          <w:p>
            <w:pPr>
              <w:pStyle w:val="Compact"/>
            </w:pPr>
            <w:r>
              <w:t xml:space="preserve">Wird ein Rückfall offen gesagt, nicht mit Vorwürfen oder Beziehungsabbruch reagieren. Die Offenheit anerkennen</w:t>
            </w:r>
          </w:p>
        </w:tc>
        <w:tc>
          <w:tcPr/>
          <w:p>
            <w:pPr>
              <w:pStyle w:val="Compact"/>
            </w:pPr>
            <w:r>
              <w:t xml:space="preserve">Q: Alkohol-Konzept SDS (Beilage)</w:t>
            </w:r>
          </w:p>
        </w:tc>
      </w:tr>
      <w:tr>
        <w:tc>
          <w:tcPr/>
          <w:p>
            <w:pPr>
              <w:pStyle w:val="Compact"/>
            </w:pPr>
            <w:r>
              <w:t xml:space="preserve">5 Finanzen trennen</w:t>
            </w:r>
          </w:p>
        </w:tc>
        <w:tc>
          <w:tcPr/>
          <w:p>
            <w:pPr>
              <w:pStyle w:val="Compact"/>
            </w:pPr>
            <w:r>
              <w:t xml:space="preserve">Schulden nicht übernehmen oder decken. Gemeinsame Konten, Haftung und Kreditkarten klären (besonders bei Kaufsucht)</w:t>
            </w:r>
          </w:p>
        </w:tc>
        <w:tc>
          <w:tcPr/>
          <w:p>
            <w:pPr>
              <w:pStyle w:val="Compact"/>
            </w:pPr>
            <w:r>
              <w:t xml:space="preserve">[eigenes Wissen]</w:t>
            </w:r>
          </w:p>
        </w:tc>
      </w:tr>
      <w:tr>
        <w:tc>
          <w:tcPr/>
          <w:p>
            <w:pPr>
              <w:pStyle w:val="Compact"/>
            </w:pPr>
            <w:r>
              <w:t xml:space="preserve">6 Gefährdung ernst nehmen</w:t>
            </w:r>
          </w:p>
        </w:tc>
        <w:tc>
          <w:tcPr/>
          <w:p>
            <w:pPr>
              <w:pStyle w:val="Compact"/>
            </w:pPr>
            <w:r>
              <w:t xml:space="preserve">Bei Gewalt oder Gefährdung sofort Hilfe holen, Kinder schützen</w:t>
            </w:r>
          </w:p>
        </w:tc>
        <w:tc>
          <w:tcPr/>
          <w:p>
            <w:pPr>
              <w:pStyle w:val="Compact"/>
            </w:pPr>
            <w:r>
              <w:t xml:space="preserve">Q: CRAFT/FHNW (Gewaltabklärung)</w:t>
            </w:r>
          </w:p>
        </w:tc>
      </w:tr>
    </w:tbl>
    <w:bookmarkEnd w:id="75"/>
    <w:bookmarkStart w:id="76" w:name="Xdf5a3057c0ac748be0c8b639698e8bd2e956b9d"/>
    <w:p>
      <w:pPr>
        <w:pStyle w:val="Heading4"/>
      </w:pPr>
      <w:r>
        <w:t xml:space="preserve">10.3 Hinweise für Beratende</w:t>
      </w:r>
    </w:p>
    <w:p>
      <w:pPr>
        <w:pStyle w:val="Compact"/>
        <w:numPr>
          <w:ilvl w:val="0"/>
          <w:numId w:val="1035"/>
        </w:numPr>
      </w:pPr>
      <w:r>
        <w:rPr>
          <w:b/>
          <w:bCs/>
        </w:rPr>
        <w:t xml:space="preserve">CRAFT:</w:t>
      </w:r>
      <w:r>
        <w:t xml:space="preserve"> </w:t>
      </w:r>
      <w:r>
        <w:t xml:space="preserve">Nicht-konfrontativer Ansatz, der Angehörige darin coacht, die betroffene Person zur Beratung zu motivieren. Bei Substanzstörungen gehört er laut Metaanalyse zu den wirksamsten Ansätzen. Auf Verhaltenssüchte übertragen ist er nicht belegt (Q: Thieme CRAFT; FHNW).</w:t>
      </w:r>
    </w:p>
    <w:p>
      <w:pPr>
        <w:pStyle w:val="Compact"/>
        <w:numPr>
          <w:ilvl w:val="0"/>
          <w:numId w:val="1035"/>
        </w:numPr>
      </w:pPr>
      <w:r>
        <w:rPr>
          <w:b/>
          <w:bCs/>
        </w:rPr>
        <w:t xml:space="preserve">Begriff Co-Abhängigkeit:</w:t>
      </w:r>
      <w:r>
        <w:t xml:space="preserve"> </w:t>
      </w:r>
      <w:r>
        <w:t xml:space="preserve">Der Begriff kann Angehörige abschrecken, und die daraus abgeleiteten konfrontativen Strategien sind wenig belegt. Neutral verwenden, Schuldzuweisungen vermeiden (Q: FHNW; Thieme; gesundheit.gv.at).</w:t>
      </w:r>
    </w:p>
    <w:p>
      <w:pPr>
        <w:pStyle w:val="Compact"/>
        <w:numPr>
          <w:ilvl w:val="0"/>
          <w:numId w:val="1035"/>
        </w:numPr>
      </w:pPr>
      <w:r>
        <w:rPr>
          <w:b/>
          <w:bCs/>
        </w:rPr>
        <w:t xml:space="preserve">Einwilligung:</w:t>
      </w:r>
      <w:r>
        <w:t xml:space="preserve"> </w:t>
      </w:r>
      <w:r>
        <w:t xml:space="preserve">Gespräche mit Angehörigen über die betroffene Person nur im Rahmen der Schweigepflicht. Welche Informationen zurückfliessen, ist mit der betroffenen Person zu klären [Vorschlag].</w:t>
      </w:r>
    </w:p>
    <w:p>
      <w:r>
        <w:pict>
          <v:rect style="width:0;height:1.5pt" o:hralign="center" o:hrstd="t" o:hr="t"/>
        </w:pict>
      </w:r>
    </w:p>
    <w:bookmarkEnd w:id="76"/>
    <w:bookmarkEnd w:id="77"/>
    <w:bookmarkStart w:id="80" w:name="X736e555d1427107d1a9b75d536eb1b719a1fdb1"/>
    <w:p>
      <w:pPr>
        <w:pStyle w:val="Heading3"/>
      </w:pPr>
      <w:r>
        <w:t xml:space="preserve">11. Arbeitgebende und Ausbildende</w:t>
      </w:r>
    </w:p>
    <w:bookmarkStart w:id="78" w:name="X570062dadc9529e94d97bd100863feb40105cf6"/>
    <w:p>
      <w:pPr>
        <w:pStyle w:val="Heading4"/>
      </w:pPr>
      <w:r>
        <w:t xml:space="preserve">11.1 Ausgangslage</w:t>
      </w:r>
    </w:p>
    <w:p>
      <w:pPr>
        <w:pStyle w:val="FirstParagraph"/>
      </w:pPr>
      <w:r>
        <w:t xml:space="preserve">Als Referenz bietet Basel-Stadt Beratung und Coaching von Vorgesetzten, gemeinsame Gespräche Vorgesetzte–Mitarbeitende, Schulungen und betriebliche Suchtpräventionskonzepte. Die Einzelfallberatung von Vorgesetzten ist kostenlos (Q: Basel-Stadt). Das SDS-Angebot richtet sich an Arbeitgebende und Ausbildende (Auftrag).</w:t>
      </w:r>
    </w:p>
    <w:bookmarkEnd w:id="78"/>
    <w:bookmarkStart w:id="79" w:name="X7f4f6d0323c4b4d85d2dd5b5b80bc210b59d1a0"/>
    <w:p>
      <w:pPr>
        <w:pStyle w:val="Heading4"/>
      </w:pPr>
      <w:r>
        <w:t xml:space="preserve">11.2 Rolle und Grenzen</w:t>
      </w:r>
    </w:p>
    <w:p>
      <w:pPr>
        <w:pStyle w:val="FirstParagraph"/>
      </w:pPr>
      <w:r>
        <w:t xml:space="preserve">[Vorschlag]</w:t>
      </w:r>
    </w:p>
    <w:tbl>
      <w:tblPr>
        <w:tblStyle w:val="Table"/>
        <w:tblW w:type="auto" w:w="0"/>
        <w:tblLook w:firstRow="1" w:lastRow="0" w:firstColumn="0" w:lastColumn="0" w:noHBand="0" w:noVBand="0" w:val="0020"/>
      </w:tblPr>
      <w:tblGrid>
        <w:gridCol w:w="3960"/>
        <w:gridCol w:w="3960"/>
      </w:tblGrid>
      <w:tr>
        <w:trPr>
          <w:tblHeader w:val="on"/>
        </w:trPr>
        <w:tc>
          <w:tcPr>
            <w:shd w:val="clear" w:color="auto" w:fill="1A2B4C"/>
          </w:tcPr>
          <w:tcPr/>
          <w:p>
            <w:pPr>
              <w:pStyle w:val="Compact"/>
            </w:pPr>
            <w:r>
              <w:rPr>
                <w:b/>
                <w:color w:val="FFFFFF"/>
                <w:b/>
                <w:color w:val="FFFFFF"/>
              </w:rPr>
              <w:t xml:space="preserve">Thema</w:t>
            </w:r>
          </w:p>
        </w:tc>
        <w:tc>
          <w:tcPr>
            <w:shd w:val="clear" w:color="auto" w:fill="1A2B4C"/>
          </w:tcPr>
          <w:tcPr/>
          <w:p>
            <w:pPr>
              <w:pStyle w:val="Compact"/>
            </w:pPr>
            <w:r>
              <w:rPr>
                <w:b/>
                <w:color w:val="FFFFFF"/>
                <w:b/>
                <w:color w:val="FFFFFF"/>
              </w:rPr>
              <w:t xml:space="preserve">Inhalt</w:t>
            </w:r>
          </w:p>
        </w:tc>
      </w:tr>
      <w:tr>
        <w:tc>
          <w:tcPr/>
          <w:p>
            <w:pPr>
              <w:pStyle w:val="Compact"/>
            </w:pPr>
            <w:r>
              <w:t xml:space="preserve">Rolle der Vorgesetzten</w:t>
            </w:r>
          </w:p>
        </w:tc>
        <w:tc>
          <w:tcPr/>
          <w:p>
            <w:pPr>
              <w:pStyle w:val="Compact"/>
            </w:pPr>
            <w:r>
              <w:t xml:space="preserve">Auffälligkeiten ansprechen (Leistung, Fehlzeiten, Verhalten am Arbeitsplatz), nicht diagnostizieren</w:t>
            </w:r>
          </w:p>
        </w:tc>
      </w:tr>
      <w:tr>
        <w:tc>
          <w:tcPr/>
          <w:p>
            <w:pPr>
              <w:pStyle w:val="Compact"/>
            </w:pPr>
            <w:r>
              <w:t xml:space="preserve">Gesprächsführung</w:t>
            </w:r>
          </w:p>
        </w:tc>
        <w:tc>
          <w:tcPr/>
          <w:p>
            <w:pPr>
              <w:pStyle w:val="Compact"/>
            </w:pPr>
            <w:r>
              <w:t xml:space="preserve">Konkrete Beobachtungen benennen, Fürsorge zeigen, Unterstützung anbieten, Konsequenzen und Hilfsangebote klar trennen</w:t>
            </w:r>
          </w:p>
        </w:tc>
      </w:tr>
      <w:tr>
        <w:tc>
          <w:tcPr/>
          <w:p>
            <w:pPr>
              <w:pStyle w:val="Compact"/>
            </w:pPr>
            <w:r>
              <w:t xml:space="preserve">Arbeitssucht</w:t>
            </w:r>
          </w:p>
        </w:tc>
        <w:tc>
          <w:tcPr/>
          <w:p>
            <w:pPr>
              <w:pStyle w:val="Compact"/>
            </w:pPr>
            <w:r>
              <w:t xml:space="preserve">Arbeitgebende können Strukturen schaffen, die Arbeitssucht erschweren (Erreichbarkeit, Pausen, Überstundenregeln) (Q: Basel Arbeitgeberberatung; AOK)</w:t>
            </w:r>
          </w:p>
        </w:tc>
      </w:tr>
      <w:tr>
        <w:tc>
          <w:tcPr/>
          <w:p>
            <w:pPr>
              <w:pStyle w:val="Compact"/>
            </w:pPr>
            <w:r>
              <w:t xml:space="preserve">Kaufsucht und Sex/Porno</w:t>
            </w:r>
          </w:p>
        </w:tc>
        <w:tc>
          <w:tcPr/>
          <w:p>
            <w:pPr>
              <w:pStyle w:val="Compact"/>
            </w:pPr>
            <w:r>
              <w:t xml:space="preserve">Nutzung betrieblicher Mittel, Geldprobleme (Lohnpfändung), Erreichbarkeit: klare Regeln, vertraulicher Umgang</w:t>
            </w:r>
          </w:p>
        </w:tc>
      </w:tr>
      <w:tr>
        <w:tc>
          <w:tcPr/>
          <w:p>
            <w:pPr>
              <w:pStyle w:val="Compact"/>
            </w:pPr>
            <w:r>
              <w:t xml:space="preserve">Grenzen</w:t>
            </w:r>
          </w:p>
        </w:tc>
        <w:tc>
          <w:tcPr/>
          <w:p>
            <w:pPr>
              <w:pStyle w:val="Compact"/>
            </w:pPr>
            <w:r>
              <w:t xml:space="preserve">Beratende geben ohne Einwilligung keine Informationen über Klientinnen und Klienten an Arbeitgebende</w:t>
            </w:r>
          </w:p>
        </w:tc>
      </w:tr>
      <w:tr>
        <w:tc>
          <w:tcPr/>
          <w:p>
            <w:pPr>
              <w:pStyle w:val="Compact"/>
            </w:pPr>
            <w:r>
              <w:t xml:space="preserve">Ausbildende</w:t>
            </w:r>
          </w:p>
        </w:tc>
        <w:tc>
          <w:tcPr/>
          <w:p>
            <w:pPr>
              <w:pStyle w:val="Compact"/>
            </w:pPr>
            <w:r>
              <w:t xml:space="preserve">Gleiches Vorgehen, Auszubildende zusätzlich auf Unterstützung im Umfeld hinweisen</w:t>
            </w:r>
          </w:p>
        </w:tc>
      </w:tr>
    </w:tbl>
    <w:p>
      <w:pPr>
        <w:pStyle w:val="BodyText"/>
      </w:pPr>
      <w:r>
        <w:rPr>
          <w:b/>
          <w:bCs/>
        </w:rPr>
        <w:t xml:space="preserve">Schweigepflicht, Einwilligung, Informationsfluss:</w:t>
      </w:r>
      <w:r>
        <w:t xml:space="preserve"> </w:t>
      </w:r>
      <w:r>
        <w:t xml:space="preserve">hausintern regeln. Rechtliche Grundlagen (Amts-/Berufsgeheimnis, Datenschutz) sind nicht geprüft [Lücke].</w:t>
      </w:r>
    </w:p>
    <w:p>
      <w:r>
        <w:pict>
          <v:rect style="width:0;height:1.5pt" o:hralign="center" o:hrstd="t" o:hr="t"/>
        </w:pict>
      </w:r>
    </w:p>
    <w:bookmarkEnd w:id="79"/>
    <w:bookmarkEnd w:id="80"/>
    <w:bookmarkEnd w:id="81"/>
    <w:bookmarkStart w:id="90" w:name="teil-6-triage-und-krisen"/>
    <w:p>
      <w:pPr>
        <w:pStyle w:val="Heading2"/>
      </w:pPr>
      <w:r>
        <w:t xml:space="preserve">Teil 6: Triage und Krisen</w:t>
      </w:r>
    </w:p>
    <w:p>
      <w:pPr>
        <w:pStyle w:val="FirstParagraph"/>
      </w:pPr>
      <w:r>
        <w:rPr>
          <w:b/>
          <w:bCs/>
        </w:rPr>
        <w:t xml:space="preserve">Inhalt dieses Teils</w:t>
      </w:r>
    </w:p>
    <w:p>
      <w:pPr>
        <w:pStyle w:val="Compact"/>
        <w:numPr>
          <w:ilvl w:val="0"/>
          <w:numId w:val="1036"/>
        </w:numPr>
      </w:pPr>
      <w:hyperlink w:anchor="Xb6d483866dfbe2c2a98db4da7c4151fe6ff2016">
        <w:r>
          <w:rPr>
            <w:rStyle w:val="Hyperlink"/>
          </w:rPr>
          <w:t xml:space="preserve">12. Triage: wer berät detaillierter, wo gibt es welche Angebote, was kostet es</w:t>
        </w:r>
      </w:hyperlink>
    </w:p>
    <w:p>
      <w:pPr>
        <w:pStyle w:val="Compact"/>
        <w:numPr>
          <w:ilvl w:val="1"/>
          <w:numId w:val="1037"/>
        </w:numPr>
      </w:pPr>
      <w:hyperlink w:anchor="X383bc2d214a2e8d0f37fb2c4e7b51844ed63251">
        <w:r>
          <w:rPr>
            <w:rStyle w:val="Hyperlink"/>
          </w:rPr>
          <w:t xml:space="preserve">12.1 Stufenmodell</w:t>
        </w:r>
      </w:hyperlink>
    </w:p>
    <w:p>
      <w:pPr>
        <w:pStyle w:val="Compact"/>
        <w:numPr>
          <w:ilvl w:val="1"/>
          <w:numId w:val="1037"/>
        </w:numPr>
      </w:pPr>
      <w:hyperlink w:anchor="X5bc7b8e64ab6076b726dd8446e7222892d2cfca">
        <w:r>
          <w:rPr>
            <w:rStyle w:val="Hyperlink"/>
          </w:rPr>
          <w:t xml:space="preserve">12.2 Kosten im Überblick</w:t>
        </w:r>
      </w:hyperlink>
    </w:p>
    <w:p>
      <w:pPr>
        <w:pStyle w:val="Compact"/>
        <w:numPr>
          <w:ilvl w:val="1"/>
          <w:numId w:val="1037"/>
        </w:numPr>
      </w:pPr>
      <w:hyperlink w:anchor="Xab9243aa1a5c0ce44b8702d208b73c732ee0bd2">
        <w:r>
          <w:rPr>
            <w:rStyle w:val="Hyperlink"/>
          </w:rPr>
          <w:t xml:space="preserve">12.3 Triage-Entscheidungsbaum</w:t>
        </w:r>
      </w:hyperlink>
    </w:p>
    <w:p>
      <w:pPr>
        <w:pStyle w:val="Compact"/>
        <w:numPr>
          <w:ilvl w:val="1"/>
          <w:numId w:val="1037"/>
        </w:numPr>
      </w:pPr>
      <w:hyperlink w:anchor="X97aa24607df67845a338f83a15c22fc236376df">
        <w:r>
          <w:rPr>
            <w:rStyle w:val="Hyperlink"/>
          </w:rPr>
          <w:t xml:space="preserve">12.4 Zusammenarbeit mit Dritten</w:t>
        </w:r>
      </w:hyperlink>
    </w:p>
    <w:p>
      <w:pPr>
        <w:pStyle w:val="Compact"/>
        <w:numPr>
          <w:ilvl w:val="0"/>
          <w:numId w:val="1036"/>
        </w:numPr>
      </w:pPr>
      <w:hyperlink w:anchor="X9684b28fde4a140fff6e828539fdda1c2cc24c8">
        <w:r>
          <w:rPr>
            <w:rStyle w:val="Hyperlink"/>
          </w:rPr>
          <w:t xml:space="preserve">13. Krisen und Notfälle</w:t>
        </w:r>
      </w:hyperlink>
    </w:p>
    <w:p>
      <w:pPr>
        <w:pStyle w:val="Compact"/>
        <w:numPr>
          <w:ilvl w:val="1"/>
          <w:numId w:val="1038"/>
        </w:numPr>
      </w:pPr>
      <w:hyperlink w:anchor="X894ca9e2b5609127dcd433a5b25a7ce22cba920">
        <w:r>
          <w:rPr>
            <w:rStyle w:val="Hyperlink"/>
          </w:rPr>
          <w:t xml:space="preserve">13.1 Vorgehen bei Suizidalität</w:t>
        </w:r>
      </w:hyperlink>
    </w:p>
    <w:p>
      <w:pPr>
        <w:pStyle w:val="Compact"/>
        <w:numPr>
          <w:ilvl w:val="1"/>
          <w:numId w:val="1038"/>
        </w:numPr>
      </w:pPr>
      <w:hyperlink w:anchor="X2873baa96d31296ae4b4a67abc80ee4cff5d771">
        <w:r>
          <w:rPr>
            <w:rStyle w:val="Hyperlink"/>
          </w:rPr>
          <w:t xml:space="preserve">13.2 Nummern</w:t>
        </w:r>
      </w:hyperlink>
    </w:p>
    <w:bookmarkStart w:id="86" w:name="Xb6d483866dfbe2c2a98db4da7c4151fe6ff2016"/>
    <w:p>
      <w:pPr>
        <w:pStyle w:val="Heading3"/>
      </w:pPr>
      <w:r>
        <w:t xml:space="preserve">12. Triage: wer berät detaillierter, wo gibt es welche Angebote, was kostet es</w:t>
      </w:r>
    </w:p>
    <w:bookmarkStart w:id="82" w:name="X383bc2d214a2e8d0f37fb2c4e7b51844ed63251"/>
    <w:p>
      <w:pPr>
        <w:pStyle w:val="Heading4"/>
      </w:pPr>
      <w:r>
        <w:t xml:space="preserve">12.1 Stufenmodell</w:t>
      </w:r>
    </w:p>
    <w:tbl>
      <w:tblPr>
        <w:tblStyle w:val="Table"/>
        <w:tblW w:type="auto" w:w="0"/>
        <w:tblLook w:firstRow="1" w:lastRow="0" w:firstColumn="0" w:lastColumn="0" w:noHBand="0" w:noVBand="0" w:val="0020"/>
      </w:tblPr>
      <w:tblGrid>
        <w:gridCol w:w="2640"/>
        <w:gridCol w:w="2640"/>
        <w:gridCol w:w="2640"/>
      </w:tblGrid>
      <w:tr>
        <w:trPr>
          <w:tblHeader w:val="on"/>
        </w:trPr>
        <w:tc>
          <w:tcPr>
            <w:shd w:val="clear" w:color="auto" w:fill="1A2B4C"/>
          </w:tcPr>
          <w:tcPr/>
          <w:p>
            <w:pPr>
              <w:pStyle w:val="Compact"/>
            </w:pPr>
            <w:r>
              <w:rPr>
                <w:b/>
                <w:color w:val="FFFFFF"/>
                <w:b/>
                <w:color w:val="FFFFFF"/>
              </w:rPr>
              <w:t xml:space="preserve">Stufe</w:t>
            </w:r>
          </w:p>
        </w:tc>
        <w:tc>
          <w:tcPr>
            <w:shd w:val="clear" w:color="auto" w:fill="1A2B4C"/>
          </w:tcPr>
          <w:tcPr/>
          <w:p>
            <w:pPr>
              <w:pStyle w:val="Compact"/>
            </w:pPr>
            <w:r>
              <w:rPr>
                <w:b/>
                <w:color w:val="FFFFFF"/>
                <w:b/>
                <w:color w:val="FFFFFF"/>
              </w:rPr>
              <w:t xml:space="preserve">Wann</w:t>
            </w:r>
          </w:p>
        </w:tc>
        <w:tc>
          <w:tcPr>
            <w:shd w:val="clear" w:color="auto" w:fill="1A2B4C"/>
          </w:tcPr>
          <w:tcPr/>
          <w:p>
            <w:pPr>
              <w:pStyle w:val="Compact"/>
            </w:pPr>
            <w:r>
              <w:rPr>
                <w:b/>
                <w:color w:val="FFFFFF"/>
                <w:b/>
                <w:color w:val="FFFFFF"/>
              </w:rPr>
              <w:t xml:space="preserve">Kosten</w:t>
            </w:r>
          </w:p>
        </w:tc>
      </w:tr>
      <w:tr>
        <w:tc>
          <w:tcPr/>
          <w:p>
            <w:pPr>
              <w:pStyle w:val="Compact"/>
            </w:pPr>
            <w:r>
              <w:t xml:space="preserve">1 Beratung SDS</w:t>
            </w:r>
          </w:p>
        </w:tc>
        <w:tc>
          <w:tcPr/>
          <w:p>
            <w:pPr>
              <w:pStyle w:val="Compact"/>
            </w:pPr>
            <w:r>
              <w:t xml:space="preserve">Leichte bis mittlere Ausprägung, ambulante Begleitung ausreichend</w:t>
            </w:r>
          </w:p>
        </w:tc>
        <w:tc>
          <w:tcPr/>
          <w:p>
            <w:pPr>
              <w:pStyle w:val="Compact"/>
            </w:pPr>
            <w:r>
              <w:t xml:space="preserve">Kostenlos (Auftrag)</w:t>
            </w:r>
          </w:p>
        </w:tc>
      </w:tr>
      <w:tr>
        <w:tc>
          <w:tcPr/>
          <w:p>
            <w:pPr>
              <w:pStyle w:val="Compact"/>
            </w:pPr>
            <w:r>
              <w:t xml:space="preserve">1b Beratung andere Fachstellen</w:t>
            </w:r>
          </w:p>
        </w:tc>
        <w:tc>
          <w:tcPr/>
          <w:p>
            <w:pPr>
              <w:pStyle w:val="Compact"/>
            </w:pPr>
            <w:r>
              <w:t xml:space="preserve">Wohnort ausserhalb, Glücksspiel</w:t>
            </w:r>
          </w:p>
        </w:tc>
        <w:tc>
          <w:tcPr/>
          <w:p>
            <w:pPr>
              <w:pStyle w:val="Compact"/>
            </w:pPr>
            <w:r>
              <w:t xml:space="preserve">Kostenlos laut Auftrag nur für SDS-Einzugsgebiet und FL, andere Stellen: [Lücke]</w:t>
            </w:r>
          </w:p>
        </w:tc>
      </w:tr>
      <w:tr>
        <w:tc>
          <w:tcPr/>
          <w:p>
            <w:pPr>
              <w:pStyle w:val="Compact"/>
            </w:pPr>
            <w:r>
              <w:t xml:space="preserve">2 Online, anonym</w:t>
            </w:r>
          </w:p>
        </w:tc>
        <w:tc>
          <w:tcPr/>
          <w:p>
            <w:pPr>
              <w:pStyle w:val="Compact"/>
            </w:pPr>
            <w:r>
              <w:t xml:space="preserve">Niederschwelliger Erstkontakt, Scham, Distanz</w:t>
            </w:r>
          </w:p>
        </w:tc>
        <w:tc>
          <w:tcPr/>
          <w:p>
            <w:pPr>
              <w:pStyle w:val="Compact"/>
            </w:pPr>
            <w:r>
              <w:t xml:space="preserve">Kostenlos und anonym (Q: BAG)</w:t>
            </w:r>
          </w:p>
        </w:tc>
      </w:tr>
      <w:tr>
        <w:tc>
          <w:tcPr/>
          <w:p>
            <w:pPr>
              <w:pStyle w:val="Compact"/>
            </w:pPr>
            <w:r>
              <w:t xml:space="preserve">3 Ambulant ärztlich/psychotherapeutisch</w:t>
            </w:r>
          </w:p>
        </w:tc>
        <w:tc>
          <w:tcPr/>
          <w:p>
            <w:pPr>
              <w:pStyle w:val="Compact"/>
            </w:pPr>
            <w:r>
              <w:t xml:space="preserve">Komorbidität, Beratung reicht nicht</w:t>
            </w:r>
          </w:p>
        </w:tc>
        <w:tc>
          <w:tcPr/>
          <w:p>
            <w:pPr>
              <w:pStyle w:val="Compact"/>
            </w:pPr>
            <w:r>
              <w:t xml:space="preserve">OKP, Franchise und Selbstbehalt (Q: CSS; BAG-Verweis)</w:t>
            </w:r>
          </w:p>
        </w:tc>
      </w:tr>
      <w:tr>
        <w:tc>
          <w:tcPr/>
          <w:p>
            <w:pPr>
              <w:pStyle w:val="Compact"/>
            </w:pPr>
            <w:r>
              <w:t xml:space="preserve">4 Stationär</w:t>
            </w:r>
          </w:p>
        </w:tc>
        <w:tc>
          <w:tcPr/>
          <w:p>
            <w:pPr>
              <w:pStyle w:val="Compact"/>
            </w:pPr>
            <w:r>
              <w:t xml:space="preserve">Schwere Ausprägung, ambulant reicht nicht, Krise</w:t>
            </w:r>
          </w:p>
        </w:tc>
        <w:tc>
          <w:tcPr/>
          <w:p>
            <w:pPr>
              <w:pStyle w:val="Compact"/>
            </w:pPr>
            <w:r>
              <w:t xml:space="preserve">OKP bei ärztlich-klinisch geleiteter Einrichtung, Kostengutsprache nötig (Q: Basel-Stadt). Kosten des UPK-Angebots auf der Seite nicht genannt</w:t>
            </w:r>
          </w:p>
        </w:tc>
      </w:tr>
      <w:tr>
        <w:tc>
          <w:tcPr/>
          <w:p>
            <w:pPr>
              <w:pStyle w:val="Compact"/>
            </w:pPr>
            <w:r>
              <w:t xml:space="preserve">5 Finanzen, Recht</w:t>
            </w:r>
          </w:p>
        </w:tc>
        <w:tc>
          <w:tcPr/>
          <w:p>
            <w:pPr>
              <w:pStyle w:val="Compact"/>
            </w:pPr>
            <w:r>
              <w:t xml:space="preserve">Schulden, Betreibungen</w:t>
            </w:r>
          </w:p>
        </w:tc>
        <w:tc>
          <w:tcPr/>
          <w:p>
            <w:pPr>
              <w:pStyle w:val="Compact"/>
            </w:pPr>
            <w:r>
              <w:t xml:space="preserve">siehe Angebote unten</w:t>
            </w:r>
          </w:p>
        </w:tc>
      </w:tr>
      <w:tr>
        <w:tc>
          <w:tcPr/>
          <w:p>
            <w:pPr>
              <w:pStyle w:val="Compact"/>
            </w:pPr>
            <w:r>
              <w:t xml:space="preserve">6 Selbsthilfe</w:t>
            </w:r>
          </w:p>
        </w:tc>
        <w:tc>
          <w:tcPr/>
          <w:p>
            <w:pPr>
              <w:pStyle w:val="Compact"/>
            </w:pPr>
            <w:r>
              <w:t xml:space="preserve">Ergänzend, nach Beratung</w:t>
            </w:r>
          </w:p>
        </w:tc>
        <w:tc>
          <w:tcPr/>
          <w:p>
            <w:pPr>
              <w:pStyle w:val="Compact"/>
            </w:pPr>
            <w:r>
              <w:t xml:space="preserve">–</w:t>
            </w:r>
          </w:p>
        </w:tc>
      </w:tr>
      <w:tr>
        <w:tc>
          <w:tcPr/>
          <w:p>
            <w:pPr>
              <w:pStyle w:val="Compact"/>
            </w:pPr>
            <w:r>
              <w:t xml:space="preserve">7 Notfall</w:t>
            </w:r>
          </w:p>
        </w:tc>
        <w:tc>
          <w:tcPr/>
          <w:p>
            <w:pPr>
              <w:pStyle w:val="Compact"/>
            </w:pPr>
            <w:r>
              <w:t xml:space="preserve">Akute Krise</w:t>
            </w:r>
          </w:p>
        </w:tc>
        <w:tc>
          <w:tcPr/>
          <w:p>
            <w:pPr>
              <w:pStyle w:val="Compact"/>
            </w:pPr>
            <w:r>
              <w:t xml:space="preserve">Kap. 13</w:t>
            </w:r>
          </w:p>
        </w:tc>
      </w:tr>
    </w:tbl>
    <w:p>
      <w:pPr>
        <w:pStyle w:val="BodyText"/>
      </w:pPr>
      <w:r>
        <w:rPr>
          <w:b/>
          <w:bCs/>
        </w:rPr>
        <w:t xml:space="preserve">Angebote je Stufe</w:t>
      </w:r>
    </w:p>
    <w:p>
      <w:pPr>
        <w:pStyle w:val="BodyText"/>
      </w:pPr>
      <w:r>
        <w:rPr>
          <w:b/>
          <w:bCs/>
        </w:rPr>
        <w:t xml:space="preserve">Stufe 1 Beratung SDS</w:t>
      </w:r>
    </w:p>
    <w:p>
      <w:pPr>
        <w:pStyle w:val="Compact"/>
        <w:numPr>
          <w:ilvl w:val="0"/>
          <w:numId w:val="1039"/>
        </w:numPr>
      </w:pPr>
      <w:r>
        <w:t xml:space="preserve">Fachstelle Sucht SDS Sarganserland, Ragazerstrasse 11, 7320 Sargans, Tel. 081 725 85 00 (Q: sos-spielsucht.ch Regionalliste SG).</w:t>
      </w:r>
    </w:p>
    <w:p>
      <w:pPr>
        <w:pStyle w:val="Compact"/>
        <w:numPr>
          <w:ilvl w:val="0"/>
          <w:numId w:val="1039"/>
        </w:numPr>
      </w:pPr>
      <w:r>
        <w:t xml:space="preserve">FL-Einwohnende haben direkten Zugang auf Basis von Leistungsvereinbarungen des ASD FL mit SD Werdenberg und SD Sarganserland, auch bei nicht-stoffgebundenen Süchten (Q: ASD FL Jahresbericht 2023).</w:t>
      </w:r>
    </w:p>
    <w:p>
      <w:pPr>
        <w:pStyle w:val="FirstParagraph"/>
      </w:pPr>
      <w:r>
        <w:rPr>
          <w:b/>
          <w:bCs/>
        </w:rPr>
        <w:t xml:space="preserve">Stufe 1b Beratung andere Fachstellen</w:t>
      </w:r>
    </w:p>
    <w:p>
      <w:pPr>
        <w:pStyle w:val="Compact"/>
        <w:numPr>
          <w:ilvl w:val="0"/>
          <w:numId w:val="1040"/>
        </w:numPr>
      </w:pPr>
      <w:r>
        <w:t xml:space="preserve">SD Werdenberg (Glücksspiel), Fichtenweg 10, 9470 Buchs, Tel. 058 228 65 65.</w:t>
      </w:r>
    </w:p>
    <w:p>
      <w:pPr>
        <w:pStyle w:val="Compact"/>
        <w:numPr>
          <w:ilvl w:val="0"/>
          <w:numId w:val="1040"/>
        </w:numPr>
      </w:pPr>
      <w:r>
        <w:t xml:space="preserve">Weitere Suchtfachstellen im Kanton SG, z. B. Suchtfachstelle St. Gallen, Tel. 071 245 05 45 (Q: sos-spielsucht.ch Regionalliste SG).</w:t>
      </w:r>
    </w:p>
    <w:p>
      <w:pPr>
        <w:pStyle w:val="Compact"/>
        <w:numPr>
          <w:ilvl w:val="0"/>
          <w:numId w:val="1040"/>
        </w:numPr>
      </w:pPr>
      <w:r>
        <w:t xml:space="preserve">Verhaltenssucht-Schwerpunkt der Fachstellen: nicht geprüft.</w:t>
      </w:r>
    </w:p>
    <w:p>
      <w:pPr>
        <w:pStyle w:val="FirstParagraph"/>
      </w:pPr>
      <w:r>
        <w:rPr>
          <w:b/>
          <w:bCs/>
        </w:rPr>
        <w:t xml:space="preserve">Stufe 2 Online, anonym</w:t>
      </w:r>
    </w:p>
    <w:p>
      <w:pPr>
        <w:pStyle w:val="Compact"/>
        <w:numPr>
          <w:ilvl w:val="0"/>
          <w:numId w:val="1041"/>
        </w:numPr>
      </w:pPr>
      <w:r>
        <w:t xml:space="preserve">SafeZone.ch: Online-Beratung, Selbsttests, Fragen an Fachpersonen, DE/FR/IT (Q: BAG).</w:t>
      </w:r>
    </w:p>
    <w:p>
      <w:pPr>
        <w:pStyle w:val="Compact"/>
        <w:numPr>
          <w:ilvl w:val="0"/>
          <w:numId w:val="1041"/>
        </w:numPr>
      </w:pPr>
      <w:r>
        <w:t xml:space="preserve">Suchtindex.ch: Verzeichnis spezialisierter Behandlungsangebote (Q: BAG).</w:t>
      </w:r>
    </w:p>
    <w:p>
      <w:pPr>
        <w:pStyle w:val="Compact"/>
        <w:numPr>
          <w:ilvl w:val="0"/>
          <w:numId w:val="1041"/>
        </w:numPr>
      </w:pPr>
      <w:r>
        <w:rPr>
          <w:b/>
          <w:bCs/>
        </w:rPr>
        <w:t xml:space="preserve">Ob SafeZone Verhaltenssüchte abdeckt, ist auf der BAG-Seite nicht bestätigt, vor Verweis klären.</w:t>
      </w:r>
    </w:p>
    <w:p>
      <w:pPr>
        <w:pStyle w:val="FirstParagraph"/>
      </w:pPr>
      <w:r>
        <w:rPr>
          <w:b/>
          <w:bCs/>
        </w:rPr>
        <w:t xml:space="preserve">Stufe 3 Ambulant ärztlich/psychotherapeutisch</w:t>
      </w:r>
    </w:p>
    <w:p>
      <w:pPr>
        <w:pStyle w:val="Compact"/>
        <w:numPr>
          <w:ilvl w:val="0"/>
          <w:numId w:val="1042"/>
        </w:numPr>
      </w:pPr>
      <w:r>
        <w:t xml:space="preserve">Hausärztin oder Hausarzt als Anlaufstelle und Anordnende.</w:t>
      </w:r>
    </w:p>
    <w:p>
      <w:pPr>
        <w:pStyle w:val="Compact"/>
        <w:numPr>
          <w:ilvl w:val="0"/>
          <w:numId w:val="1042"/>
        </w:numPr>
      </w:pPr>
      <w:r>
        <w:t xml:space="preserve">Psychiatrie St.Gallen, Ambulatorium Sargans (Q: Alkohol-Konzept SDS; Comparis-Eintrag).</w:t>
      </w:r>
      <w:r>
        <w:t xml:space="preserve"> </w:t>
      </w:r>
      <w:r>
        <w:rPr>
          <w:b/>
          <w:bCs/>
        </w:rPr>
        <w:t xml:space="preserve">Verhaltenssucht-Kompetenz nicht geprüft.</w:t>
      </w:r>
    </w:p>
    <w:p>
      <w:pPr>
        <w:pStyle w:val="Compact"/>
        <w:numPr>
          <w:ilvl w:val="0"/>
          <w:numId w:val="1042"/>
        </w:numPr>
      </w:pPr>
      <w:r>
        <w:t xml:space="preserve">Psychologische Psychotherapie auf Anordnung.</w:t>
      </w:r>
    </w:p>
    <w:p>
      <w:pPr>
        <w:pStyle w:val="Compact"/>
        <w:numPr>
          <w:ilvl w:val="0"/>
          <w:numId w:val="1042"/>
        </w:numPr>
      </w:pPr>
      <w:r>
        <w:t xml:space="preserve">Ambulante Behandlung Verhaltenssüchte: UPK Basel, Abteilung VSA (Q: UPK Basel). Ausserkantonal: Zuweisung und Kostengutsprache klären.</w:t>
      </w:r>
    </w:p>
    <w:p>
      <w:pPr>
        <w:pStyle w:val="FirstParagraph"/>
      </w:pPr>
      <w:r>
        <w:rPr>
          <w:b/>
          <w:bCs/>
        </w:rPr>
        <w:t xml:space="preserve">Stufe 4 Stationär</w:t>
      </w:r>
    </w:p>
    <w:p>
      <w:pPr>
        <w:pStyle w:val="Compact"/>
        <w:numPr>
          <w:ilvl w:val="0"/>
          <w:numId w:val="1043"/>
        </w:numPr>
      </w:pPr>
      <w:r>
        <w:t xml:space="preserve">UPK Basel, Abteilung VSS: erste rein stationäre Einheit für Verhaltenssüchte der Schweiz, seit 1.7.2018, 12 Betten, mittlere Behandlungsdauer ca. 6 Wochen. Angebot für Glücksspiel, Internet, Kauf- und Sexsucht, für schwere Fälle. Anmeldung über zentrale Aufnahme Erwachsene (24 h): Tel. 061 325 51 00 (Q: UPK Basel).</w:t>
      </w:r>
    </w:p>
    <w:p>
      <w:pPr>
        <w:pStyle w:val="Compact"/>
        <w:numPr>
          <w:ilvl w:val="0"/>
          <w:numId w:val="1043"/>
        </w:numPr>
      </w:pPr>
      <w:r>
        <w:t xml:space="preserve">Chratten Integration (Stiftung Sucht): stationäre, abstinenzorientierte Therapie bei Substanz- oder Verhaltenssucht (Q: Basel-Stadt Adressliste). Standort und Aufnahmekriterien nicht geprüft.</w:t>
      </w:r>
    </w:p>
    <w:p>
      <w:pPr>
        <w:pStyle w:val="Compact"/>
        <w:numPr>
          <w:ilvl w:val="0"/>
          <w:numId w:val="1043"/>
        </w:numPr>
      </w:pPr>
      <w:r>
        <w:t xml:space="preserve">Klinik St. Pirminsberg (Psychiatrie St.Gallen): Verhaltenssucht-Programm nicht geprüft.</w:t>
      </w:r>
    </w:p>
    <w:p>
      <w:pPr>
        <w:pStyle w:val="Compact"/>
        <w:numPr>
          <w:ilvl w:val="0"/>
          <w:numId w:val="1043"/>
        </w:numPr>
      </w:pPr>
      <w:r>
        <w:rPr>
          <w:b/>
          <w:bCs/>
        </w:rPr>
        <w:t xml:space="preserve">In der Ostschweiz wurde in dieser Recherche kein spezifisches stationäres Verhaltenssucht-Angebot gefunden. Das belegt nicht, dass es keines gibt.</w:t>
      </w:r>
    </w:p>
    <w:p>
      <w:pPr>
        <w:pStyle w:val="FirstParagraph"/>
      </w:pPr>
      <w:r>
        <w:rPr>
          <w:b/>
          <w:bCs/>
        </w:rPr>
        <w:t xml:space="preserve">Stufe 5 Finanzen, Recht</w:t>
      </w:r>
    </w:p>
    <w:p>
      <w:pPr>
        <w:pStyle w:val="Compact"/>
        <w:numPr>
          <w:ilvl w:val="0"/>
          <w:numId w:val="1044"/>
        </w:numPr>
      </w:pPr>
      <w:r>
        <w:t xml:space="preserve">SOS Schulden Hotline: 0800 708 708, Mo–Do 10–13 Uhr, anonym (Q: hallo.sg.ch).</w:t>
      </w:r>
    </w:p>
    <w:p>
      <w:pPr>
        <w:pStyle w:val="Compact"/>
        <w:numPr>
          <w:ilvl w:val="0"/>
          <w:numId w:val="1044"/>
        </w:numPr>
      </w:pPr>
      <w:r>
        <w:t xml:space="preserve">Caritas St.Gallen, Schuldenberatung, Zürcherstrasse 45, 9013 St.Gallen, Tel. 071 577 50 10, kostenlos (Q: hallo.sg.ch; sos-spielsucht.ch). Standort im Sarganserland: [Lücke].</w:t>
      </w:r>
    </w:p>
    <w:p>
      <w:pPr>
        <w:pStyle w:val="Compact"/>
        <w:numPr>
          <w:ilvl w:val="0"/>
          <w:numId w:val="1044"/>
        </w:numPr>
      </w:pPr>
      <w:r>
        <w:t xml:space="preserve">St.Galler Anwaltsverband: Rechtsberatung, Termine je Region (Q: sos-spielsucht.ch).</w:t>
      </w:r>
    </w:p>
    <w:p>
      <w:pPr>
        <w:pStyle w:val="Compact"/>
        <w:numPr>
          <w:ilvl w:val="0"/>
          <w:numId w:val="1044"/>
        </w:numPr>
      </w:pPr>
      <w:r>
        <w:t xml:space="preserve">FL: Schuldenberatung BSB Hand in Hand, Tel. +423 384 59 90 (Q: Landespolizei FL, Hilfsangebote). Kosten: [Lücke].</w:t>
      </w:r>
    </w:p>
    <w:p>
      <w:pPr>
        <w:pStyle w:val="FirstParagraph"/>
      </w:pPr>
      <w:r>
        <w:rPr>
          <w:b/>
          <w:bCs/>
        </w:rPr>
        <w:t xml:space="preserve">Stufe 6 Selbsthilfe</w:t>
      </w:r>
    </w:p>
    <w:p>
      <w:pPr>
        <w:pStyle w:val="Compact"/>
        <w:numPr>
          <w:ilvl w:val="0"/>
          <w:numId w:val="1045"/>
        </w:numPr>
      </w:pPr>
      <w:r>
        <w:t xml:space="preserve">Für Verhaltenssüchte in der Region nichts Belegtes gefunden. Die Basler Adressliste nennt nur Gruppen für Alkohol [Lücke].</w:t>
      </w:r>
    </w:p>
    <w:p>
      <w:pPr>
        <w:pStyle w:val="Compact"/>
        <w:numPr>
          <w:ilvl w:val="0"/>
          <w:numId w:val="1045"/>
        </w:numPr>
      </w:pPr>
      <w:r>
        <w:t xml:space="preserve">Bekannte Gruppen (z. B. Anonyme Sexaholiker) [eigenes Wissen, ungeprüft].</w:t>
      </w:r>
      <w:r>
        <w:t xml:space="preserve"> </w:t>
      </w:r>
      <w:r>
        <w:t xml:space="preserve">Stand: 21.10.2026. Alle Angaben (Telefon, Aufnahmekriterien, Kosten) vor Weitergabe an Klientinnen und Klienten prüfen.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shd w:val="clear" w:color="auto" w:fill="1A2B4C"/>
          </w:tcPr>
          <w:tcPr/>
          <w:p>
            <w:pPr>
              <w:pStyle w:val="Compact"/>
            </w:pPr>
            <w:r>
              <w:rPr>
                <w:b/>
                <w:color w:val="FFFFFF"/>
                <w:b/>
                <w:color w:val="FFFFFF"/>
              </w:rPr>
              <w:t xml:space="preserve">Stufe</w:t>
            </w:r>
          </w:p>
        </w:tc>
        <w:tc>
          <w:tcPr>
            <w:shd w:val="clear" w:color="auto" w:fill="1A2B4C"/>
          </w:tcPr>
          <w:tcPr/>
          <w:p>
            <w:pPr>
              <w:pStyle w:val="Compact"/>
            </w:pPr>
            <w:r>
              <w:rPr>
                <w:b/>
                <w:color w:val="FFFFFF"/>
                <w:b/>
                <w:color w:val="FFFFFF"/>
              </w:rPr>
              <w:t xml:space="preserve">Wann</w:t>
            </w:r>
          </w:p>
        </w:tc>
        <w:tc>
          <w:tcPr>
            <w:shd w:val="clear" w:color="auto" w:fill="1A2B4C"/>
          </w:tcPr>
          <w:tcPr/>
          <w:p>
            <w:pPr>
              <w:pStyle w:val="Compact"/>
            </w:pPr>
            <w:r>
              <w:rPr>
                <w:b/>
                <w:color w:val="FFFFFF"/>
                <w:b/>
                <w:color w:val="FFFFFF"/>
              </w:rPr>
              <w:t xml:space="preserve">Angebot</w:t>
            </w:r>
          </w:p>
        </w:tc>
        <w:tc>
          <w:tcPr>
            <w:shd w:val="clear" w:color="auto" w:fill="1A2B4C"/>
          </w:tcPr>
          <w:tcPr/>
          <w:p>
            <w:pPr>
              <w:pStyle w:val="Compact"/>
            </w:pPr>
            <w:r>
              <w:rPr>
                <w:b/>
                <w:color w:val="FFFFFF"/>
                <w:b/>
                <w:color w:val="FFFFFF"/>
              </w:rPr>
              <w:t xml:space="preserve">Kosten</w:t>
            </w:r>
          </w:p>
        </w:tc>
      </w:tr>
      <w:tr>
        <w:tc>
          <w:tcPr/>
          <w:p>
            <w:pPr>
              <w:pStyle w:val="Compact"/>
            </w:pPr>
            <w:r>
              <w:t xml:space="preserve">1 Beratung SDS</w:t>
            </w:r>
          </w:p>
        </w:tc>
        <w:tc>
          <w:tcPr/>
          <w:p>
            <w:pPr>
              <w:pStyle w:val="Compact"/>
            </w:pPr>
            <w:r>
              <w:t xml:space="preserve">Leichte bis mittlere Ausprägung, ambulante Begleitung ausreichend</w:t>
            </w:r>
          </w:p>
        </w:tc>
        <w:tc>
          <w:tcPr/>
          <w:p>
            <w:pPr>
              <w:pStyle w:val="Compact"/>
            </w:pPr>
            <w:r>
              <w:t xml:space="preserve">Fachstelle Sucht SDS Sarganserland, Ragazerstrasse 11, 7320 Sargans, Tel. 081 725 85 00 (Q: sos-spielsucht.ch Regionalliste SG). FL-Einwohnende haben direkten Zugang auf Basis von Leistungsvereinbarungen des ASD FL mit SD Werdenberg und SD Sarganserland, auch bei nicht-stoffgebundenen Süchten (Q: ASD FL Jahresbericht 2023)</w:t>
            </w:r>
          </w:p>
        </w:tc>
        <w:tc>
          <w:tcPr/>
          <w:p>
            <w:pPr>
              <w:pStyle w:val="Compact"/>
            </w:pPr>
            <w:r>
              <w:t xml:space="preserve">Kostenlos (Auftrag)</w:t>
            </w:r>
          </w:p>
        </w:tc>
      </w:tr>
      <w:tr>
        <w:tc>
          <w:tcPr/>
          <w:p>
            <w:pPr>
              <w:pStyle w:val="Compact"/>
            </w:pPr>
            <w:r>
              <w:t xml:space="preserve">1b Beratung andere Fachstellen</w:t>
            </w:r>
          </w:p>
        </w:tc>
        <w:tc>
          <w:tcPr/>
          <w:p>
            <w:pPr>
              <w:pStyle w:val="Compact"/>
            </w:pPr>
            <w:r>
              <w:t xml:space="preserve">Wohnort ausserhalb, Glücksspiel</w:t>
            </w:r>
          </w:p>
        </w:tc>
        <w:tc>
          <w:tcPr/>
          <w:p>
            <w:pPr>
              <w:pStyle w:val="Compact"/>
            </w:pPr>
            <w:r>
              <w:t xml:space="preserve">SD Werdenberg (Glücksspiel), Fichtenweg 10, 9470 Buchs, Tel. 058 228 65 65. Weitere Suchtfachstellen im Kanton SG, z. B. Suchtfachstelle St. Gallen, Tel. 071 245 05 45 (Q: sos-spielsucht.ch Regionalliste SG). Verhaltenssucht-Schwerpunkt der Fachstellen: nicht geprüft</w:t>
            </w:r>
          </w:p>
        </w:tc>
        <w:tc>
          <w:tcPr/>
          <w:p>
            <w:pPr>
              <w:pStyle w:val="Compact"/>
            </w:pPr>
            <w:r>
              <w:t xml:space="preserve">Kostenlos laut Auftrag nur für SDS-Einzugsgebiet und FL, andere Stellen: [Lücke]</w:t>
            </w:r>
          </w:p>
        </w:tc>
      </w:tr>
      <w:tr>
        <w:tc>
          <w:tcPr/>
          <w:p>
            <w:pPr>
              <w:pStyle w:val="Compact"/>
            </w:pPr>
            <w:r>
              <w:t xml:space="preserve">2 Online, anonym</w:t>
            </w:r>
          </w:p>
        </w:tc>
        <w:tc>
          <w:tcPr/>
          <w:p>
            <w:pPr>
              <w:pStyle w:val="Compact"/>
            </w:pPr>
            <w:r>
              <w:t xml:space="preserve">Niederschwelliger Erstkontakt, Scham, Distanz</w:t>
            </w:r>
          </w:p>
        </w:tc>
        <w:tc>
          <w:tcPr/>
          <w:p>
            <w:pPr>
              <w:pStyle w:val="Compact"/>
            </w:pPr>
            <w:r>
              <w:t xml:space="preserve">SafeZone.ch: Online-Beratung, Selbsttests, Fragen an Fachpersonen, DE/FR/IT (Q: BAG). Suchtindex.ch: Verzeichnis spezialisierter Behandlungsangebote (Q: BAG).</w:t>
            </w:r>
            <w:r>
              <w:t xml:space="preserve"> </w:t>
            </w:r>
            <w:r>
              <w:rPr>
                <w:b/>
                <w:bCs/>
              </w:rPr>
              <w:t xml:space="preserve">Ob SafeZone Verhaltenssüchte abdeckt, ist auf der BAG-Seite nicht bestätigt, vor Verweis klären</w:t>
            </w:r>
          </w:p>
        </w:tc>
        <w:tc>
          <w:tcPr/>
          <w:p>
            <w:pPr>
              <w:pStyle w:val="Compact"/>
            </w:pPr>
            <w:r>
              <w:t xml:space="preserve">Kostenlos und anonym (Q: BAG)</w:t>
            </w:r>
          </w:p>
        </w:tc>
      </w:tr>
      <w:tr>
        <w:tc>
          <w:tcPr/>
          <w:p>
            <w:pPr>
              <w:pStyle w:val="Compact"/>
            </w:pPr>
            <w:r>
              <w:t xml:space="preserve">3 Ambulant ärztlich/psychotherapeutisch</w:t>
            </w:r>
          </w:p>
        </w:tc>
        <w:tc>
          <w:tcPr/>
          <w:p>
            <w:pPr>
              <w:pStyle w:val="Compact"/>
            </w:pPr>
            <w:r>
              <w:t xml:space="preserve">Komorbidität, Beratung reicht nicht</w:t>
            </w:r>
          </w:p>
        </w:tc>
        <w:tc>
          <w:tcPr/>
          <w:p>
            <w:pPr>
              <w:pStyle w:val="Compact"/>
            </w:pPr>
            <w:r>
              <w:t xml:space="preserve">Hausärztin oder Hausarzt als Anlaufstelle und Anordnende. Psychiatrie St.Gallen, Ambulatorium Sargans (Q: Alkohol-Konzept SDS; Comparis-Eintrag).</w:t>
            </w:r>
            <w:r>
              <w:t xml:space="preserve"> </w:t>
            </w:r>
            <w:r>
              <w:rPr>
                <w:b/>
                <w:bCs/>
              </w:rPr>
              <w:t xml:space="preserve">Verhaltenssucht-Kompetenz nicht geprüft.</w:t>
            </w:r>
            <w:r>
              <w:t xml:space="preserve"> </w:t>
            </w:r>
            <w:r>
              <w:t xml:space="preserve">Psychologische Psychotherapie auf Anordnung. Ambulante Behandlung Verhaltenssüchte: UPK Basel, Abteilung VSA (Q: UPK Basel; ausserkantonal, Zuweisung und Kostengutsprache klären)</w:t>
            </w:r>
          </w:p>
        </w:tc>
        <w:tc>
          <w:tcPr/>
          <w:p>
            <w:pPr>
              <w:pStyle w:val="Compact"/>
            </w:pPr>
            <w:r>
              <w:t xml:space="preserve">OKP, Franchise und Selbstbehalt (Q: CSS; BAG-Verweis)</w:t>
            </w:r>
          </w:p>
        </w:tc>
      </w:tr>
      <w:tr>
        <w:tc>
          <w:tcPr/>
          <w:p>
            <w:pPr>
              <w:pStyle w:val="Compact"/>
            </w:pPr>
            <w:r>
              <w:t xml:space="preserve">4 Stationär</w:t>
            </w:r>
          </w:p>
        </w:tc>
        <w:tc>
          <w:tcPr/>
          <w:p>
            <w:pPr>
              <w:pStyle w:val="Compact"/>
            </w:pPr>
            <w:r>
              <w:t xml:space="preserve">Schwere Ausprägung, ambulant reicht nicht, Krise</w:t>
            </w:r>
          </w:p>
        </w:tc>
        <w:tc>
          <w:tcPr/>
          <w:p>
            <w:pPr>
              <w:pStyle w:val="Compact"/>
            </w:pPr>
            <w:r>
              <w:t xml:space="preserve">UPK Basel, Abteilung VSS: erste rein stationäre Einheit für Verhaltenssüchte der Schweiz, seit 1.7.2018, 12 Betten, mittlere Behandlungsdauer ca. 6 Wochen, für Glücksspiel, Internet, Kauf- und Sexsucht, für schwere Fälle. Anmeldung über zentrale Aufnahme Erwachsene (24 h): Tel. 061 325 51 00 (Q: UPK Basel). Chratten Integration (Stiftung Sucht): stationäre, abstinenzorientierte Therapie bei Substanz- oder Verhaltenssucht (Q: Basel-Stadt Adressliste; Standort und Aufnahmekriterien nicht geprüft). Klinik St. Pirminsberg (Psychiatrie St.Gallen): Verhaltenssucht-Programm nicht geprüft.</w:t>
            </w:r>
            <w:r>
              <w:t xml:space="preserve"> </w:t>
            </w:r>
            <w:r>
              <w:rPr>
                <w:b/>
                <w:bCs/>
              </w:rPr>
              <w:t xml:space="preserve">In der Ostschweiz wurde in dieser Recherche kein spezifisches stationäres Verhaltenssucht-Angebot gefunden. Das belegt nicht, dass es keines gibt</w:t>
            </w:r>
          </w:p>
        </w:tc>
        <w:tc>
          <w:tcPr/>
          <w:p>
            <w:pPr>
              <w:pStyle w:val="Compact"/>
            </w:pPr>
            <w:r>
              <w:t xml:space="preserve">OKP bei ärztlich-klinisch geleiteter Einrichtung, Kostengutsprache nötig (Q: Basel-Stadt). Kosten des UPK-Angebots auf der Seite nicht genannt</w:t>
            </w:r>
          </w:p>
        </w:tc>
      </w:tr>
      <w:tr>
        <w:tc>
          <w:tcPr/>
          <w:p>
            <w:pPr>
              <w:pStyle w:val="Compact"/>
            </w:pPr>
            <w:r>
              <w:t xml:space="preserve">5 Finanzen, Recht</w:t>
            </w:r>
          </w:p>
        </w:tc>
        <w:tc>
          <w:tcPr/>
          <w:p>
            <w:pPr>
              <w:pStyle w:val="Compact"/>
            </w:pPr>
            <w:r>
              <w:t xml:space="preserve">Schulden, Betreibungen</w:t>
            </w:r>
          </w:p>
        </w:tc>
        <w:tc>
          <w:tcPr/>
          <w:p>
            <w:pPr>
              <w:pStyle w:val="Compact"/>
            </w:pPr>
            <w:r>
              <w:t xml:space="preserve">SOS Schulden Hotline: 0800 708 708, Mo–Do 10–13 Uhr, anonym (Q: hallo.sg.ch). Caritas St.Gallen, Schuldenberatung, Zürcherstrasse 45, 9013 St.Gallen, Tel. 071 577 50 10, kostenlos (Q: hallo.sg.ch; sos-spielsucht.ch). Standort im Sarganserland: [Lücke]. St.Galler Anwaltsverband: Rechtsberatung, Termine je Region (Q: sos-spielsucht.ch). FL: Schuldenberatung BSB Hand in Hand, Tel. +423 384 59 90 (Q: Landespolizei FL, Hilfsangebote); Kosten: [Lücke]</w:t>
            </w:r>
          </w:p>
        </w:tc>
        <w:tc>
          <w:tcPr/>
          <w:p>
            <w:pPr>
              <w:pStyle w:val="Compact"/>
            </w:pPr>
            <w:r>
              <w:t xml:space="preserve">siehe links</w:t>
            </w:r>
          </w:p>
        </w:tc>
      </w:tr>
      <w:tr>
        <w:tc>
          <w:tcPr/>
          <w:p>
            <w:pPr>
              <w:pStyle w:val="Compact"/>
            </w:pPr>
            <w:r>
              <w:t xml:space="preserve">6 Selbsthilfe</w:t>
            </w:r>
          </w:p>
        </w:tc>
        <w:tc>
          <w:tcPr/>
          <w:p>
            <w:pPr>
              <w:pStyle w:val="Compact"/>
            </w:pPr>
            <w:r>
              <w:t xml:space="preserve">Ergänzend, nach Beratung</w:t>
            </w:r>
          </w:p>
        </w:tc>
        <w:tc>
          <w:tcPr/>
          <w:p>
            <w:pPr>
              <w:pStyle w:val="Compact"/>
            </w:pPr>
            <w:r>
              <w:t xml:space="preserve">Für Verhaltenssüchte in der Region nichts Belegtes gefunden. Die Basler Adressliste nennt nur Gruppen für Alkohol [Lücke]. Bekannte Gruppen (z. B. Anonyme Sexaholiker) [eigenes Wissen, ungeprüft]</w:t>
            </w:r>
          </w:p>
        </w:tc>
        <w:tc>
          <w:tcPr/>
          <w:p>
            <w:pPr>
              <w:pStyle w:val="Compact"/>
            </w:pPr>
            <w:r>
              <w:t xml:space="preserve">–</w:t>
            </w:r>
          </w:p>
        </w:tc>
      </w:tr>
      <w:tr>
        <w:tc>
          <w:tcPr/>
          <w:p>
            <w:pPr>
              <w:pStyle w:val="Compact"/>
            </w:pPr>
            <w:r>
              <w:t xml:space="preserve">7 Notfall</w:t>
            </w:r>
          </w:p>
        </w:tc>
        <w:tc>
          <w:tcPr/>
          <w:p>
            <w:pPr>
              <w:pStyle w:val="Compact"/>
            </w:pPr>
            <w:r>
              <w:t xml:space="preserve">Akute Krise</w:t>
            </w:r>
          </w:p>
        </w:tc>
        <w:tc>
          <w:tcPr/>
          <w:p>
            <w:pPr>
              <w:pStyle w:val="Compact"/>
            </w:pPr>
            <w:r>
              <w:t xml:space="preserve">Kap. 13</w:t>
            </w:r>
          </w:p>
        </w:tc>
        <w:tc>
          <w:tcPr/>
          <w:p>
            <w:pPr>
              <w:pStyle w:val="Compact"/>
            </w:pPr>
            <w:r>
              <w:t xml:space="preserve">–</w:t>
            </w:r>
          </w:p>
        </w:tc>
      </w:tr>
    </w:tbl>
    <w:p>
      <w:pPr>
        <w:pStyle w:val="BodyText"/>
      </w:pPr>
      <w:r>
        <w:t xml:space="preserve">Die Angebotsliste ist mit Prüfdatum zu führen (Kap. 16). Suchtindex.ch (Infodrog) ist die nationale Referenz für substanzungebundene Süchte (Q: BAG; Kanton Aargau).</w:t>
      </w:r>
    </w:p>
    <w:bookmarkEnd w:id="82"/>
    <w:bookmarkStart w:id="83" w:name="X5bc7b8e64ab6076b726dd8446e7222892d2cfca"/>
    <w:p>
      <w:pPr>
        <w:pStyle w:val="Heading4"/>
      </w:pPr>
      <w:r>
        <w:t xml:space="preserve">12.2 Kosten im Überblick</w:t>
      </w:r>
    </w:p>
    <w:p>
      <w:pPr>
        <w:pStyle w:val="Compact"/>
        <w:numPr>
          <w:ilvl w:val="0"/>
          <w:numId w:val="1046"/>
        </w:numPr>
      </w:pPr>
      <w:r>
        <w:rPr>
          <w:b/>
          <w:bCs/>
        </w:rPr>
        <w:t xml:space="preserve">Beratung SDS (CH und FL):</w:t>
      </w:r>
      <w:r>
        <w:t xml:space="preserve"> </w:t>
      </w:r>
      <w:r>
        <w:t xml:space="preserve">kostenlos. Beleg: Auftrag; ASD FL Jahresbericht 2023 (Zugang, Kosten für Klienten dort nicht genannt).</w:t>
      </w:r>
    </w:p>
    <w:p>
      <w:pPr>
        <w:pStyle w:val="Compact"/>
        <w:numPr>
          <w:ilvl w:val="0"/>
          <w:numId w:val="1046"/>
        </w:numPr>
      </w:pPr>
      <w:r>
        <w:rPr>
          <w:b/>
          <w:bCs/>
        </w:rPr>
        <w:t xml:space="preserve">SafeZone.ch:</w:t>
      </w:r>
      <w:r>
        <w:t xml:space="preserve"> </w:t>
      </w:r>
      <w:r>
        <w:t xml:space="preserve">kostenlos, anonym. Beleg: Q: BAG.</w:t>
      </w:r>
    </w:p>
    <w:p>
      <w:pPr>
        <w:pStyle w:val="Compact"/>
        <w:numPr>
          <w:ilvl w:val="0"/>
          <w:numId w:val="1046"/>
        </w:numPr>
      </w:pPr>
      <w:r>
        <w:rPr>
          <w:b/>
          <w:bCs/>
        </w:rPr>
        <w:t xml:space="preserve">Hausärztliche Abklärung:</w:t>
      </w:r>
      <w:r>
        <w:t xml:space="preserve"> </w:t>
      </w:r>
      <w:r>
        <w:t xml:space="preserve">OKP, Franchise/Selbstbehalt. Beleg: [eigenes Wissen].</w:t>
      </w:r>
    </w:p>
    <w:p>
      <w:pPr>
        <w:pStyle w:val="Compact"/>
        <w:numPr>
          <w:ilvl w:val="0"/>
          <w:numId w:val="1046"/>
        </w:numPr>
      </w:pPr>
      <w:r>
        <w:rPr>
          <w:b/>
          <w:bCs/>
        </w:rPr>
        <w:t xml:space="preserve">Psychologische Psychotherapie:</w:t>
      </w:r>
      <w:r>
        <w:t xml:space="preserve"> </w:t>
      </w:r>
      <w:r>
        <w:t xml:space="preserve">OKP im Anordnungsmodell seit 1.7.2022 auf ärztliche Anordnung. Beleg: Q: CSS; KVG.org.</w:t>
      </w:r>
    </w:p>
    <w:p>
      <w:pPr>
        <w:pStyle w:val="Compact"/>
        <w:numPr>
          <w:ilvl w:val="1"/>
          <w:numId w:val="1047"/>
        </w:numPr>
      </w:pPr>
      <w:r>
        <w:t xml:space="preserve">Pro Anordnung höchstens 15 Sitzungen, bei Krisenintervention oder Kurztherapie 10. Danach Austausch Anordnende/Psychotherapeutin.</w:t>
      </w:r>
    </w:p>
    <w:p>
      <w:pPr>
        <w:pStyle w:val="Compact"/>
        <w:numPr>
          <w:ilvl w:val="1"/>
          <w:numId w:val="1047"/>
        </w:numPr>
      </w:pPr>
      <w:r>
        <w:t xml:space="preserve">Ab 30 Sitzungen Fallbeurteilung durch den Vertrauensarzt der Versicherung.</w:t>
      </w:r>
    </w:p>
    <w:p>
      <w:pPr>
        <w:pStyle w:val="Compact"/>
        <w:numPr>
          <w:ilvl w:val="1"/>
          <w:numId w:val="1047"/>
        </w:numPr>
      </w:pPr>
      <w:r>
        <w:t xml:space="preserve">Franchise und Selbstbehalt fallen an.</w:t>
      </w:r>
    </w:p>
    <w:p>
      <w:pPr>
        <w:pStyle w:val="Compact"/>
        <w:numPr>
          <w:ilvl w:val="0"/>
          <w:numId w:val="1046"/>
        </w:numPr>
      </w:pPr>
      <w:r>
        <w:rPr>
          <w:b/>
          <w:bCs/>
        </w:rPr>
        <w:t xml:space="preserve">Stationär:</w:t>
      </w:r>
      <w:r>
        <w:t xml:space="preserve"> </w:t>
      </w:r>
      <w:r>
        <w:t xml:space="preserve">OKP bei ärztlich-klinisch geleiteter Einrichtung, Kostengutsprache. Leistungen sind unabhängig von der ICD-11-Aufnahme vergütbar, wenn medizinische Behandlungsbedürftigkeit besteht. Beleg: Q: Basel-Stadt; NZZ am Sonntag.</w:t>
      </w:r>
    </w:p>
    <w:p>
      <w:pPr>
        <w:pStyle w:val="Compact"/>
        <w:numPr>
          <w:ilvl w:val="0"/>
          <w:numId w:val="1046"/>
        </w:numPr>
      </w:pPr>
      <w:r>
        <w:rPr>
          <w:b/>
          <w:bCs/>
        </w:rPr>
        <w:t xml:space="preserve">Schuldenberatung Caritas SG:</w:t>
      </w:r>
      <w:r>
        <w:t xml:space="preserve"> </w:t>
      </w:r>
      <w:r>
        <w:t xml:space="preserve">kostenlos. Beleg: Q: hallo.sg.ch.</w:t>
      </w:r>
    </w:p>
    <w:p>
      <w:pPr>
        <w:pStyle w:val="Compact"/>
        <w:numPr>
          <w:ilvl w:val="0"/>
          <w:numId w:val="1046"/>
        </w:numPr>
      </w:pPr>
      <w:r>
        <w:rPr>
          <w:b/>
          <w:bCs/>
        </w:rPr>
        <w:t xml:space="preserve">Selbsthilfe:</w:t>
      </w:r>
      <w:r>
        <w:t xml:space="preserve"> </w:t>
      </w:r>
      <w:r>
        <w:t xml:space="preserve">nicht geprüft. Beleg: [Lücke].</w:t>
      </w:r>
    </w:p>
    <w:p>
      <w:pPr>
        <w:pStyle w:val="Compact"/>
        <w:numPr>
          <w:ilvl w:val="0"/>
          <w:numId w:val="1046"/>
        </w:numPr>
      </w:pPr>
      <w:r>
        <w:rPr>
          <w:b/>
          <w:bCs/>
        </w:rPr>
        <w:t xml:space="preserve">Therapie und Klinik für FL-Versicherte:</w:t>
      </w:r>
      <w:r>
        <w:t xml:space="preserve"> </w:t>
      </w:r>
      <w:r>
        <w:t xml:space="preserve">Kostenübernahme durch Krankenkassen FL und Landesbeiträge nicht geklärt. Beleg: [Lücke]. Klärung über ASD FL, Tel. +423 236 72 72.</w:t>
      </w:r>
    </w:p>
    <w:bookmarkEnd w:id="83"/>
    <w:bookmarkStart w:id="84" w:name="Xab9243aa1a5c0ce44b8702d208b73c732ee0bd2"/>
    <w:p>
      <w:pPr>
        <w:pStyle w:val="Heading4"/>
      </w:pPr>
      <w:r>
        <w:t xml:space="preserve">12.3 Triage-Entscheidungsbaum</w:t>
      </w:r>
    </w:p>
    <w:p>
      <w:pPr>
        <w:pStyle w:val="FirstParagraph"/>
      </w:pPr>
      <w:r>
        <w:t xml:space="preserve">Grafik G7:</w:t>
      </w:r>
    </w:p>
    <w:p>
      <w:pPr>
        <w:pStyle w:val="SourceCode"/>
      </w:pPr>
      <w:r>
        <w:rPr>
          <w:rStyle w:val="VerbatimChar"/>
        </w:rPr>
        <w:t xml:space="preserve">flowchart TD</w:t>
      </w:r>
      <w:r>
        <w:br/>
      </w:r>
      <w:r>
        <w:rPr>
          <w:rStyle w:val="VerbatimChar"/>
        </w:rPr>
        <w:t xml:space="preserve">    A[Erstkontakt] --&gt; B{Akute Krise oder Suizidalität?}</w:t>
      </w:r>
      <w:r>
        <w:br/>
      </w:r>
      <w:r>
        <w:rPr>
          <w:rStyle w:val="VerbatimChar"/>
        </w:rPr>
        <w:t xml:space="preserve">    B --&gt;|ja| K[Krisenprozedere Kap. 13]</w:t>
      </w:r>
      <w:r>
        <w:br/>
      </w:r>
      <w:r>
        <w:rPr>
          <w:rStyle w:val="VerbatimChar"/>
        </w:rPr>
        <w:t xml:space="preserve">    B --&gt;|nein| C{Im Geltungsbereich?}</w:t>
      </w:r>
      <w:r>
        <w:br/>
      </w:r>
      <w:r>
        <w:rPr>
          <w:rStyle w:val="VerbatimChar"/>
        </w:rPr>
        <w:t xml:space="preserve">    C --&gt;|Glücksspiel| D[SD Werdenberg]</w:t>
      </w:r>
      <w:r>
        <w:br/>
      </w:r>
      <w:r>
        <w:rPr>
          <w:rStyle w:val="VerbatimChar"/>
        </w:rPr>
        <w:t xml:space="preserve">    C --&gt;|Mediensucht| E[Leitfaden Mediensucht]</w:t>
      </w:r>
      <w:r>
        <w:br/>
      </w:r>
      <w:r>
        <w:rPr>
          <w:rStyle w:val="VerbatimChar"/>
        </w:rPr>
        <w:t xml:space="preserve">    C --&gt;|ja| F[Beratung SDS Schritt 1-5]</w:t>
      </w:r>
      <w:r>
        <w:br/>
      </w:r>
      <w:r>
        <w:rPr>
          <w:rStyle w:val="VerbatimChar"/>
        </w:rPr>
        <w:t xml:space="preserve">    F --&gt; G{Schulden?}</w:t>
      </w:r>
      <w:r>
        <w:br/>
      </w:r>
      <w:r>
        <w:rPr>
          <w:rStyle w:val="VerbatimChar"/>
        </w:rPr>
        <w:t xml:space="preserve">    G --&gt;|ja| H[Schuldenberatung Caritas, SOS Schulden, FL: BSB]</w:t>
      </w:r>
      <w:r>
        <w:br/>
      </w:r>
      <w:r>
        <w:rPr>
          <w:rStyle w:val="VerbatimChar"/>
        </w:rPr>
        <w:t xml:space="preserve">    G --&gt;|nein| I{Triage-Signal Kap. 6.2?}</w:t>
      </w:r>
      <w:r>
        <w:br/>
      </w:r>
      <w:r>
        <w:rPr>
          <w:rStyle w:val="VerbatimChar"/>
        </w:rPr>
        <w:t xml:space="preserve">    H --&gt; I</w:t>
      </w:r>
      <w:r>
        <w:br/>
      </w:r>
      <w:r>
        <w:rPr>
          <w:rStyle w:val="VerbatimChar"/>
        </w:rPr>
        <w:t xml:space="preserve">    I --&gt;|Komorbidität, Therapiewunsch| J[Hausarzt: Abklärung und Anordnung Psychotherapie]</w:t>
      </w:r>
      <w:r>
        <w:br/>
      </w:r>
      <w:r>
        <w:rPr>
          <w:rStyle w:val="VerbatimChar"/>
        </w:rPr>
        <w:t xml:space="preserve">    I --&gt;|Ziele trotz Mitarbeit nicht erreicht| L[Team-Triage]</w:t>
      </w:r>
      <w:r>
        <w:br/>
      </w:r>
      <w:r>
        <w:rPr>
          <w:rStyle w:val="VerbatimChar"/>
        </w:rPr>
        <w:t xml:space="preserve">    L --&gt; J</w:t>
      </w:r>
      <w:r>
        <w:br/>
      </w:r>
      <w:r>
        <w:rPr>
          <w:rStyle w:val="VerbatimChar"/>
        </w:rPr>
        <w:t xml:space="preserve">    J --&gt; M{Ambulant ausreichend?}</w:t>
      </w:r>
      <w:r>
        <w:br/>
      </w:r>
      <w:r>
        <w:rPr>
          <w:rStyle w:val="VerbatimChar"/>
        </w:rPr>
        <w:t xml:space="preserve">    M --&gt;|nein, schwer| N[Stationär: UPK Basel VSS, Kostengutsprache]</w:t>
      </w:r>
      <w:r>
        <w:br/>
      </w:r>
      <w:r>
        <w:rPr>
          <w:rStyle w:val="VerbatimChar"/>
        </w:rPr>
        <w:t xml:space="preserve">    M --&gt;|ja| O[Ambulant, Beratung begleitend]</w:t>
      </w:r>
      <w:r>
        <w:br/>
      </w:r>
      <w:r>
        <w:rPr>
          <w:rStyle w:val="VerbatimChar"/>
        </w:rPr>
        <w:t xml:space="preserve">    I --&gt;|nein| P[Beratung fortsetzen, Katamnese 3 Monate]</w:t>
      </w:r>
    </w:p>
    <w:p>
      <w:pPr>
        <w:pStyle w:val="FirstParagraph"/>
      </w:pPr>
      <w:r>
        <w:t xml:space="preserve">Scham und Distanz: SafeZone.ch kann als niederschwelliger Einstieg dienen. Angehörige und Arbeitgebende: Kap. 10 und 11.</w:t>
      </w:r>
    </w:p>
    <w:bookmarkEnd w:id="84"/>
    <w:bookmarkStart w:id="85" w:name="X97aa24607df67845a338f83a15c22fc236376df"/>
    <w:p>
      <w:pPr>
        <w:pStyle w:val="Heading4"/>
      </w:pPr>
      <w:r>
        <w:t xml:space="preserve">12.4 Zusammenarbeit mit Dritten</w:t>
      </w:r>
    </w:p>
    <w:p>
      <w:pPr>
        <w:pStyle w:val="FirstParagraph"/>
      </w:pPr>
      <w:r>
        <w:t xml:space="preserve">[Vorschlag]</w:t>
      </w:r>
    </w:p>
    <w:p>
      <w:pPr>
        <w:pStyle w:val="Compact"/>
        <w:numPr>
          <w:ilvl w:val="0"/>
          <w:numId w:val="1048"/>
        </w:numPr>
      </w:pPr>
      <w:r>
        <w:t xml:space="preserve">Hausärztliche Rückmeldung nur mit Einwilligung der Klientin oder des Klienten.</w:t>
      </w:r>
    </w:p>
    <w:p>
      <w:pPr>
        <w:pStyle w:val="Compact"/>
        <w:numPr>
          <w:ilvl w:val="0"/>
          <w:numId w:val="1048"/>
        </w:numPr>
      </w:pPr>
      <w:r>
        <w:t xml:space="preserve">Bei Zuweisung: Übergabe mit Kurzbericht (Anliegen, Verlauf, Triage-Grund), Einwilligung dokumentieren.</w:t>
      </w:r>
    </w:p>
    <w:p>
      <w:pPr>
        <w:pStyle w:val="Compact"/>
        <w:numPr>
          <w:ilvl w:val="0"/>
          <w:numId w:val="1048"/>
        </w:numPr>
      </w:pPr>
      <w:r>
        <w:t xml:space="preserve">Intervision und Fallbesprechung bei Triage-Unsicherheit.</w:t>
      </w:r>
    </w:p>
    <w:p>
      <w:r>
        <w:pict>
          <v:rect style="width:0;height:1.5pt" o:hralign="center" o:hrstd="t" o:hr="t"/>
        </w:pict>
      </w:r>
    </w:p>
    <w:bookmarkEnd w:id="85"/>
    <w:bookmarkEnd w:id="86"/>
    <w:bookmarkStart w:id="89" w:name="X9684b28fde4a140fff6e828539fdda1c2cc24c8"/>
    <w:p>
      <w:pPr>
        <w:pStyle w:val="Heading3"/>
      </w:pPr>
      <w:r>
        <w:t xml:space="preserve">13. Krisen und Notfälle</w:t>
      </w:r>
    </w:p>
    <w:bookmarkStart w:id="87" w:name="X894ca9e2b5609127dcd433a5b25a7ce22cba920"/>
    <w:p>
      <w:pPr>
        <w:pStyle w:val="Heading4"/>
      </w:pPr>
      <w:r>
        <w:t xml:space="preserve">13.1 Vorgehen bei Suizidalität</w:t>
      </w:r>
    </w:p>
    <w:p>
      <w:pPr>
        <w:pStyle w:val="FirstParagraph"/>
      </w:pPr>
      <w:r>
        <w:t xml:space="preserve">[Vorschlag, hausintern zu bestätigen]</w:t>
      </w:r>
    </w:p>
    <w:p>
      <w:pPr>
        <w:pStyle w:val="Compact"/>
        <w:numPr>
          <w:ilvl w:val="0"/>
          <w:numId w:val="1049"/>
        </w:numPr>
      </w:pPr>
      <w:r>
        <w:t xml:space="preserve">Direkt und ruhig fragen (Gedanken, Pläne, Mittel, Zeitpunkt).</w:t>
      </w:r>
    </w:p>
    <w:p>
      <w:pPr>
        <w:pStyle w:val="Compact"/>
        <w:numPr>
          <w:ilvl w:val="0"/>
          <w:numId w:val="1049"/>
        </w:numPr>
      </w:pPr>
      <w:r>
        <w:t xml:space="preserve">Risiko einschätzen, die Person nicht allein lassen, wenn akute Gefahr besteht.</w:t>
      </w:r>
    </w:p>
    <w:p>
      <w:pPr>
        <w:pStyle w:val="Compact"/>
        <w:numPr>
          <w:ilvl w:val="0"/>
          <w:numId w:val="1049"/>
        </w:numPr>
      </w:pPr>
      <w:r>
        <w:t xml:space="preserve">Sicherheitsplan: Vertrauensperson, Erreichbarkeit, Zugang zu Mitteln einschränken.</w:t>
      </w:r>
    </w:p>
    <w:p>
      <w:pPr>
        <w:pStyle w:val="Compact"/>
        <w:numPr>
          <w:ilvl w:val="0"/>
          <w:numId w:val="1049"/>
        </w:numPr>
      </w:pPr>
      <w:r>
        <w:t xml:space="preserve">Akute Gefahr: Notfall (Nummern unten), ärztlich/psychiatrisch.</w:t>
      </w:r>
    </w:p>
    <w:p>
      <w:pPr>
        <w:pStyle w:val="Compact"/>
        <w:numPr>
          <w:ilvl w:val="0"/>
          <w:numId w:val="1049"/>
        </w:numPr>
      </w:pPr>
      <w:r>
        <w:t xml:space="preserve">Dokumentation, Information ans Team, Nachkontakt vereinbaren.</w:t>
      </w:r>
    </w:p>
    <w:p>
      <w:pPr>
        <w:pStyle w:val="Compact"/>
        <w:numPr>
          <w:ilvl w:val="0"/>
          <w:numId w:val="1049"/>
        </w:numPr>
      </w:pPr>
      <w:r>
        <w:t xml:space="preserve">Notfallblatt führen (Vorbild: Notfallblatt im Alkohol-Konzept SDS).</w:t>
      </w:r>
    </w:p>
    <w:p>
      <w:pPr>
        <w:pStyle w:val="FirstParagraph"/>
      </w:pPr>
      <w:r>
        <w:t xml:space="preserve">Hauptbefund: Verschuldung und Scham sind die beiden beschriebenen Hauptprozesse (Kap. 5.3).</w:t>
      </w:r>
    </w:p>
    <w:bookmarkEnd w:id="87"/>
    <w:bookmarkStart w:id="88" w:name="X2873baa96d31296ae4b4a67abc80ee4cff5d771"/>
    <w:p>
      <w:pPr>
        <w:pStyle w:val="Heading4"/>
      </w:pPr>
      <w:r>
        <w:t xml:space="preserve">13.2 Nummern</w:t>
      </w:r>
    </w:p>
    <w:p>
      <w:pPr>
        <w:pStyle w:val="FirstParagraph"/>
      </w:pPr>
      <w:r>
        <w:t xml:space="preserve">(Prüfdatum erforderlich)</w:t>
      </w:r>
    </w:p>
    <w:tbl>
      <w:tblPr>
        <w:tblStyle w:val="Table"/>
        <w:tblW w:type="auto" w:w="0"/>
        <w:tblLook w:firstRow="1" w:lastRow="0" w:firstColumn="0" w:lastColumn="0" w:noHBand="0" w:noVBand="0" w:val="0020"/>
      </w:tblPr>
      <w:tblGrid>
        <w:gridCol w:w="2640"/>
        <w:gridCol w:w="2640"/>
        <w:gridCol w:w="2640"/>
      </w:tblGrid>
      <w:tr>
        <w:trPr>
          <w:tblHeader w:val="on"/>
        </w:trPr>
        <w:tc>
          <w:tcPr>
            <w:shd w:val="clear" w:color="auto" w:fill="1A2B4C"/>
          </w:tcPr>
          <w:tcPr/>
          <w:p>
            <w:pPr>
              <w:pStyle w:val="Compact"/>
            </w:pPr>
            <w:r>
              <w:rPr>
                <w:b/>
                <w:color w:val="FFFFFF"/>
                <w:b/>
                <w:color w:val="FFFFFF"/>
              </w:rPr>
              <w:t xml:space="preserve">Nummer</w:t>
            </w:r>
          </w:p>
        </w:tc>
        <w:tc>
          <w:tcPr>
            <w:shd w:val="clear" w:color="auto" w:fill="1A2B4C"/>
          </w:tcPr>
          <w:tcPr/>
          <w:p>
            <w:pPr>
              <w:pStyle w:val="Compact"/>
            </w:pPr>
            <w:r>
              <w:rPr>
                <w:b/>
                <w:color w:val="FFFFFF"/>
                <w:b/>
                <w:color w:val="FFFFFF"/>
              </w:rPr>
              <w:t xml:space="preserve">Dienst</w:t>
            </w:r>
          </w:p>
        </w:tc>
        <w:tc>
          <w:tcPr>
            <w:shd w:val="clear" w:color="auto" w:fill="1A2B4C"/>
          </w:tcPr>
          <w:tcPr/>
          <w:p>
            <w:pPr>
              <w:pStyle w:val="Compact"/>
            </w:pPr>
            <w:r>
              <w:rPr>
                <w:b/>
                <w:color w:val="FFFFFF"/>
                <w:b/>
                <w:color w:val="FFFFFF"/>
              </w:rPr>
              <w:t xml:space="preserve">Beleg</w:t>
            </w:r>
          </w:p>
        </w:tc>
      </w:tr>
      <w:tr>
        <w:tc>
          <w:tcPr/>
          <w:p>
            <w:pPr>
              <w:pStyle w:val="Compact"/>
            </w:pPr>
            <w:r>
              <w:t xml:space="preserve">144</w:t>
            </w:r>
          </w:p>
        </w:tc>
        <w:tc>
          <w:tcPr/>
          <w:p>
            <w:pPr>
              <w:pStyle w:val="Compact"/>
            </w:pPr>
            <w:r>
              <w:t xml:space="preserve">Medizinischer Notruf (CH und FL Rettung)</w:t>
            </w:r>
          </w:p>
        </w:tc>
        <w:tc>
          <w:tcPr/>
          <w:p>
            <w:pPr>
              <w:pStyle w:val="Compact"/>
            </w:pPr>
            <w:r>
              <w:t xml:space="preserve">Q: BAG; Landespolizei FL</w:t>
            </w:r>
          </w:p>
        </w:tc>
      </w:tr>
      <w:tr>
        <w:tc>
          <w:tcPr/>
          <w:p>
            <w:pPr>
              <w:pStyle w:val="Compact"/>
            </w:pPr>
            <w:r>
              <w:t xml:space="preserve">117</w:t>
            </w:r>
          </w:p>
        </w:tc>
        <w:tc>
          <w:tcPr/>
          <w:p>
            <w:pPr>
              <w:pStyle w:val="Compact"/>
            </w:pPr>
            <w:r>
              <w:t xml:space="preserve">Landespolizei FL</w:t>
            </w:r>
          </w:p>
        </w:tc>
        <w:tc>
          <w:tcPr/>
          <w:p>
            <w:pPr>
              <w:pStyle w:val="Compact"/>
            </w:pPr>
            <w:r>
              <w:t xml:space="preserve">Q: Landespolizei FL</w:t>
            </w:r>
          </w:p>
        </w:tc>
      </w:tr>
      <w:tr>
        <w:tc>
          <w:tcPr/>
          <w:p>
            <w:pPr>
              <w:pStyle w:val="Compact"/>
            </w:pPr>
            <w:r>
              <w:t xml:space="preserve">143</w:t>
            </w:r>
          </w:p>
        </w:tc>
        <w:tc>
          <w:tcPr/>
          <w:p>
            <w:pPr>
              <w:pStyle w:val="Compact"/>
            </w:pPr>
            <w:r>
              <w:t xml:space="preserve">Die Dargebotene Hand (Erwachsene, CH). Erreichbarkeit aus FL nicht geprüft</w:t>
            </w:r>
          </w:p>
        </w:tc>
        <w:tc>
          <w:tcPr/>
          <w:p>
            <w:pPr>
              <w:pStyle w:val="Compact"/>
            </w:pPr>
            <w:r>
              <w:t xml:space="preserve">Q: Uni Bern, Psychiatrische Notfälle Schweiz; FL [Lücke]</w:t>
            </w:r>
          </w:p>
        </w:tc>
      </w:tr>
      <w:tr>
        <w:tc>
          <w:tcPr/>
          <w:p>
            <w:pPr>
              <w:pStyle w:val="Compact"/>
            </w:pPr>
            <w:r>
              <w:t xml:space="preserve">058 178 54 44</w:t>
            </w:r>
          </w:p>
        </w:tc>
        <w:tc>
          <w:tcPr/>
          <w:p>
            <w:pPr>
              <w:pStyle w:val="Compact"/>
            </w:pPr>
            <w:r>
              <w:t xml:space="preserve">Krisenhotline Kanton St. Gallen, Erwachsene</w:t>
            </w:r>
          </w:p>
        </w:tc>
        <w:tc>
          <w:tcPr/>
          <w:p>
            <w:pPr>
              <w:pStyle w:val="Compact"/>
            </w:pPr>
            <w:r>
              <w:t xml:space="preserve">Q: Uni Bern, Psychiatrische Notfälle Schweiz (Stand der PDF unklar, vor Gebrauch prüfen)</w:t>
            </w:r>
          </w:p>
        </w:tc>
      </w:tr>
      <w:tr>
        <w:tc>
          <w:tcPr/>
          <w:p>
            <w:pPr>
              <w:pStyle w:val="Compact"/>
            </w:pPr>
            <w:r>
              <w:t xml:space="preserve">147</w:t>
            </w:r>
          </w:p>
        </w:tc>
        <w:tc>
          <w:tcPr/>
          <w:p>
            <w:pPr>
              <w:pStyle w:val="Compact"/>
            </w:pPr>
            <w:r>
              <w:t xml:space="preserve">Pro Juventute (Kinder und Jugendliche, z. B. betroffene Kinder von Klienten)</w:t>
            </w:r>
          </w:p>
        </w:tc>
        <w:tc>
          <w:tcPr/>
          <w:p>
            <w:pPr>
              <w:pStyle w:val="Compact"/>
            </w:pPr>
            <w:r>
              <w:t xml:space="preserve">Q: Uni Bern</w:t>
            </w:r>
          </w:p>
        </w:tc>
      </w:tr>
      <w:tr>
        <w:tc>
          <w:tcPr/>
          <w:p>
            <w:pPr>
              <w:pStyle w:val="Compact"/>
            </w:pPr>
            <w:r>
              <w:t xml:space="preserve">145</w:t>
            </w:r>
          </w:p>
        </w:tc>
        <w:tc>
          <w:tcPr/>
          <w:p>
            <w:pPr>
              <w:pStyle w:val="Compact"/>
            </w:pPr>
            <w:r>
              <w:t xml:space="preserve">Toxinfo (Vergiftung)</w:t>
            </w:r>
          </w:p>
        </w:tc>
        <w:tc>
          <w:tcPr/>
          <w:p>
            <w:pPr>
              <w:pStyle w:val="Compact"/>
            </w:pPr>
            <w:r>
              <w:t xml:space="preserve">Q: BAG</w:t>
            </w:r>
          </w:p>
        </w:tc>
      </w:tr>
      <w:tr>
        <w:tc>
          <w:tcPr/>
          <w:p>
            <w:pPr>
              <w:pStyle w:val="Compact"/>
            </w:pPr>
            <w:r>
              <w:t xml:space="preserve">+423 230 05 06</w:t>
            </w:r>
          </w:p>
        </w:tc>
        <w:tc>
          <w:tcPr/>
          <w:p>
            <w:pPr>
              <w:pStyle w:val="Compact"/>
            </w:pPr>
            <w:r>
              <w:t xml:space="preserve">Kriseninterventionsteam FL (auch über 117)</w:t>
            </w:r>
          </w:p>
        </w:tc>
        <w:tc>
          <w:tcPr/>
          <w:p>
            <w:pPr>
              <w:pStyle w:val="Compact"/>
            </w:pPr>
            <w:r>
              <w:t xml:space="preserve">Q: Landespolizei FL</w:t>
            </w:r>
          </w:p>
        </w:tc>
      </w:tr>
      <w:tr>
        <w:tc>
          <w:tcPr/>
          <w:p>
            <w:pPr>
              <w:pStyle w:val="Compact"/>
            </w:pPr>
            <w:r>
              <w:t xml:space="preserve">+423 235 44 16</w:t>
            </w:r>
          </w:p>
        </w:tc>
        <w:tc>
          <w:tcPr/>
          <w:p>
            <w:pPr>
              <w:pStyle w:val="Compact"/>
            </w:pPr>
            <w:r>
              <w:t xml:space="preserve">Landesspital Liechtenstein</w:t>
            </w:r>
          </w:p>
        </w:tc>
        <w:tc>
          <w:tcPr/>
          <w:p>
            <w:pPr>
              <w:pStyle w:val="Compact"/>
            </w:pPr>
            <w:r>
              <w:t xml:space="preserve">Q: Landespolizei FL</w:t>
            </w:r>
          </w:p>
        </w:tc>
      </w:tr>
      <w:tr>
        <w:tc>
          <w:tcPr/>
          <w:p>
            <w:pPr>
              <w:pStyle w:val="Compact"/>
            </w:pPr>
            <w:r>
              <w:t xml:space="preserve">+423 236 76 96</w:t>
            </w:r>
          </w:p>
        </w:tc>
        <w:tc>
          <w:tcPr/>
          <w:p>
            <w:pPr>
              <w:pStyle w:val="Compact"/>
            </w:pPr>
            <w:r>
              <w:t xml:space="preserve">Opferhilfestelle FL</w:t>
            </w:r>
          </w:p>
        </w:tc>
        <w:tc>
          <w:tcPr/>
          <w:p>
            <w:pPr>
              <w:pStyle w:val="Compact"/>
            </w:pPr>
            <w:r>
              <w:t xml:space="preserve">Q: Landespolizei FL</w:t>
            </w:r>
          </w:p>
        </w:tc>
      </w:tr>
      <w:tr>
        <w:tc>
          <w:tcPr/>
          <w:p>
            <w:pPr>
              <w:pStyle w:val="Compact"/>
            </w:pPr>
            <w:r>
              <w:t xml:space="preserve">+423 236 72 72</w:t>
            </w:r>
          </w:p>
        </w:tc>
        <w:tc>
          <w:tcPr/>
          <w:p>
            <w:pPr>
              <w:pStyle w:val="Compact"/>
            </w:pPr>
            <w:r>
              <w:t xml:space="preserve">Amt für Soziale Dienste FL</w:t>
            </w:r>
          </w:p>
        </w:tc>
        <w:tc>
          <w:tcPr/>
          <w:p>
            <w:pPr>
              <w:pStyle w:val="Compact"/>
            </w:pPr>
            <w:r>
              <w:t xml:space="preserve">Q: Landespolizei FL; ASD</w:t>
            </w:r>
          </w:p>
        </w:tc>
      </w:tr>
      <w:tr>
        <w:tc>
          <w:tcPr/>
          <w:p>
            <w:pPr>
              <w:pStyle w:val="Compact"/>
            </w:pPr>
            <w:r>
              <w:t xml:space="preserve">112</w:t>
            </w:r>
          </w:p>
        </w:tc>
        <w:tc>
          <w:tcPr/>
          <w:p>
            <w:pPr>
              <w:pStyle w:val="Compact"/>
            </w:pPr>
            <w:r>
              <w:t xml:space="preserve">Europäischer Notruf</w:t>
            </w:r>
          </w:p>
        </w:tc>
        <w:tc>
          <w:tcPr/>
          <w:p>
            <w:pPr>
              <w:pStyle w:val="Compact"/>
            </w:pPr>
            <w:r>
              <w:t xml:space="preserve">[eigenes Wissen, in den Quellen nicht bestätigt]</w:t>
            </w:r>
          </w:p>
        </w:tc>
      </w:tr>
      <w:tr>
        <w:tc>
          <w:tcPr/>
          <w:p>
            <w:pPr>
              <w:pStyle w:val="Compact"/>
            </w:pPr>
            <w:r>
              <w:t xml:space="preserve">061 325 51 00</w:t>
            </w:r>
          </w:p>
        </w:tc>
        <w:tc>
          <w:tcPr/>
          <w:p>
            <w:pPr>
              <w:pStyle w:val="Compact"/>
            </w:pPr>
            <w:r>
              <w:t xml:space="preserve">UPK Basel, zentrale Aufnahme und psychiatrischer Notfall (24 h)</w:t>
            </w:r>
          </w:p>
        </w:tc>
        <w:tc>
          <w:tcPr/>
          <w:p>
            <w:pPr>
              <w:pStyle w:val="Compact"/>
            </w:pPr>
            <w:r>
              <w:t xml:space="preserve">Q: UPK Basel</w:t>
            </w:r>
          </w:p>
        </w:tc>
      </w:tr>
    </w:tbl>
    <w:p>
      <w:r>
        <w:pict>
          <v:rect style="width:0;height:1.5pt" o:hralign="center" o:hrstd="t" o:hr="t"/>
        </w:pict>
      </w:r>
    </w:p>
    <w:bookmarkEnd w:id="88"/>
    <w:bookmarkEnd w:id="89"/>
    <w:bookmarkEnd w:id="90"/>
    <w:bookmarkStart w:id="102" w:name="teil-7-anhang-und-offene-punkte"/>
    <w:p>
      <w:pPr>
        <w:pStyle w:val="Heading2"/>
      </w:pPr>
      <w:r>
        <w:t xml:space="preserve">Teil 7: Anhang und offene Punkte</w:t>
      </w:r>
    </w:p>
    <w:p>
      <w:pPr>
        <w:pStyle w:val="FirstParagraph"/>
      </w:pPr>
      <w:r>
        <w:rPr>
          <w:b/>
          <w:bCs/>
        </w:rPr>
        <w:t xml:space="preserve">Inhalt dieses Teils</w:t>
      </w:r>
    </w:p>
    <w:p>
      <w:pPr>
        <w:pStyle w:val="Compact"/>
        <w:numPr>
          <w:ilvl w:val="0"/>
          <w:numId w:val="1050"/>
        </w:numPr>
      </w:pPr>
      <w:hyperlink w:anchor="X49e38259b58c79209e0f5aa5adb49be36706b96">
        <w:r>
          <w:rPr>
            <w:rStyle w:val="Hyperlink"/>
          </w:rPr>
          <w:t xml:space="preserve">14. Grafiken und Anhang</w:t>
        </w:r>
      </w:hyperlink>
    </w:p>
    <w:p>
      <w:pPr>
        <w:pStyle w:val="Compact"/>
        <w:numPr>
          <w:ilvl w:val="1"/>
          <w:numId w:val="1051"/>
        </w:numPr>
      </w:pPr>
      <w:hyperlink w:anchor="X50b266aaccd2d2d04f0c2e23e1b4cf86a1d9396">
        <w:r>
          <w:rPr>
            <w:rStyle w:val="Hyperlink"/>
          </w:rPr>
          <w:t xml:space="preserve">14.1 Grafikübersicht</w:t>
        </w:r>
      </w:hyperlink>
    </w:p>
    <w:p>
      <w:pPr>
        <w:pStyle w:val="Compact"/>
        <w:numPr>
          <w:ilvl w:val="1"/>
          <w:numId w:val="1051"/>
        </w:numPr>
      </w:pPr>
      <w:hyperlink w:anchor="X1ca790734a2b396d6a7ff11a465f8aed3dd47fc">
        <w:r>
          <w:rPr>
            <w:rStyle w:val="Hyperlink"/>
          </w:rPr>
          <w:t xml:space="preserve">14.2 Weitere Anhänge</w:t>
        </w:r>
      </w:hyperlink>
    </w:p>
    <w:p>
      <w:pPr>
        <w:pStyle w:val="Compact"/>
        <w:numPr>
          <w:ilvl w:val="0"/>
          <w:numId w:val="1050"/>
        </w:numPr>
      </w:pPr>
      <w:hyperlink w:anchor="X5a526fbee64c06128bb216d8b2bc7a958219448">
        <w:r>
          <w:rPr>
            <w:rStyle w:val="Hyperlink"/>
          </w:rPr>
          <w:t xml:space="preserve">15. Quellen</w:t>
        </w:r>
      </w:hyperlink>
    </w:p>
    <w:p>
      <w:pPr>
        <w:pStyle w:val="Compact"/>
        <w:numPr>
          <w:ilvl w:val="0"/>
          <w:numId w:val="1050"/>
        </w:numPr>
      </w:pPr>
      <w:hyperlink w:anchor="X175bcbd4b04bd018855127a990fff072d70ad13">
        <w:r>
          <w:rPr>
            <w:rStyle w:val="Hyperlink"/>
          </w:rPr>
          <w:t xml:space="preserve">16. Offene Punkte</w:t>
        </w:r>
      </w:hyperlink>
    </w:p>
    <w:bookmarkStart w:id="97" w:name="X49e38259b58c79209e0f5aa5adb49be36706b96"/>
    <w:p>
      <w:pPr>
        <w:pStyle w:val="Heading3"/>
      </w:pPr>
      <w:r>
        <w:t xml:space="preserve">14. Grafiken und Anhang</w:t>
      </w:r>
    </w:p>
    <w:bookmarkStart w:id="95" w:name="X50b266aaccd2d2d04f0c2e23e1b4cf86a1d9396"/>
    <w:p>
      <w:pPr>
        <w:pStyle w:val="Heading4"/>
      </w:pPr>
      <w:r>
        <w:t xml:space="preserve">14.1 Grafikübersicht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shd w:val="clear" w:color="auto" w:fill="1A2B4C"/>
          </w:tcPr>
          <w:tcPr/>
          <w:p>
            <w:pPr>
              <w:pStyle w:val="Compact"/>
            </w:pPr>
            <w:r>
              <w:rPr>
                <w:b/>
                <w:color w:val="FFFFFF"/>
                <w:b/>
                <w:color w:val="FFFFFF"/>
              </w:rPr>
              <w:t xml:space="preserve">Nr.</w:t>
            </w:r>
          </w:p>
        </w:tc>
        <w:tc>
          <w:tcPr>
            <w:shd w:val="clear" w:color="auto" w:fill="1A2B4C"/>
          </w:tcPr>
          <w:tcPr/>
          <w:p>
            <w:pPr>
              <w:pStyle w:val="Compact"/>
            </w:pPr>
            <w:r>
              <w:rPr>
                <w:b/>
                <w:color w:val="FFFFFF"/>
                <w:b/>
                <w:color w:val="FFFFFF"/>
              </w:rPr>
              <w:t xml:space="preserve">Grafik</w:t>
            </w:r>
          </w:p>
        </w:tc>
        <w:tc>
          <w:tcPr>
            <w:shd w:val="clear" w:color="auto" w:fill="1A2B4C"/>
          </w:tcPr>
          <w:tcPr/>
          <w:p>
            <w:pPr>
              <w:pStyle w:val="Compact"/>
            </w:pPr>
            <w:r>
              <w:rPr>
                <w:b/>
                <w:color w:val="FFFFFF"/>
                <w:b/>
                <w:color w:val="FFFFFF"/>
              </w:rPr>
              <w:t xml:space="preserve">Kap.</w:t>
            </w:r>
          </w:p>
        </w:tc>
        <w:tc>
          <w:tcPr>
            <w:shd w:val="clear" w:color="auto" w:fill="1A2B4C"/>
          </w:tcPr>
          <w:tcPr/>
          <w:p>
            <w:pPr>
              <w:pStyle w:val="Compact"/>
            </w:pPr>
            <w:r>
              <w:rPr>
                <w:b/>
                <w:color w:val="FFFFFF"/>
                <w:b/>
                <w:color w:val="FFFFFF"/>
              </w:rPr>
              <w:t xml:space="preserve">Ort</w:t>
            </w:r>
          </w:p>
        </w:tc>
      </w:tr>
      <w:tr>
        <w:tc>
          <w:tcPr/>
          <w:p>
            <w:pPr>
              <w:pStyle w:val="Compact"/>
            </w:pPr>
            <w:r>
              <w:t xml:space="preserve">G1</w:t>
            </w:r>
          </w:p>
        </w:tc>
        <w:tc>
          <w:tcPr/>
          <w:p>
            <w:pPr>
              <w:pStyle w:val="Compact"/>
            </w:pPr>
            <w:r>
              <w:t xml:space="preserve">Landkarte der Verhaltenssüchte mit ICD-Zuordnung</w:t>
            </w:r>
          </w:p>
        </w:tc>
        <w:tc>
          <w:tcPr/>
          <w:p>
            <w:pPr>
              <w:pStyle w:val="Compact"/>
            </w:pPr>
            <w:r>
              <w:t xml:space="preserve">1, 2</w:t>
            </w:r>
          </w:p>
        </w:tc>
        <w:tc>
          <w:tcPr/>
          <w:p>
            <w:pPr>
              <w:pStyle w:val="Compact"/>
            </w:pPr>
            <w:r>
              <w:t xml:space="preserve">Design „Leitfaden Verhaltenssüchte Grafiken", Artboard G1:</w:t>
            </w:r>
            <w:r>
              <w:t xml:space="preserve"> </w:t>
            </w:r>
            <w:hyperlink r:id="rId91">
              <w:r>
                <w:rPr>
                  <w:rStyle w:val="Hyperlink"/>
                </w:rPr>
                <w:t xml:space="preserve">https://claude.ai/artifact/RrjA4TaHMuxMprfWEJx4a5</w:t>
              </w:r>
            </w:hyperlink>
          </w:p>
        </w:tc>
      </w:tr>
      <w:tr>
        <w:tc>
          <w:tcPr/>
          <w:p>
            <w:pPr>
              <w:pStyle w:val="Compact"/>
            </w:pPr>
            <w:r>
              <w:t xml:space="preserve">G2</w:t>
            </w:r>
          </w:p>
        </w:tc>
        <w:tc>
          <w:tcPr/>
          <w:p>
            <w:pPr>
              <w:pStyle w:val="Compact"/>
            </w:pPr>
            <w:r>
              <w:t xml:space="preserve">Entstehung und Teufelskreis</w:t>
            </w:r>
          </w:p>
        </w:tc>
        <w:tc>
          <w:tcPr/>
          <w:p>
            <w:pPr>
              <w:pStyle w:val="Compact"/>
            </w:pPr>
            <w:r>
              <w:t xml:space="preserve">4</w:t>
            </w:r>
          </w:p>
        </w:tc>
        <w:tc>
          <w:tcPr/>
          <w:p>
            <w:pPr>
              <w:pStyle w:val="Compact"/>
            </w:pPr>
            <w:r>
              <w:t xml:space="preserve">dasselbe Design, Artboard G2</w:t>
            </w:r>
          </w:p>
        </w:tc>
      </w:tr>
      <w:tr>
        <w:tc>
          <w:tcPr/>
          <w:p>
            <w:pPr>
              <w:pStyle w:val="Compact"/>
            </w:pPr>
            <w:r>
              <w:t xml:space="preserve">G3</w:t>
            </w:r>
          </w:p>
        </w:tc>
        <w:tc>
          <w:tcPr/>
          <w:p>
            <w:pPr>
              <w:pStyle w:val="Compact"/>
            </w:pPr>
            <w:r>
              <w:t xml:space="preserve">Dreiebenenmodell mit Weitervermittlungs-Signalen</w:t>
            </w:r>
          </w:p>
        </w:tc>
        <w:tc>
          <w:tcPr/>
          <w:p>
            <w:pPr>
              <w:pStyle w:val="Compact"/>
            </w:pPr>
            <w:r>
              <w:t xml:space="preserve">6</w:t>
            </w:r>
          </w:p>
        </w:tc>
        <w:tc>
          <w:tcPr/>
          <w:p>
            <w:pPr>
              <w:pStyle w:val="Compact"/>
            </w:pPr>
            <w:r>
              <w:t xml:space="preserve">dasselbe Design, Artboard G3</w:t>
            </w:r>
          </w:p>
        </w:tc>
      </w:tr>
      <w:tr>
        <w:tc>
          <w:tcPr/>
          <w:p>
            <w:pPr>
              <w:pStyle w:val="Compact"/>
            </w:pPr>
            <w:r>
              <w:t xml:space="preserve">G4a</w:t>
            </w:r>
          </w:p>
        </w:tc>
        <w:tc>
          <w:tcPr/>
          <w:p>
            <w:pPr>
              <w:pStyle w:val="Compact"/>
            </w:pPr>
            <w:r>
              <w:t xml:space="preserve">Beratungsweg für Klienten (5 Schritte)</w:t>
            </w:r>
          </w:p>
        </w:tc>
        <w:tc>
          <w:tcPr/>
          <w:p>
            <w:pPr>
              <w:pStyle w:val="Compact"/>
            </w:pPr>
            <w:r>
              <w:t xml:space="preserve">6</w:t>
            </w:r>
          </w:p>
        </w:tc>
        <w:tc>
          <w:tcPr/>
          <w:p>
            <w:pPr>
              <w:pStyle w:val="Compact"/>
            </w:pPr>
            <w:hyperlink r:id="rId92">
              <w:r>
                <w:rPr>
                  <w:rStyle w:val="Hyperlink"/>
                </w:rPr>
                <w:t xml:space="preserve">https://claude.ai/artifact/Xvr7veMSE1MJVGUJvniSQX</w:t>
              </w:r>
            </w:hyperlink>
          </w:p>
        </w:tc>
      </w:tr>
      <w:tr>
        <w:tc>
          <w:tcPr/>
          <w:p>
            <w:pPr>
              <w:pStyle w:val="Compact"/>
            </w:pPr>
            <w:r>
              <w:t xml:space="preserve">G4b</w:t>
            </w:r>
          </w:p>
        </w:tc>
        <w:tc>
          <w:tcPr/>
          <w:p>
            <w:pPr>
              <w:pStyle w:val="Compact"/>
            </w:pPr>
            <w:r>
              <w:t xml:space="preserve">Fachblatt für Beratende (Techniken und Beachten je Schritt)</w:t>
            </w:r>
          </w:p>
        </w:tc>
        <w:tc>
          <w:tcPr/>
          <w:p>
            <w:pPr>
              <w:pStyle w:val="Compact"/>
            </w:pPr>
            <w:r>
              <w:t xml:space="preserve">6</w:t>
            </w:r>
          </w:p>
        </w:tc>
        <w:tc>
          <w:tcPr/>
          <w:p>
            <w:pPr>
              <w:pStyle w:val="Compact"/>
            </w:pPr>
            <w:hyperlink r:id="rId93">
              <w:r>
                <w:rPr>
                  <w:rStyle w:val="Hyperlink"/>
                </w:rPr>
                <w:t xml:space="preserve">https://claude.ai/artifact/MaxXq5yhpumwYTgEcskAeJ</w:t>
              </w:r>
            </w:hyperlink>
          </w:p>
        </w:tc>
      </w:tr>
      <w:tr>
        <w:tc>
          <w:tcPr/>
          <w:p>
            <w:pPr>
              <w:pStyle w:val="Compact"/>
            </w:pPr>
            <w:r>
              <w:t xml:space="preserve">G5</w:t>
            </w:r>
          </w:p>
        </w:tc>
        <w:tc>
          <w:tcPr/>
          <w:p>
            <w:pPr>
              <w:pStyle w:val="Compact"/>
            </w:pPr>
            <w:r>
              <w:t xml:space="preserve">Ablauf der ersten zwei Sitzungen</w:t>
            </w:r>
          </w:p>
        </w:tc>
        <w:tc>
          <w:tcPr/>
          <w:p>
            <w:pPr>
              <w:pStyle w:val="Compact"/>
            </w:pPr>
            <w:r>
              <w:t xml:space="preserve">7</w:t>
            </w:r>
          </w:p>
        </w:tc>
        <w:tc>
          <w:tcPr/>
          <w:p>
            <w:pPr>
              <w:pStyle w:val="Compact"/>
            </w:pPr>
            <w:r>
              <w:t xml:space="preserve">Mermaid in Kap. 7</w:t>
            </w:r>
          </w:p>
        </w:tc>
      </w:tr>
      <w:tr>
        <w:tc>
          <w:tcPr/>
          <w:p>
            <w:pPr>
              <w:pStyle w:val="Compact"/>
            </w:pPr>
            <w:r>
              <w:t xml:space="preserve">G6</w:t>
            </w:r>
          </w:p>
        </w:tc>
        <w:tc>
          <w:tcPr/>
          <w:p>
            <w:pPr>
              <w:pStyle w:val="Compact"/>
            </w:pPr>
            <w:r>
              <w:t xml:space="preserve">Stakeholder-Karte</w:t>
            </w:r>
          </w:p>
        </w:tc>
        <w:tc>
          <w:tcPr/>
          <w:p>
            <w:pPr>
              <w:pStyle w:val="Compact"/>
            </w:pPr>
            <w:r>
              <w:t xml:space="preserve">0</w:t>
            </w:r>
          </w:p>
        </w:tc>
        <w:tc>
          <w:tcPr/>
          <w:p>
            <w:pPr>
              <w:pStyle w:val="Compact"/>
            </w:pPr>
            <w:r>
              <w:t xml:space="preserve">Design „Leitfaden Verhaltenssüchte Grafiken", Artboard G6</w:t>
            </w:r>
          </w:p>
        </w:tc>
      </w:tr>
      <w:tr>
        <w:tc>
          <w:tcPr/>
          <w:p>
            <w:pPr>
              <w:pStyle w:val="Compact"/>
            </w:pPr>
            <w:r>
              <w:t xml:space="preserve">G7</w:t>
            </w:r>
          </w:p>
        </w:tc>
        <w:tc>
          <w:tcPr/>
          <w:p>
            <w:pPr>
              <w:pStyle w:val="Compact"/>
            </w:pPr>
            <w:r>
              <w:t xml:space="preserve">Triage-Entscheidungsbaum</w:t>
            </w:r>
          </w:p>
        </w:tc>
        <w:tc>
          <w:tcPr/>
          <w:p>
            <w:pPr>
              <w:pStyle w:val="Compact"/>
            </w:pPr>
            <w:r>
              <w:t xml:space="preserve">12</w:t>
            </w:r>
          </w:p>
        </w:tc>
        <w:tc>
          <w:tcPr/>
          <w:p>
            <w:pPr>
              <w:pStyle w:val="Compact"/>
            </w:pPr>
            <w:r>
              <w:t xml:space="preserve">Mermaid in Kap. 12.3</w:t>
            </w:r>
          </w:p>
        </w:tc>
      </w:tr>
      <w:tr>
        <w:tc>
          <w:tcPr/>
          <w:p>
            <w:pPr>
              <w:pStyle w:val="Compact"/>
            </w:pPr>
            <w:r>
              <w:t xml:space="preserve">G8</w:t>
            </w:r>
          </w:p>
        </w:tc>
        <w:tc>
          <w:tcPr/>
          <w:p>
            <w:pPr>
              <w:pStyle w:val="Compact"/>
            </w:pPr>
            <w:r>
              <w:t xml:space="preserve">Fortschrittsbogen (2 Seiten, A4)</w:t>
            </w:r>
          </w:p>
        </w:tc>
        <w:tc>
          <w:tcPr/>
          <w:p>
            <w:pPr>
              <w:pStyle w:val="Compact"/>
            </w:pPr>
            <w:r>
              <w:t xml:space="preserve">8</w:t>
            </w:r>
          </w:p>
        </w:tc>
        <w:tc>
          <w:tcPr/>
          <w:p>
            <w:pPr>
              <w:pStyle w:val="Compact"/>
            </w:pPr>
            <w:hyperlink r:id="rId94">
              <w:r>
                <w:rPr>
                  <w:rStyle w:val="Hyperlink"/>
                </w:rPr>
                <w:t xml:space="preserve">https://claude.ai/artifact/AJv77w7MHzptenWEA55Vwc</w:t>
              </w:r>
            </w:hyperlink>
          </w:p>
        </w:tc>
      </w:tr>
    </w:tbl>
    <w:p>
      <w:pPr>
        <w:pStyle w:val="BodyText"/>
      </w:pPr>
      <w:r>
        <w:t xml:space="preserve">Die Artefakte sind privat und nur über das Share-Menü der jeweiligen Seite freizugeben. Die Mermaid-Grafiken erscheinen in Markdown-Vorschauen mit Mermaid-Unterstützung als Bild, sonst als Quelltext.</w:t>
      </w:r>
    </w:p>
    <w:bookmarkEnd w:id="95"/>
    <w:bookmarkStart w:id="96" w:name="X1ca790734a2b396d6a7ff11a465f8aed3dd47fc"/>
    <w:p>
      <w:pPr>
        <w:pStyle w:val="Heading4"/>
      </w:pPr>
      <w:r>
        <w:t xml:space="preserve">14.2 Weitere Anhänge</w:t>
      </w:r>
    </w:p>
    <w:p>
      <w:pPr>
        <w:pStyle w:val="Compact"/>
        <w:numPr>
          <w:ilvl w:val="0"/>
          <w:numId w:val="1052"/>
        </w:numPr>
      </w:pPr>
      <w:r>
        <w:t xml:space="preserve">Anleitung zum Fortschrittsbogen: Datei</w:t>
      </w:r>
      <w:r>
        <w:t xml:space="preserve"> </w:t>
      </w:r>
      <w:r>
        <w:rPr>
          <w:rStyle w:val="VerbatimChar"/>
        </w:rPr>
        <w:t xml:space="preserve">Anleitung_Fortschrittsbogen.md</w:t>
      </w:r>
      <w:r>
        <w:t xml:space="preserve">.</w:t>
      </w:r>
    </w:p>
    <w:p>
      <w:pPr>
        <w:pStyle w:val="Compact"/>
        <w:numPr>
          <w:ilvl w:val="0"/>
          <w:numId w:val="1052"/>
        </w:numPr>
      </w:pPr>
      <w:r>
        <w:t xml:space="preserve">Recherche-Grundlage: Datei</w:t>
      </w:r>
      <w:r>
        <w:t xml:space="preserve"> </w:t>
      </w:r>
      <w:r>
        <w:rPr>
          <w:rStyle w:val="VerbatimChar"/>
        </w:rPr>
        <w:t xml:space="preserve">Recherche_Verhaltenssuechte_Beratung.md</w:t>
      </w:r>
      <w:r>
        <w:t xml:space="preserve">.</w:t>
      </w:r>
    </w:p>
    <w:p>
      <w:pPr>
        <w:pStyle w:val="Compact"/>
        <w:numPr>
          <w:ilvl w:val="0"/>
          <w:numId w:val="1052"/>
        </w:numPr>
      </w:pPr>
      <w:r>
        <w:t xml:space="preserve">Quellen (Kap. 15) und offene Punkte (Kap. 16): Datei</w:t>
      </w:r>
      <w:r>
        <w:t xml:space="preserve"> </w:t>
      </w:r>
      <w:r>
        <w:rPr>
          <w:rStyle w:val="VerbatimChar"/>
        </w:rPr>
        <w:t xml:space="preserve">Beratungsleitfaden_Verhaltenssuechte_Anhang.md</w:t>
      </w:r>
      <w:r>
        <w:t xml:space="preserve">.</w:t>
      </w:r>
    </w:p>
    <w:p>
      <w:r>
        <w:pict>
          <v:rect style="width:0;height:1.5pt" o:hralign="center" o:hrstd="t" o:hr="t"/>
        </w:pict>
      </w:r>
    </w:p>
    <w:bookmarkEnd w:id="96"/>
    <w:bookmarkEnd w:id="97"/>
    <w:bookmarkStart w:id="99" w:name="X5a526fbee64c06128bb216d8b2bc7a958219448"/>
    <w:p>
      <w:pPr>
        <w:pStyle w:val="Heading3"/>
      </w:pPr>
      <w:r>
        <w:t xml:space="preserve">15. Quellen</w:t>
      </w:r>
    </w:p>
    <w:p>
      <w:pPr>
        <w:pStyle w:val="FirstParagraph"/>
      </w:pPr>
      <w:r>
        <w:t xml:space="preserve">Die Quellenliste steht im Anhang:</w:t>
      </w:r>
      <w:r>
        <w:t xml:space="preserve"> </w:t>
      </w:r>
      <w:hyperlink r:id="rId98">
        <w:r>
          <w:rPr>
            <w:rStyle w:val="Hyperlink"/>
          </w:rPr>
          <w:t xml:space="preserve">Beratungsleitfaden_Verhaltenssuechte_Anhang.md</w:t>
        </w:r>
      </w:hyperlink>
      <w:r>
        <w:t xml:space="preserve">.</w:t>
      </w:r>
    </w:p>
    <w:p>
      <w:r>
        <w:pict>
          <v:rect style="width:0;height:1.5pt" o:hralign="center" o:hrstd="t" o:hr="t"/>
        </w:pict>
      </w:r>
    </w:p>
    <w:bookmarkEnd w:id="99"/>
    <w:bookmarkStart w:id="101" w:name="X175bcbd4b04bd018855127a990fff072d70ad13"/>
    <w:p>
      <w:pPr>
        <w:pStyle w:val="Heading3"/>
      </w:pPr>
      <w:r>
        <w:t xml:space="preserve">16. Offene Punkte</w:t>
      </w:r>
    </w:p>
    <w:p>
      <w:pPr>
        <w:pStyle w:val="FirstParagraph"/>
      </w:pPr>
      <w:r>
        <w:t xml:space="preserve">Die offenen Punkte stehen im Anhang:</w:t>
      </w:r>
      <w:r>
        <w:t xml:space="preserve"> </w:t>
      </w:r>
      <w:hyperlink r:id="rId100">
        <w:r>
          <w:rPr>
            <w:rStyle w:val="Hyperlink"/>
          </w:rPr>
          <w:t xml:space="preserve">Beratungsleitfaden_Verhaltenssuechte_Anhang.md</w:t>
        </w:r>
      </w:hyperlink>
      <w:r>
        <w:t xml:space="preserve">.</w:t>
      </w:r>
    </w:p>
    <w:bookmarkEnd w:id="101"/>
    <w:bookmarkEnd w:id="102"/>
    <w:bookmarkEnd w:id="10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cs="Arial" w:hAnsi="Arial"/>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Arial" w:cs="Arial" w:hAnsi="Arial"/>
      <w:spacing w:val="-10"/>
      <w:kern w:val="28"/>
      <w:sz w:val="56"/>
      <w:szCs w:val="56"/>
    </w:rPr>
  </w:style>
  <w:style w:customStyle="1" w:styleId="TitleChar" w:type="character">
    <w:name w:val="Title Char"/>
    <w:basedOn w:val="DefaultParagraphFont"/>
    <w:link w:val="Title"/>
    <w:uiPriority w:val="10"/>
    <w:rsid w:val="00A10FD9"/>
    <w:rPr>
      <w:rFonts w:ascii="Arial" w:cs="Arial" w:hAnsi="Arial"/>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ascii="Arial" w:cs="Arial" w:hAnsi="Arial"/>
      <w:spacing w:val="15"/>
      <w:sz w:val="28"/>
      <w:szCs w:val="28"/>
    </w:rPr>
  </w:style>
  <w:style w:customStyle="1" w:styleId="SubtitleChar" w:type="character">
    <w:name w:val="Subtitle Char"/>
    <w:basedOn w:val="DefaultParagraphFont"/>
    <w:link w:val="Subtitle"/>
    <w:uiPriority w:val="11"/>
    <w:rsid w:val="00A10FD9"/>
    <w:rPr>
      <w:rFonts w:ascii="Arial" w:cs="Arial" w:hAnsi="Arial"/>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Arial" w:cs="Arial" w:hAnsi="Arial"/>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Arial" w:cs="Arial" w:hAnsi="Arial"/>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Arial" w:cs="Arial" w:hAnsi="Arial"/>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Arial" w:cs="Arial" w:hAnsi="Arial"/>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Arial" w:cs="Arial" w:hAnsi="Arial"/>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Arial" w:cs="Arial" w:hAnsi="Arial"/>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Arial" w:cs="Arial" w:hAnsi="Arial"/>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Arial" w:cs="Arial" w:hAnsi="Arial"/>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Arial" w:cs="Arial" w:hAnsi="Arial"/>
      <w:color w:themeColor="text1" w:themeTint="D8" w:val="272727"/>
    </w:rPr>
  </w:style>
  <w:style w:customStyle="1" w:styleId="Heading1Char" w:type="character">
    <w:name w:val="Heading 1 Char"/>
    <w:basedOn w:val="DefaultParagraphFont"/>
    <w:link w:val="Heading1"/>
    <w:uiPriority w:val="9"/>
    <w:rsid w:val="00A10FD9"/>
    <w:rPr>
      <w:rFonts w:ascii="Arial" w:cs="Arial" w:hAnsi="Arial"/>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Arial" w:cs="Arial" w:hAnsi="Arial"/>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ascii="Arial" w:cs="Arial" w:hAnsi="Arial"/>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ascii="Arial" w:cs="Arial" w:hAnsi="Arial"/>
      <w:i/>
      <w:iCs/>
      <w:color w:themeColor="accent1" w:themeShade="BF" w:val="0F4761"/>
    </w:rPr>
  </w:style>
  <w:style w:customStyle="1" w:styleId="Heading5Char" w:type="character">
    <w:name w:val="Heading 5 Char"/>
    <w:basedOn w:val="DefaultParagraphFont"/>
    <w:link w:val="Heading5"/>
    <w:uiPriority w:val="9"/>
    <w:semiHidden/>
    <w:rsid w:val="00A10FD9"/>
    <w:rPr>
      <w:rFonts w:ascii="Arial" w:cs="Arial" w:hAnsi="Arial"/>
      <w:color w:themeColor="accent1" w:themeShade="BF" w:val="0F4761"/>
    </w:rPr>
  </w:style>
  <w:style w:customStyle="1" w:styleId="Heading6Char" w:type="character">
    <w:name w:val="Heading 6 Char"/>
    <w:basedOn w:val="DefaultParagraphFont"/>
    <w:link w:val="Heading6"/>
    <w:uiPriority w:val="9"/>
    <w:semiHidden/>
    <w:rsid w:val="00A10FD9"/>
    <w:rPr>
      <w:rFonts w:ascii="Arial" w:cs="Arial" w:hAnsi="Arial"/>
      <w:i/>
      <w:iCs/>
      <w:color w:themeColor="text1" w:themeTint="A6" w:val="595959"/>
    </w:rPr>
  </w:style>
  <w:style w:customStyle="1" w:styleId="Heading7Char" w:type="character">
    <w:name w:val="Heading 7 Char"/>
    <w:basedOn w:val="DefaultParagraphFont"/>
    <w:link w:val="Heading7"/>
    <w:uiPriority w:val="9"/>
    <w:semiHidden/>
    <w:rsid w:val="00A10FD9"/>
    <w:rPr>
      <w:rFonts w:ascii="Arial" w:cs="Arial" w:hAnsi="Arial"/>
      <w:color w:themeColor="text1" w:themeTint="A6" w:val="595959"/>
    </w:rPr>
  </w:style>
  <w:style w:customStyle="1" w:styleId="Heading8Char" w:type="character">
    <w:name w:val="Heading 8 Char"/>
    <w:basedOn w:val="DefaultParagraphFont"/>
    <w:link w:val="Heading8"/>
    <w:uiPriority w:val="9"/>
    <w:semiHidden/>
    <w:rsid w:val="00A10FD9"/>
    <w:rPr>
      <w:rFonts w:ascii="Arial" w:cs="Arial" w:hAnsi="Arial"/>
      <w:i/>
      <w:iCs/>
      <w:color w:themeColor="text1" w:themeTint="D8" w:val="272727"/>
    </w:rPr>
  </w:style>
  <w:style w:customStyle="1" w:styleId="Heading9Char" w:type="character">
    <w:name w:val="Heading 9 Char"/>
    <w:basedOn w:val="DefaultParagraphFont"/>
    <w:link w:val="Heading9"/>
    <w:uiPriority w:val="9"/>
    <w:semiHidden/>
    <w:rsid w:val="00A10FD9"/>
    <w:rPr>
      <w:rFonts w:ascii="Arial" w:cs="Arial" w:hAnsi="Arial"/>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Arial" w:cs="Arial" w:hAnsi="Arial"/>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Arial" w:cs="Arial" w:hAnsi="Arial"/>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7" Target="media/rId57.png" /><Relationship Type="http://schemas.openxmlformats.org/officeDocument/2006/relationships/hyperlink" Id="rId98" Target="Beratungsleitfaden_Verhaltenssuechte_Anhang.md#15-quellen" TargetMode="External" /><Relationship Type="http://schemas.openxmlformats.org/officeDocument/2006/relationships/hyperlink" Id="rId100" Target="Beratungsleitfaden_Verhaltenssuechte_Anhang.md#16-offene-punkte" TargetMode="External" /><Relationship Type="http://schemas.openxmlformats.org/officeDocument/2006/relationships/hyperlink" Id="rId94" Target="https://claude.ai/artifact/AJv77w7MHzptenWEA55Vwc" TargetMode="External" /><Relationship Type="http://schemas.openxmlformats.org/officeDocument/2006/relationships/hyperlink" Id="rId93" Target="https://claude.ai/artifact/MaxXq5yhpumwYTgEcskAeJ" TargetMode="External" /><Relationship Type="http://schemas.openxmlformats.org/officeDocument/2006/relationships/hyperlink" Id="rId91" Target="https://claude.ai/artifact/RrjA4TaHMuxMprfWEJx4a5" TargetMode="External" /><Relationship Type="http://schemas.openxmlformats.org/officeDocument/2006/relationships/hyperlink" Id="rId92" Target="https://claude.ai/artifact/Xvr7veMSE1MJVGUJvniSQX" TargetMode="External" /></Relationships>
</file>

<file path=word/_rels/footnotes.xml.rels><?xml version="1.0" encoding="UTF-8"?><Relationships xmlns="http://schemas.openxmlformats.org/package/2006/relationships"><Relationship Type="http://schemas.openxmlformats.org/officeDocument/2006/relationships/hyperlink" Id="rId98" Target="Beratungsleitfaden_Verhaltenssuechte_Anhang.md#15-quellen" TargetMode="External" /><Relationship Type="http://schemas.openxmlformats.org/officeDocument/2006/relationships/hyperlink" Id="rId100" Target="Beratungsleitfaden_Verhaltenssuechte_Anhang.md#16-offene-punkte" TargetMode="External" /><Relationship Type="http://schemas.openxmlformats.org/officeDocument/2006/relationships/hyperlink" Id="rId94" Target="https://claude.ai/artifact/AJv77w7MHzptenWEA55Vwc" TargetMode="External" /><Relationship Type="http://schemas.openxmlformats.org/officeDocument/2006/relationships/hyperlink" Id="rId93" Target="https://claude.ai/artifact/MaxXq5yhpumwYTgEcskAeJ" TargetMode="External" /><Relationship Type="http://schemas.openxmlformats.org/officeDocument/2006/relationships/hyperlink" Id="rId91" Target="https://claude.ai/artifact/RrjA4TaHMuxMprfWEJx4a5" TargetMode="External" /><Relationship Type="http://schemas.openxmlformats.org/officeDocument/2006/relationships/hyperlink" Id="rId92" Target="https://claude.ai/artifact/Xvr7veMSE1MJVGUJvniSQ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2026-10-21T17:35:33Z</dcterms:created>
  <dcterms:modified xsi:type="dcterms:W3CDTF">2026-10-21T17:35:33Z</dcterms:modified>
</cp:coreProperties>
</file>

<file path=docProps/custom.xml><?xml version="1.0" encoding="utf-8"?>
<Properties xmlns="http://schemas.openxmlformats.org/officeDocument/2006/custom-properties" xmlns:vt="http://schemas.openxmlformats.org/officeDocument/2006/docPropsVTypes"/>
</file>