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"[The model] benchmarking the success of the network from the end-user of [the product] back to the manufacturer or landfill... New raw materials need to be procured economically due to the need for more infrastructure and a circular economy." (Kasy et al., 2024, p. 207-208)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batteries is necessary to mitigate material supply risks, reduce demand for new materials, and mitigate harmful environmental and health impacts." (Kasy et al., 2024, p. 207)</w:t>
      </w:r>
    </w:p>
    <w:p>
      <w:r>
        <w:rPr>
          <w:b/>
        </w:rPr>
        <w:t xml:space="preserve">• Kalimat penguat yang bisa ditambahkan: </w:t>
      </w:r>
      <w:r>
        <w:t>Meskipun konteks daur ulangnya berbeda, keandalan sisi hilir ini didukung oleh prinsip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In common, VRP studies are more about decreasing travel distances and travel times. Meanwhile, there are only a few studies of VRP to minimize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jarak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 Each branch as a certain operational schedule (time and hours) namely operational or time windows." (Ariningsih et al., 2020, p. 125)</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