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auto"/>
          <w:sz w:val="28"/>
          <w:szCs w:val="28"/>
          <w:lang w:eastAsia="zh-CN"/>
        </w:rPr>
      </w:pPr>
      <w:r>
        <w:rPr>
          <w:rFonts w:hint="eastAsia"/>
          <w:b/>
          <w:bCs/>
          <w:color w:val="auto"/>
          <w:sz w:val="28"/>
          <w:szCs w:val="28"/>
          <w:lang w:eastAsia="zh-CN"/>
        </w:rPr>
        <w:t>一、构造器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color w:val="0000FF"/>
          <w:sz w:val="24"/>
          <w:szCs w:val="24"/>
          <w:lang w:eastAsia="zh-CN"/>
        </w:rPr>
        <w:t>构造器</w:t>
      </w:r>
      <w:r>
        <w:rPr>
          <w:rFonts w:hint="eastAsia"/>
          <w:sz w:val="24"/>
          <w:szCs w:val="24"/>
          <w:lang w:eastAsia="zh-CN"/>
        </w:rPr>
        <w:t>：用于产生类的对象，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构造器的定义语法</w:t>
      </w:r>
      <w:r>
        <w:rPr>
          <w:rFonts w:hint="eastAsia"/>
          <w:sz w:val="24"/>
          <w:szCs w:val="24"/>
          <w:lang w:val="en-US" w:eastAsia="zh-CN"/>
        </w:rPr>
        <w:t xml:space="preserve"> ：[访问权限修饰符]   类名（[&lt;参数列表&gt;]）{}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构造器产生对象语法</w:t>
      </w:r>
      <w:r>
        <w:rPr>
          <w:rFonts w:hint="eastAsia"/>
          <w:sz w:val="24"/>
          <w:szCs w:val="24"/>
          <w:lang w:val="en-US" w:eastAsia="zh-CN"/>
        </w:rPr>
        <w:t xml:space="preserve"> ： 类名 对象名 = new 构造器(参数列表)；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--&gt; 通过对象可以获取属性，并调用方法 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语法 : DataType name = 对象名.属性名 ；             获取属性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[DataType name ] = 对象名.方法名（参数列表）  调用方法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二、信息的封装与隐藏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信息的隐藏：属性或则方法的访问权限修饰符写为 </w:t>
      </w:r>
      <w:r>
        <w:rPr>
          <w:rFonts w:hint="eastAsia"/>
          <w:color w:val="0000FF"/>
          <w:sz w:val="24"/>
          <w:szCs w:val="24"/>
          <w:lang w:val="en-US" w:eastAsia="zh-CN"/>
        </w:rPr>
        <w:t>private</w:t>
      </w:r>
    </w:p>
    <w:p>
      <w:pPr>
        <w:ind w:firstLine="48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属性定义为 private 后 ，只能在本类中访问，在别的类中则不能访问</w:t>
      </w:r>
    </w:p>
    <w:p>
      <w:pPr>
        <w:ind w:firstLine="48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同理方法 定义为 private 后，也只能在本类中调用；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信息的封装：为私有的属性提供一个 public 修饰的get 和 set方法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get方法:  用于获取属性的值</w:t>
      </w:r>
    </w:p>
    <w:p>
      <w:pPr>
        <w:ind w:firstLine="899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语法规则 ： &lt;public&gt;  &lt;属性的Type&gt;  &lt;getAttrName&gt;(){</w:t>
      </w:r>
    </w:p>
    <w:p>
      <w:pPr>
        <w:ind w:firstLine="48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return attrName; </w:t>
      </w:r>
    </w:p>
    <w:p>
      <w:pPr>
        <w:ind w:firstLine="1982" w:firstLineChars="826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方法名: 将属性名首字母改为大写，前面加上get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返回值类型：与当前属性的数据类型保持一致，直接通过return返回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参数列表： 没有参数列表      </w:t>
      </w:r>
    </w:p>
    <w:p>
      <w:pPr>
        <w:ind w:firstLine="482" w:firstLineChars="200"/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set方法：用于给属性设置值</w:t>
      </w:r>
    </w:p>
    <w:p>
      <w:pPr>
        <w:ind w:firstLine="240" w:firstLineChars="10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语法规则 ： &lt;public&gt;  &lt;void&gt;  &lt;setAttrName&gt;( &lt;属性Type&gt;  属性名 ){</w:t>
      </w:r>
    </w:p>
    <w:p>
      <w:pPr>
        <w:ind w:firstLine="2736" w:firstLineChars="114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this.attrName = attrName;</w:t>
      </w:r>
    </w:p>
    <w:p>
      <w:pPr>
        <w:ind w:firstLine="2150" w:firstLineChars="896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方法名：将属性名的首字母改为大写 ，前面加上 set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返回值：无返回值 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参数列表：数据类型与当前属性数据类型保持一致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 数据类型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java是一种强数据类型的编程语言,不同的数据存放在不同的</w:t>
      </w:r>
      <w:r>
        <w:rPr>
          <w:rFonts w:hint="eastAsia"/>
          <w:b/>
          <w:bCs/>
          <w:sz w:val="24"/>
          <w:szCs w:val="24"/>
          <w:lang w:val="en-US" w:eastAsia="zh-CN"/>
        </w:rPr>
        <w:t>变量</w:t>
      </w:r>
      <w:r>
        <w:rPr>
          <w:rFonts w:hint="eastAsia"/>
          <w:sz w:val="24"/>
          <w:szCs w:val="24"/>
          <w:lang w:val="en-US" w:eastAsia="zh-CN"/>
        </w:rPr>
        <w:t>中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vAlign w:val="center"/>
          </w:tcPr>
          <w:p>
            <w:pPr>
              <w:ind w:firstLine="1200" w:firstLineChars="5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强类型(java）</w:t>
            </w:r>
          </w:p>
        </w:tc>
        <w:tc>
          <w:tcPr>
            <w:tcW w:w="4261" w:type="dxa"/>
            <w:vAlign w:val="center"/>
          </w:tcPr>
          <w:p>
            <w:pPr>
              <w:ind w:firstLine="960" w:firstLineChars="4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弱类型(JavaScript)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vAlign w:val="center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 i = 5;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float f = 3.4f;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String str =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haha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 i = 5;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var s =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haha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变量: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在系统中分配一块内存单元，用于存放数据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数据类型分为简单类型和引用类型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简单类型</w:t>
      </w:r>
      <w:r>
        <w:rPr>
          <w:rFonts w:hint="eastAsia"/>
          <w:sz w:val="24"/>
          <w:szCs w:val="24"/>
          <w:lang w:val="en-US" w:eastAsia="zh-CN"/>
        </w:rPr>
        <w:t>：byte  short  int  long  float  double  boolean  char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引用类型</w:t>
      </w:r>
      <w:r>
        <w:rPr>
          <w:rFonts w:hint="eastAsia"/>
          <w:sz w:val="24"/>
          <w:szCs w:val="24"/>
          <w:lang w:val="en-US" w:eastAsia="zh-CN"/>
        </w:rPr>
        <w:t>：除了简单类型就是引用类型 String  ,  int[]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简单类型：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在栈区中开辟内存空间用于存放变量，同时在变量空间中存放值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引用类型: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在栈区中开辟内存空间用于存放引用，值存放在堆区中；</w:t>
      </w:r>
    </w:p>
    <w:p>
      <w:pPr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4046855" cy="2029460"/>
                  <wp:effectExtent l="0" t="0" r="10795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855" cy="2029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数据类型的区分</w:t>
      </w:r>
    </w:p>
    <w:tbl>
      <w:tblPr>
        <w:tblStyle w:val="4"/>
        <w:tblW w:w="8250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"/>
        <w:gridCol w:w="715"/>
        <w:gridCol w:w="715"/>
        <w:gridCol w:w="843"/>
        <w:gridCol w:w="1008"/>
        <w:gridCol w:w="90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92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</w:t>
            </w:r>
          </w:p>
        </w:tc>
        <w:tc>
          <w:tcPr>
            <w:tcW w:w="715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简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型</w:t>
            </w:r>
          </w:p>
        </w:tc>
        <w:tc>
          <w:tcPr>
            <w:tcW w:w="715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型</w:t>
            </w:r>
          </w:p>
        </w:tc>
        <w:tc>
          <w:tcPr>
            <w:tcW w:w="843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整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型</w:t>
            </w:r>
          </w:p>
        </w:tc>
        <w:tc>
          <w:tcPr>
            <w:tcW w:w="10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902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字节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-2^7 ~ 2^7 -1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92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15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15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43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9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-2^15 ~2^15-1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92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15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15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43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-2^31 ~2^31-1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92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15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15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43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9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-2^63~2^63-1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92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15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15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43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浮点型</w:t>
            </w:r>
          </w:p>
        </w:tc>
        <w:tc>
          <w:tcPr>
            <w:tcW w:w="10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902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4字节 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92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15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15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43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92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15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  <w:tc>
          <w:tcPr>
            <w:tcW w:w="185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 用‘’</w:t>
            </w:r>
          </w:p>
        </w:tc>
        <w:tc>
          <w:tcPr>
            <w:tcW w:w="9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92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15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</w:t>
            </w:r>
          </w:p>
        </w:tc>
        <w:tc>
          <w:tcPr>
            <w:tcW w:w="185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9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1bit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true 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92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1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引用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7043" w:type="dxa"/>
            <w:gridSpan w:val="5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 ： String str ;     数组： int [] 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   ： Student stu;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简单类型分为：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整型： 用于表示一个整型的数据   int i = 5;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浮点型：用于表示浮点型的数据（小数）  float = 3.4f;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字符类型： 用于表示一个字符  char c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rPr>
          <w:rFonts w:hint="eastAsia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布尔类型 ：用于比较活判断某一个结果是否正确（true / false）</w:t>
      </w:r>
    </w:p>
    <w:p>
      <w:pPr>
        <w:rPr>
          <w:rFonts w:hint="eastAsia"/>
          <w:lang w:eastAsia="zh-CN"/>
        </w:rPr>
      </w:pPr>
    </w:p>
    <w:tbl>
      <w:tblPr>
        <w:tblStyle w:val="4"/>
        <w:tblW w:w="8433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3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4038600" cy="2060575"/>
                  <wp:effectExtent l="0" t="0" r="0" b="158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206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 生成 javadoc 文档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（1）完成类，方法的注解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（2）点击的导航栏的 Project --&gt;Grenerate Javadoc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（3）在路径中有一个 index.html 打开会有所有的属性以及方法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4779645"/>
                  <wp:effectExtent l="0" t="0" r="7620" b="190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4779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标识符：用于给变量，类，方法命名</w:t>
      </w:r>
    </w:p>
    <w:p>
      <w:pPr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标识符用作给变量、类和方法命名</w:t>
      </w:r>
    </w:p>
    <w:p>
      <w:pPr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可以以字母、下划线“_”和”$”符开头</w:t>
      </w:r>
    </w:p>
    <w:p>
      <w:pPr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首字符外，可以跟上字母、下划线“_”和”$”符或数字</w:t>
      </w:r>
    </w:p>
    <w:p>
      <w:pPr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Java是大小写敏感的，标识符也不例外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70"/>
        <w:gridCol w:w="6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0" w:type="dxa"/>
          </w:tcPr>
          <w:p>
            <w:pPr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简单数据类型</w:t>
            </w:r>
          </w:p>
        </w:tc>
        <w:tc>
          <w:tcPr>
            <w:tcW w:w="6652" w:type="dxa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byte short int long float double boolean 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0" w:type="dxa"/>
          </w:tcPr>
          <w:p>
            <w:pPr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访问权限修饰符</w:t>
            </w:r>
          </w:p>
        </w:tc>
        <w:tc>
          <w:tcPr>
            <w:tcW w:w="6652" w:type="dxa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public private  proctected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0" w:type="dxa"/>
          </w:tcPr>
          <w:p>
            <w:pPr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6652" w:type="dxa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try catch fianlly throw throws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0" w:type="dxa"/>
          </w:tcPr>
          <w:p>
            <w:pPr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流程控制</w:t>
            </w:r>
          </w:p>
        </w:tc>
        <w:tc>
          <w:tcPr>
            <w:tcW w:w="6652" w:type="dxa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if, else ,for, while, switch ,case, break, continue,do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0" w:type="dxa"/>
          </w:tcPr>
          <w:p>
            <w:pPr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面向对象</w:t>
            </w:r>
          </w:p>
        </w:tc>
        <w:tc>
          <w:tcPr>
            <w:tcW w:w="6652" w:type="dxa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new extends , interface , abstract , implements , instanceof 。。。。。。。。</w:t>
            </w:r>
          </w:p>
        </w:tc>
      </w:tr>
    </w:tbl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五 成员变量与局部变量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70"/>
        <w:gridCol w:w="3129"/>
        <w:gridCol w:w="3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0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129" w:type="dxa"/>
          </w:tcPr>
          <w:p>
            <w:pPr>
              <w:ind w:firstLine="482" w:firstLineChars="200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全局变量</w:t>
            </w:r>
          </w:p>
        </w:tc>
        <w:tc>
          <w:tcPr>
            <w:tcW w:w="3523" w:type="dxa"/>
          </w:tcPr>
          <w:p>
            <w:pPr>
              <w:ind w:firstLine="723" w:firstLineChars="300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0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定义</w:t>
            </w:r>
          </w:p>
        </w:tc>
        <w:tc>
          <w:tcPr>
            <w:tcW w:w="3129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定义在类中</w:t>
            </w:r>
          </w:p>
        </w:tc>
        <w:tc>
          <w:tcPr>
            <w:tcW w:w="3523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定义代码块中，if,else方法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0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作用域</w:t>
            </w:r>
          </w:p>
        </w:tc>
        <w:tc>
          <w:tcPr>
            <w:tcW w:w="3129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作用在整个类中</w:t>
            </w:r>
          </w:p>
        </w:tc>
        <w:tc>
          <w:tcPr>
            <w:tcW w:w="3523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只作用域当前代码块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0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访问权限修饰符</w:t>
            </w:r>
          </w:p>
        </w:tc>
        <w:tc>
          <w:tcPr>
            <w:tcW w:w="3129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需要给访问权限修饰符</w:t>
            </w:r>
          </w:p>
        </w:tc>
        <w:tc>
          <w:tcPr>
            <w:tcW w:w="3523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不能给访问权限修饰符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0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初始化</w:t>
            </w:r>
          </w:p>
        </w:tc>
        <w:tc>
          <w:tcPr>
            <w:tcW w:w="3129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可以初始化，也可以不初始化</w:t>
            </w:r>
          </w:p>
        </w:tc>
        <w:tc>
          <w:tcPr>
            <w:tcW w:w="3523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必须初始化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全局变量如果没有赋予初始值，会默认一个值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85615" cy="2611755"/>
                  <wp:effectExtent l="0" t="0" r="635" b="1714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615" cy="2611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A2EE9"/>
    <w:rsid w:val="04BA2EE9"/>
    <w:rsid w:val="21420741"/>
    <w:rsid w:val="21781E3F"/>
    <w:rsid w:val="255F43AA"/>
    <w:rsid w:val="2FD76191"/>
    <w:rsid w:val="319C4A8D"/>
    <w:rsid w:val="398675E9"/>
    <w:rsid w:val="3CA87CEA"/>
    <w:rsid w:val="47093B1B"/>
    <w:rsid w:val="47EF62E0"/>
    <w:rsid w:val="53C378C1"/>
    <w:rsid w:val="661731F9"/>
    <w:rsid w:val="66F51372"/>
    <w:rsid w:val="6B2C45A7"/>
    <w:rsid w:val="6E807EBD"/>
    <w:rsid w:val="736F5D3C"/>
    <w:rsid w:val="7A454F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2017-06-27T01:20:00Z</dcterms:created>
  <dc:creator>Administrator</dc:creator>
  <cp:lastModifiedBy>Administrator</cp:lastModifiedBy>
  <dcterms:modified xsi:type="dcterms:W3CDTF">2017-06-27T08:07:52Z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