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pPr>
      <w:r>
        <w:drawing>
          <wp:inline distT="0" distB="0" distL="0" distR="0">
            <wp:extent cx="3028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28950" cy="571500"/>
                    </a:xfrm>
                    <a:prstGeom prst="rect">
                      <a:avLst/>
                    </a:prstGeom>
                  </pic:spPr>
                </pic:pic>
              </a:graphicData>
            </a:graphic>
          </wp:inline>
        </w:drawing>
      </w:r>
    </w:p>
    <w:p>
      <w:pPr>
        <w:spacing w:after="120"/>
      </w:pPr>
      <w:r>
        <w:rPr>
          <w:rFonts w:ascii="Arial" w:cs="Arial" w:eastAsia="Arial" w:hAnsi="Arial"/>
          <w:b/>
          <w:bCs/>
          <w:color w:val="072244"/>
          <w:sz w:val="56"/>
          <w:szCs w:val="56"/>
        </w:rPr>
        <w:t xml:space="preserve">Subscription Agreement</w:t>
      </w:r>
    </w:p>
    <w:p>
      <w:pPr>
        <w:pBdr>
          <w:bottom w:val="single" w:color="0A8180" w:sz="12" w:space="8"/>
        </w:pBdr>
        <w:spacing w:after="600"/>
      </w:pPr>
      <w:r>
        <w:rPr>
          <w:rFonts w:ascii="Arial" w:cs="Arial" w:eastAsia="Arial" w:hAnsi="Arial"/>
          <w:color w:val="0A8180"/>
          <w:sz w:val="28"/>
          <w:szCs w:val="28"/>
        </w:rPr>
        <w:t xml:space="preserve">Jobs Tracker field-operations platform</w:t>
      </w:r>
    </w:p>
    <w:p>
      <w:pPr>
        <w:spacing w:after="80"/>
      </w:pPr>
      <w:r>
        <w:rPr>
          <w:rFonts w:ascii="Arial" w:cs="Arial" w:eastAsia="Arial" w:hAnsi="Arial"/>
          <w:color w:val="5B6770"/>
          <w:sz w:val="22"/>
          <w:szCs w:val="22"/>
        </w:rPr>
        <w:t xml:space="preserve">Master terms, Order Forms, Data Processing terms and Service Levels</w:t>
      </w:r>
    </w:p>
    <w:p>
      <w:pPr>
        <w:spacing w:after="80"/>
      </w:pPr>
      <w:r>
        <w:rPr>
          <w:rFonts w:ascii="Arial" w:cs="Arial" w:eastAsia="Arial" w:hAnsi="Arial"/>
          <w:color w:val="5B6770"/>
          <w:sz w:val="22"/>
          <w:szCs w:val="22"/>
        </w:rPr>
        <w:t xml:space="preserve">Supplier: Workwiz Limited, company no. 04999377</w:t>
      </w:r>
    </w:p>
    <w:p>
      <w:pPr>
        <w:spacing w:after="80"/>
      </w:pPr>
      <w:r>
        <w:rPr>
          <w:rFonts w:ascii="Arial" w:cs="Arial" w:eastAsia="Arial" w:hAnsi="Arial"/>
          <w:color w:val="5B6770"/>
          <w:sz w:val="22"/>
          <w:szCs w:val="22"/>
        </w:rPr>
        <w:t xml:space="preserve">First Floor, 1 Des Roches Square, Witan Way, Witney, Oxfordshire OX28 4BE</w:t>
      </w:r>
    </w:p>
    <w:p>
      <w:pPr>
        <w:spacing w:after="80"/>
      </w:pPr>
      <w:r>
        <w:rPr>
          <w:rFonts w:ascii="Arial" w:cs="Arial" w:eastAsia="Arial" w:hAnsi="Arial"/>
          <w:color w:val="5B6770"/>
          <w:sz w:val="22"/>
          <w:szCs w:val="22"/>
        </w:rPr>
        <w:t xml:space="preserve">Version: DRAFT 16 October 2026</w:t>
      </w:r>
    </w:p>
    <w:p>
      <w:pPr>
        <w:spacing w:before="400"/>
      </w:pPr>
      <w:r>
        <w:rPr>
          <w:rFonts w:ascii="Arial" w:cs="Arial" w:eastAsia="Arial" w:hAnsi="Arial"/>
          <w:b/>
          <w:bCs/>
          <w:color w:val="072244"/>
          <w:sz w:val="22"/>
          <w:szCs w:val="22"/>
        </w:rPr>
        <w:t xml:space="preserve">Confidential</w:t>
      </w:r>
    </w:p>
    <w:p>
      <w:r>
        <w:br w:type="page"/>
      </w:r>
    </w:p>
    <w:p>
      <w:pPr>
        <w:keepNext/>
        <w:pBdr>
          <w:bottom w:val="single" w:color="0A8180" w:sz="8" w:space="4"/>
        </w:pBdr>
        <w:spacing w:after="120" w:before="360"/>
      </w:pPr>
      <w:r>
        <w:rPr>
          <w:rFonts w:ascii="Arial" w:cs="Arial" w:eastAsia="Arial" w:hAnsi="Arial"/>
          <w:b/>
          <w:bCs/>
          <w:color w:val="072244"/>
          <w:sz w:val="26"/>
          <w:szCs w:val="26"/>
        </w:rPr>
        <w:t xml:space="preserve">1. Parties, definitions and interpretation</w:t>
      </w:r>
    </w:p>
    <w:p>
      <w:pPr>
        <w:spacing w:after="120" w:line="288"/>
      </w:pPr>
      <w:r>
        <w:rPr>
          <w:rFonts w:ascii="Arial" w:cs="Arial" w:eastAsia="Arial" w:hAnsi="Arial"/>
          <w:b/>
          <w:bCs/>
          <w:sz w:val="20"/>
          <w:szCs w:val="20"/>
        </w:rPr>
        <w:t xml:space="preserve">This Agreement</w:t>
      </w:r>
      <w:r>
        <w:rPr>
          <w:rFonts w:ascii="Arial" w:cs="Arial" w:eastAsia="Arial" w:hAnsi="Arial"/>
          <w:sz w:val="20"/>
          <w:szCs w:val="20"/>
        </w:rPr>
        <w:t xml:space="preserve"> is made between </w:t>
      </w:r>
      <w:r>
        <w:rPr>
          <w:rFonts w:ascii="Arial" w:cs="Arial" w:eastAsia="Arial" w:hAnsi="Arial"/>
          <w:b/>
          <w:bCs/>
          <w:sz w:val="20"/>
          <w:szCs w:val="20"/>
        </w:rPr>
        <w:t xml:space="preserve">Workwiz Limited</w:t>
      </w:r>
      <w:r>
        <w:rPr>
          <w:rFonts w:ascii="Arial" w:cs="Arial" w:eastAsia="Arial" w:hAnsi="Arial"/>
          <w:sz w:val="20"/>
          <w:szCs w:val="20"/>
        </w:rPr>
        <w:t xml:space="preserve">, a company registered in England and Wales under number 04999377 whose registered office is at First Floor, 1 Des Roches Square, Witan Way, Witney, Oxfordshire OX28 4BE (</w:t>
      </w:r>
      <w:r>
        <w:rPr>
          <w:rFonts w:ascii="Arial" w:cs="Arial" w:eastAsia="Arial" w:hAnsi="Arial"/>
          <w:b/>
          <w:bCs/>
          <w:sz w:val="20"/>
          <w:szCs w:val="20"/>
        </w:rPr>
        <w:t xml:space="preserve">Supplier</w:t>
      </w:r>
      <w:r>
        <w:rPr>
          <w:rFonts w:ascii="Arial" w:cs="Arial" w:eastAsia="Arial" w:hAnsi="Arial"/>
          <w:sz w:val="20"/>
          <w:szCs w:val="20"/>
        </w:rPr>
        <w:t xml:space="preserve">), and the customer named in the Order Form (</w:t>
      </w:r>
      <w:r>
        <w:rPr>
          <w:rFonts w:ascii="Arial" w:cs="Arial" w:eastAsia="Arial" w:hAnsi="Arial"/>
          <w:b/>
          <w:bCs/>
          <w:sz w:val="20"/>
          <w:szCs w:val="20"/>
        </w:rPr>
        <w:t xml:space="preserve">Customer</w:t>
      </w:r>
      <w:r>
        <w:rPr>
          <w:rFonts w:ascii="Arial" w:cs="Arial" w:eastAsia="Arial" w:hAnsi="Arial"/>
          <w:sz w:val="20"/>
          <w:szCs w:val="20"/>
        </w:rPr>
        <w:t xml:space="preserve">). It comes into force on the date the Order Form is signed by both parties (</w:t>
      </w:r>
      <w:r>
        <w:rPr>
          <w:rFonts w:ascii="Arial" w:cs="Arial" w:eastAsia="Arial" w:hAnsi="Arial"/>
          <w:b/>
          <w:bCs/>
          <w:sz w:val="20"/>
          <w:szCs w:val="20"/>
        </w:rPr>
        <w:t xml:space="preserve">Effective Date</w:t>
      </w:r>
      <w:r>
        <w:rPr>
          <w:rFonts w:ascii="Arial" w:cs="Arial" w:eastAsia="Arial" w:hAnsi="Arial"/>
          <w:sz w:val="20"/>
          <w:szCs w:val="20"/>
        </w:rPr>
        <w:t xml:space="preserve">).</w:t>
      </w:r>
    </w:p>
    <w:p>
      <w:pPr>
        <w:spacing w:after="120" w:line="288"/>
      </w:pPr>
      <w:r>
        <w:rPr>
          <w:rFonts w:ascii="Arial" w:cs="Arial" w:eastAsia="Arial" w:hAnsi="Arial"/>
          <w:sz w:val="20"/>
          <w:szCs w:val="20"/>
        </w:rPr>
        <w:t xml:space="preserve">1.1 </w:t>
      </w:r>
      <w:r>
        <w:rPr>
          <w:rFonts w:ascii="Arial" w:cs="Arial" w:eastAsia="Arial" w:hAnsi="Arial"/>
          <w:b/>
          <w:bCs/>
          <w:sz w:val="20"/>
          <w:szCs w:val="20"/>
        </w:rPr>
        <w:t xml:space="preserve">Definitions.</w:t>
      </w:r>
      <w:r>
        <w:rPr>
          <w:rFonts w:ascii="Arial" w:cs="Arial" w:eastAsia="Arial" w:hAnsi="Arial"/>
          <w:sz w:val="20"/>
          <w:szCs w:val="20"/>
        </w:rPr>
        <w:t xml:space="preserve"> In this Agreement:</w:t>
      </w:r>
    </w:p>
    <w:p>
      <w:pPr>
        <w:pStyle w:val="ListParagraph"/>
        <w:numPr>
          <w:ilvl w:val="0"/>
          <w:numId w:val="2"/>
        </w:numPr>
        <w:spacing w:after="60" w:line="276"/>
      </w:pPr>
      <w:r>
        <w:rPr>
          <w:rFonts w:ascii="Arial" w:cs="Arial" w:eastAsia="Arial" w:hAnsi="Arial"/>
          <w:b/>
          <w:bCs/>
          <w:sz w:val="20"/>
          <w:szCs w:val="20"/>
        </w:rPr>
        <w:t xml:space="preserve">Admin User</w:t>
      </w:r>
      <w:r>
        <w:rPr>
          <w:rFonts w:ascii="Arial" w:cs="Arial" w:eastAsia="Arial" w:hAnsi="Arial"/>
          <w:sz w:val="20"/>
          <w:szCs w:val="20"/>
        </w:rPr>
        <w:t xml:space="preserve">: a Customer employee or contractor given office access to the Service (planning, management, approvals, payroll, reporting).</w:t>
      </w:r>
    </w:p>
    <w:p>
      <w:pPr>
        <w:pStyle w:val="ListParagraph"/>
        <w:numPr>
          <w:ilvl w:val="0"/>
          <w:numId w:val="2"/>
        </w:numPr>
        <w:spacing w:after="60" w:line="276"/>
      </w:pPr>
      <w:r>
        <w:rPr>
          <w:rFonts w:ascii="Arial" w:cs="Arial" w:eastAsia="Arial" w:hAnsi="Arial"/>
          <w:b/>
          <w:bCs/>
          <w:sz w:val="20"/>
          <w:szCs w:val="20"/>
        </w:rPr>
        <w:t xml:space="preserve">Field User</w:t>
      </w:r>
      <w:r>
        <w:rPr>
          <w:rFonts w:ascii="Arial" w:cs="Arial" w:eastAsia="Arial" w:hAnsi="Arial"/>
          <w:sz w:val="20"/>
          <w:szCs w:val="20"/>
        </w:rPr>
        <w:t xml:space="preserve">: a Customer employee or contractor given access to the Service through the mobile application to receive jobs, record time, sign documents and upload site evidence.</w:t>
      </w:r>
    </w:p>
    <w:p>
      <w:pPr>
        <w:pStyle w:val="ListParagraph"/>
        <w:numPr>
          <w:ilvl w:val="0"/>
          <w:numId w:val="2"/>
        </w:numPr>
        <w:spacing w:after="60" w:line="276"/>
      </w:pPr>
      <w:r>
        <w:rPr>
          <w:rFonts w:ascii="Arial" w:cs="Arial" w:eastAsia="Arial" w:hAnsi="Arial"/>
          <w:b/>
          <w:bCs/>
          <w:sz w:val="20"/>
          <w:szCs w:val="20"/>
        </w:rPr>
        <w:t xml:space="preserve">Authorised Users</w:t>
      </w:r>
      <w:r>
        <w:rPr>
          <w:rFonts w:ascii="Arial" w:cs="Arial" w:eastAsia="Arial" w:hAnsi="Arial"/>
          <w:sz w:val="20"/>
          <w:szCs w:val="20"/>
        </w:rPr>
        <w:t xml:space="preserve">: Admin Users and Field Users together, up to the numbers stated in the Order Form.</w:t>
      </w:r>
    </w:p>
    <w:p>
      <w:pPr>
        <w:pStyle w:val="ListParagraph"/>
        <w:numPr>
          <w:ilvl w:val="0"/>
          <w:numId w:val="2"/>
        </w:numPr>
        <w:spacing w:after="60" w:line="276"/>
      </w:pPr>
      <w:r>
        <w:rPr>
          <w:rFonts w:ascii="Arial" w:cs="Arial" w:eastAsia="Arial" w:hAnsi="Arial"/>
          <w:b/>
          <w:bCs/>
          <w:sz w:val="20"/>
          <w:szCs w:val="20"/>
        </w:rPr>
        <w:t xml:space="preserve">Service</w:t>
      </w:r>
      <w:r>
        <w:rPr>
          <w:rFonts w:ascii="Arial" w:cs="Arial" w:eastAsia="Arial" w:hAnsi="Arial"/>
          <w:sz w:val="20"/>
          <w:szCs w:val="20"/>
        </w:rPr>
        <w:t xml:space="preserve">: the Jobs Tracker software-as-a-service platform, comprising the web application, the iOS and Android mobile application, the APIs and integrations listed in the Order Form, and the hosting and support described in Schedule 4.</w:t>
      </w:r>
    </w:p>
    <w:p>
      <w:pPr>
        <w:pStyle w:val="ListParagraph"/>
        <w:numPr>
          <w:ilvl w:val="0"/>
          <w:numId w:val="2"/>
        </w:numPr>
        <w:spacing w:after="60" w:line="276"/>
      </w:pPr>
      <w:r>
        <w:rPr>
          <w:rFonts w:ascii="Arial" w:cs="Arial" w:eastAsia="Arial" w:hAnsi="Arial"/>
          <w:b/>
          <w:bCs/>
          <w:sz w:val="20"/>
          <w:szCs w:val="20"/>
        </w:rPr>
        <w:t xml:space="preserve">Customer Data</w:t>
      </w:r>
      <w:r>
        <w:rPr>
          <w:rFonts w:ascii="Arial" w:cs="Arial" w:eastAsia="Arial" w:hAnsi="Arial"/>
          <w:sz w:val="20"/>
          <w:szCs w:val="20"/>
        </w:rPr>
        <w:t xml:space="preserve">: all data entered into or generated in the Service by or on behalf of the Customer, including personal data of Authorised Users, job records, timesheets, location data, photographs, documents and client details.</w:t>
      </w:r>
    </w:p>
    <w:p>
      <w:pPr>
        <w:pStyle w:val="ListParagraph"/>
        <w:numPr>
          <w:ilvl w:val="0"/>
          <w:numId w:val="2"/>
        </w:numPr>
        <w:spacing w:after="60" w:line="276"/>
      </w:pPr>
      <w:r>
        <w:rPr>
          <w:rFonts w:ascii="Arial" w:cs="Arial" w:eastAsia="Arial" w:hAnsi="Arial"/>
          <w:b/>
          <w:bCs/>
          <w:sz w:val="20"/>
          <w:szCs w:val="20"/>
        </w:rPr>
        <w:t xml:space="preserve">Set-up Services</w:t>
      </w:r>
      <w:r>
        <w:rPr>
          <w:rFonts w:ascii="Arial" w:cs="Arial" w:eastAsia="Arial" w:hAnsi="Arial"/>
          <w:sz w:val="20"/>
          <w:szCs w:val="20"/>
        </w:rPr>
        <w:t xml:space="preserve">: the configuration, template creation, integration mapping and data import described in clause 3 and the Order Form.</w:t>
      </w:r>
    </w:p>
    <w:p>
      <w:pPr>
        <w:pStyle w:val="ListParagraph"/>
        <w:numPr>
          <w:ilvl w:val="0"/>
          <w:numId w:val="2"/>
        </w:numPr>
        <w:spacing w:after="60" w:line="276"/>
      </w:pPr>
      <w:r>
        <w:rPr>
          <w:rFonts w:ascii="Arial" w:cs="Arial" w:eastAsia="Arial" w:hAnsi="Arial"/>
          <w:b/>
          <w:bCs/>
          <w:sz w:val="20"/>
          <w:szCs w:val="20"/>
        </w:rPr>
        <w:t xml:space="preserve">Fees</w:t>
      </w:r>
      <w:r>
        <w:rPr>
          <w:rFonts w:ascii="Arial" w:cs="Arial" w:eastAsia="Arial" w:hAnsi="Arial"/>
          <w:sz w:val="20"/>
          <w:szCs w:val="20"/>
        </w:rPr>
        <w:t xml:space="preserve">: the Subscription Fees, Set-up Fee and any other charges stated in the Order Form.</w:t>
      </w:r>
    </w:p>
    <w:p>
      <w:pPr>
        <w:pStyle w:val="ListParagraph"/>
        <w:numPr>
          <w:ilvl w:val="0"/>
          <w:numId w:val="2"/>
        </w:numPr>
        <w:spacing w:after="60" w:line="276"/>
      </w:pPr>
      <w:r>
        <w:rPr>
          <w:rFonts w:ascii="Arial" w:cs="Arial" w:eastAsia="Arial" w:hAnsi="Arial"/>
          <w:b/>
          <w:bCs/>
          <w:sz w:val="20"/>
          <w:szCs w:val="20"/>
        </w:rPr>
        <w:t xml:space="preserve">Initial Term</w:t>
      </w:r>
      <w:r>
        <w:rPr>
          <w:rFonts w:ascii="Arial" w:cs="Arial" w:eastAsia="Arial" w:hAnsi="Arial"/>
          <w:sz w:val="20"/>
          <w:szCs w:val="20"/>
        </w:rPr>
        <w:t xml:space="preserve"> and </w:t>
      </w:r>
      <w:r>
        <w:rPr>
          <w:rFonts w:ascii="Arial" w:cs="Arial" w:eastAsia="Arial" w:hAnsi="Arial"/>
          <w:b/>
          <w:bCs/>
          <w:sz w:val="20"/>
          <w:szCs w:val="20"/>
        </w:rPr>
        <w:t xml:space="preserve">Renewal Term</w:t>
      </w:r>
      <w:r>
        <w:rPr>
          <w:rFonts w:ascii="Arial" w:cs="Arial" w:eastAsia="Arial" w:hAnsi="Arial"/>
          <w:sz w:val="20"/>
          <w:szCs w:val="20"/>
        </w:rPr>
        <w:t xml:space="preserve">: as defined in clause 5.</w:t>
      </w:r>
    </w:p>
    <w:p>
      <w:pPr>
        <w:pStyle w:val="ListParagraph"/>
        <w:numPr>
          <w:ilvl w:val="0"/>
          <w:numId w:val="2"/>
        </w:numPr>
        <w:spacing w:after="60" w:line="276"/>
      </w:pPr>
      <w:r>
        <w:rPr>
          <w:rFonts w:ascii="Arial" w:cs="Arial" w:eastAsia="Arial" w:hAnsi="Arial"/>
          <w:b/>
          <w:bCs/>
          <w:sz w:val="20"/>
          <w:szCs w:val="20"/>
        </w:rPr>
        <w:t xml:space="preserve">Order Form</w:t>
      </w:r>
      <w:r>
        <w:rPr>
          <w:rFonts w:ascii="Arial" w:cs="Arial" w:eastAsia="Arial" w:hAnsi="Arial"/>
          <w:sz w:val="20"/>
          <w:szCs w:val="20"/>
        </w:rPr>
        <w:t xml:space="preserve">: the schedule to this Agreement signed by both parties that identifies the Customer, the Authorised User counts, the Fees and the Start Date.</w:t>
      </w:r>
    </w:p>
    <w:p>
      <w:pPr>
        <w:pStyle w:val="ListParagraph"/>
        <w:numPr>
          <w:ilvl w:val="0"/>
          <w:numId w:val="2"/>
        </w:numPr>
        <w:spacing w:after="60" w:line="276"/>
      </w:pPr>
      <w:r>
        <w:rPr>
          <w:rFonts w:ascii="Arial" w:cs="Arial" w:eastAsia="Arial" w:hAnsi="Arial"/>
          <w:b/>
          <w:bCs/>
          <w:sz w:val="20"/>
          <w:szCs w:val="20"/>
        </w:rPr>
        <w:t xml:space="preserve">Start Date</w:t>
      </w:r>
      <w:r>
        <w:rPr>
          <w:rFonts w:ascii="Arial" w:cs="Arial" w:eastAsia="Arial" w:hAnsi="Arial"/>
          <w:sz w:val="20"/>
          <w:szCs w:val="20"/>
        </w:rPr>
        <w:t xml:space="preserve">: the date stated in the Order Form from which Subscription Fees are payable.</w:t>
      </w:r>
    </w:p>
    <w:p>
      <w:pPr>
        <w:pStyle w:val="ListParagraph"/>
        <w:numPr>
          <w:ilvl w:val="0"/>
          <w:numId w:val="2"/>
        </w:numPr>
        <w:spacing w:after="60" w:line="276"/>
      </w:pPr>
      <w:r>
        <w:rPr>
          <w:rFonts w:ascii="Arial" w:cs="Arial" w:eastAsia="Arial" w:hAnsi="Arial"/>
          <w:b/>
          <w:bCs/>
          <w:sz w:val="20"/>
          <w:szCs w:val="20"/>
        </w:rPr>
        <w:t xml:space="preserve">Data Protection Legislation</w:t>
      </w:r>
      <w:r>
        <w:rPr>
          <w:rFonts w:ascii="Arial" w:cs="Arial" w:eastAsia="Arial" w:hAnsi="Arial"/>
          <w:sz w:val="20"/>
          <w:szCs w:val="20"/>
        </w:rPr>
        <w:t xml:space="preserve">: the UK GDPR, the Data Protection Act 2018, and, where the Customer is established in the EU, the EU GDPR, together with all other applicable law on the processing of personal data.</w:t>
      </w:r>
    </w:p>
    <w:p>
      <w:pPr>
        <w:pStyle w:val="ListParagraph"/>
        <w:numPr>
          <w:ilvl w:val="0"/>
          <w:numId w:val="2"/>
        </w:numPr>
        <w:spacing w:after="60" w:line="276"/>
      </w:pPr>
      <w:r>
        <w:rPr>
          <w:rFonts w:ascii="Arial" w:cs="Arial" w:eastAsia="Arial" w:hAnsi="Arial"/>
          <w:b/>
          <w:bCs/>
          <w:sz w:val="20"/>
          <w:szCs w:val="20"/>
        </w:rPr>
        <w:t xml:space="preserve">Business Day</w:t>
      </w:r>
      <w:r>
        <w:rPr>
          <w:rFonts w:ascii="Arial" w:cs="Arial" w:eastAsia="Arial" w:hAnsi="Arial"/>
          <w:sz w:val="20"/>
          <w:szCs w:val="20"/>
        </w:rPr>
        <w:t xml:space="preserve">: Monday to Friday excluding public holidays in England.</w:t>
      </w:r>
    </w:p>
    <w:p>
      <w:pPr>
        <w:spacing w:after="120" w:line="288"/>
      </w:pPr>
      <w:r>
        <w:rPr>
          <w:rFonts w:ascii="Arial" w:cs="Arial" w:eastAsia="Arial" w:hAnsi="Arial"/>
          <w:sz w:val="20"/>
          <w:szCs w:val="20"/>
        </w:rPr>
        <w:t xml:space="preserve">1.2 </w:t>
      </w:r>
      <w:r>
        <w:rPr>
          <w:rFonts w:ascii="Arial" w:cs="Arial" w:eastAsia="Arial" w:hAnsi="Arial"/>
          <w:b/>
          <w:bCs/>
          <w:sz w:val="20"/>
          <w:szCs w:val="20"/>
        </w:rPr>
        <w:t xml:space="preserve">Interpretation.</w:t>
      </w:r>
      <w:r>
        <w:rPr>
          <w:rFonts w:ascii="Arial" w:cs="Arial" w:eastAsia="Arial" w:hAnsi="Arial"/>
          <w:sz w:val="20"/>
          <w:szCs w:val="20"/>
        </w:rPr>
        <w:t xml:space="preserve"> Clause and schedule headings do not affect interpretation. "Including" means "including without limitation". If the Order Form conflicts with these terms, the Order Form prevails for that Customer only. Schedules form part of this Agreement.</w:t>
      </w:r>
    </w:p>
    <w:p>
      <w:pPr>
        <w:keepNext/>
        <w:pBdr>
          <w:bottom w:val="single" w:color="0A8180" w:sz="8" w:space="4"/>
        </w:pBdr>
        <w:spacing w:after="120" w:before="360"/>
      </w:pPr>
      <w:r>
        <w:rPr>
          <w:rFonts w:ascii="Arial" w:cs="Arial" w:eastAsia="Arial" w:hAnsi="Arial"/>
          <w:b/>
          <w:bCs/>
          <w:color w:val="072244"/>
          <w:sz w:val="26"/>
          <w:szCs w:val="26"/>
        </w:rPr>
        <w:t xml:space="preserve">2. The Service</w:t>
      </w:r>
    </w:p>
    <w:p>
      <w:pPr>
        <w:spacing w:after="120" w:line="288"/>
      </w:pPr>
      <w:r>
        <w:rPr>
          <w:rFonts w:ascii="Arial" w:cs="Arial" w:eastAsia="Arial" w:hAnsi="Arial"/>
          <w:sz w:val="20"/>
          <w:szCs w:val="20"/>
        </w:rPr>
        <w:t xml:space="preserve">2.1 </w:t>
      </w:r>
      <w:r>
        <w:rPr>
          <w:rFonts w:ascii="Arial" w:cs="Arial" w:eastAsia="Arial" w:hAnsi="Arial"/>
          <w:b/>
          <w:bCs/>
          <w:sz w:val="20"/>
          <w:szCs w:val="20"/>
        </w:rPr>
        <w:t xml:space="preserve">Grant.</w:t>
      </w:r>
      <w:r>
        <w:rPr>
          <w:rFonts w:ascii="Arial" w:cs="Arial" w:eastAsia="Arial" w:hAnsi="Arial"/>
          <w:sz w:val="20"/>
          <w:szCs w:val="20"/>
        </w:rPr>
        <w:t xml:space="preserve"> From the Start Date and for the Term, the Supplier grants the Customer a non-exclusive, non-transferable right to allow its Authorised Users to use the Service for the Customer's internal business operations.</w:t>
      </w:r>
    </w:p>
    <w:p>
      <w:pPr>
        <w:spacing w:after="120" w:line="288"/>
      </w:pPr>
      <w:r>
        <w:rPr>
          <w:rFonts w:ascii="Arial" w:cs="Arial" w:eastAsia="Arial" w:hAnsi="Arial"/>
          <w:sz w:val="20"/>
          <w:szCs w:val="20"/>
        </w:rPr>
        <w:t xml:space="preserve">2.2 </w:t>
      </w:r>
      <w:r>
        <w:rPr>
          <w:rFonts w:ascii="Arial" w:cs="Arial" w:eastAsia="Arial" w:hAnsi="Arial"/>
          <w:b/>
          <w:bCs/>
          <w:sz w:val="20"/>
          <w:szCs w:val="20"/>
        </w:rPr>
        <w:t xml:space="preserve">Users.</w:t>
      </w:r>
      <w:r>
        <w:rPr>
          <w:rFonts w:ascii="Arial" w:cs="Arial" w:eastAsia="Arial" w:hAnsi="Arial"/>
          <w:sz w:val="20"/>
          <w:szCs w:val="20"/>
        </w:rPr>
        <w:t xml:space="preserve"> The Customer may add Authorised Users at any time through the Service; each addition is charged from the first day of the next calendar month at the per-user rate in the Order Form. The Customer may remove users with effect from the end of the calendar month in which the removal is made. User logins are personal and may not be shared; a login reassigned to a new person counts as the same user.</w:t>
      </w:r>
    </w:p>
    <w:p>
      <w:pPr>
        <w:spacing w:after="120" w:line="288"/>
      </w:pPr>
      <w:r>
        <w:rPr>
          <w:rFonts w:ascii="Arial" w:cs="Arial" w:eastAsia="Arial" w:hAnsi="Arial"/>
          <w:sz w:val="20"/>
          <w:szCs w:val="20"/>
        </w:rPr>
        <w:t xml:space="preserve">2.3 </w:t>
      </w:r>
      <w:r>
        <w:rPr>
          <w:rFonts w:ascii="Arial" w:cs="Arial" w:eastAsia="Arial" w:hAnsi="Arial"/>
          <w:b/>
          <w:bCs/>
          <w:sz w:val="20"/>
          <w:szCs w:val="20"/>
        </w:rPr>
        <w:t xml:space="preserve">Mobile application.</w:t>
      </w:r>
      <w:r>
        <w:rPr>
          <w:rFonts w:ascii="Arial" w:cs="Arial" w:eastAsia="Arial" w:hAnsi="Arial"/>
          <w:sz w:val="20"/>
          <w:szCs w:val="20"/>
        </w:rPr>
        <w:t xml:space="preserve"> Field Users install the Jobs Tracker application from the Apple App Store or Google Play. The Customer is responsible for providing devices and connectivity. Offline use is supported; data entered offline is uploaded when a connection returns and timestamps reflect the time of entry on the device.</w:t>
      </w:r>
    </w:p>
    <w:p>
      <w:pPr>
        <w:spacing w:after="120" w:line="288"/>
      </w:pPr>
      <w:r>
        <w:rPr>
          <w:rFonts w:ascii="Arial" w:cs="Arial" w:eastAsia="Arial" w:hAnsi="Arial"/>
          <w:sz w:val="20"/>
          <w:szCs w:val="20"/>
        </w:rPr>
        <w:t xml:space="preserve">2.4 </w:t>
      </w:r>
      <w:r>
        <w:rPr>
          <w:rFonts w:ascii="Arial" w:cs="Arial" w:eastAsia="Arial" w:hAnsi="Arial"/>
          <w:b/>
          <w:bCs/>
          <w:sz w:val="20"/>
          <w:szCs w:val="20"/>
        </w:rPr>
        <w:t xml:space="preserve">Acceptable use.</w:t>
      </w:r>
      <w:r>
        <w:rPr>
          <w:rFonts w:ascii="Arial" w:cs="Arial" w:eastAsia="Arial" w:hAnsi="Arial"/>
          <w:sz w:val="20"/>
          <w:szCs w:val="20"/>
        </w:rPr>
        <w:t xml:space="preserve"> The Customer shall not, and shall ensure Authorised Users do not: use the Service to store or transmit unlawful, infringing or malicious material; attempt to gain unauthorised access to the Service or its infrastructure; copy, reverse-engineer or build a competing product from the Service; resell or make the Service available to third parties; or use the Service to monitor workers other than as permitted by employment law and clause 7.5.</w:t>
      </w:r>
    </w:p>
    <w:p>
      <w:pPr>
        <w:spacing w:after="120" w:line="288"/>
      </w:pPr>
      <w:r>
        <w:rPr>
          <w:rFonts w:ascii="Arial" w:cs="Arial" w:eastAsia="Arial" w:hAnsi="Arial"/>
          <w:sz w:val="20"/>
          <w:szCs w:val="20"/>
        </w:rPr>
        <w:t xml:space="preserve">2.5 </w:t>
      </w:r>
      <w:r>
        <w:rPr>
          <w:rFonts w:ascii="Arial" w:cs="Arial" w:eastAsia="Arial" w:hAnsi="Arial"/>
          <w:b/>
          <w:bCs/>
          <w:sz w:val="20"/>
          <w:szCs w:val="20"/>
        </w:rPr>
        <w:t xml:space="preserve">Customer responsibilities.</w:t>
      </w:r>
      <w:r>
        <w:rPr>
          <w:rFonts w:ascii="Arial" w:cs="Arial" w:eastAsia="Arial" w:hAnsi="Arial"/>
          <w:sz w:val="20"/>
          <w:szCs w:val="20"/>
        </w:rPr>
        <w:t xml:space="preserve"> The Customer is responsible for the accuracy of data entered by its users, for approving timesheets before export to payroll, for the content of RAMS and other safety documents it creates in the Service, and for all payroll, tax and employment-law decisions made using outputs from the Service. The Service records and reports; it does not replace the Customer's own checks.</w:t>
      </w:r>
    </w:p>
    <w:p>
      <w:pPr>
        <w:spacing w:after="120" w:line="288"/>
      </w:pPr>
      <w:r>
        <w:rPr>
          <w:rFonts w:ascii="Arial" w:cs="Arial" w:eastAsia="Arial" w:hAnsi="Arial"/>
          <w:sz w:val="20"/>
          <w:szCs w:val="20"/>
        </w:rPr>
        <w:t xml:space="preserve">2.6 </w:t>
      </w:r>
      <w:r>
        <w:rPr>
          <w:rFonts w:ascii="Arial" w:cs="Arial" w:eastAsia="Arial" w:hAnsi="Arial"/>
          <w:b/>
          <w:bCs/>
          <w:sz w:val="20"/>
          <w:szCs w:val="20"/>
        </w:rPr>
        <w:t xml:space="preserve">Changes to the Service.</w:t>
      </w:r>
      <w:r>
        <w:rPr>
          <w:rFonts w:ascii="Arial" w:cs="Arial" w:eastAsia="Arial" w:hAnsi="Arial"/>
          <w:sz w:val="20"/>
          <w:szCs w:val="20"/>
        </w:rPr>
        <w:t xml:space="preserve"> The Supplier may improve and change the Service provided the core functions in the Order Form are not materially reduced. Material changes are announced at least 30 days in advance through the Service or by e-mail to the Customer's named contact.</w:t>
      </w:r>
    </w:p>
    <w:p>
      <w:pPr>
        <w:keepNext/>
        <w:pBdr>
          <w:bottom w:val="single" w:color="0A8180" w:sz="8" w:space="4"/>
        </w:pBdr>
        <w:spacing w:after="120" w:before="360"/>
      </w:pPr>
      <w:r>
        <w:rPr>
          <w:rFonts w:ascii="Arial" w:cs="Arial" w:eastAsia="Arial" w:hAnsi="Arial"/>
          <w:b/>
          <w:bCs/>
          <w:color w:val="072244"/>
          <w:sz w:val="26"/>
          <w:szCs w:val="26"/>
        </w:rPr>
        <w:t xml:space="preserve">3. Set-up, data import and go-live</w:t>
      </w:r>
    </w:p>
    <w:p>
      <w:pPr>
        <w:spacing w:after="120" w:line="288"/>
      </w:pPr>
      <w:r>
        <w:rPr>
          <w:rFonts w:ascii="Arial" w:cs="Arial" w:eastAsia="Arial" w:hAnsi="Arial"/>
          <w:sz w:val="20"/>
          <w:szCs w:val="20"/>
        </w:rPr>
        <w:t xml:space="preserve">3.1 </w:t>
      </w:r>
      <w:r>
        <w:rPr>
          <w:rFonts w:ascii="Arial" w:cs="Arial" w:eastAsia="Arial" w:hAnsi="Arial"/>
          <w:b/>
          <w:bCs/>
          <w:sz w:val="20"/>
          <w:szCs w:val="20"/>
        </w:rPr>
        <w:t xml:space="preserve">Scope.</w:t>
      </w:r>
      <w:r>
        <w:rPr>
          <w:rFonts w:ascii="Arial" w:cs="Arial" w:eastAsia="Arial" w:hAnsi="Arial"/>
          <w:sz w:val="20"/>
          <w:szCs w:val="20"/>
        </w:rPr>
        <w:t xml:space="preserve"> The Set-up Fee covers: creation of the Customer's tenant with its branding and enabled modules; configuration of work statuses, job types and approval rules; creation of RAMS and other document templates from the Customer's existing documents; mapping to the Customer's payroll export (Sage or as named in the Order Form); import of the Customer's worker, client and open-job data from the files the Customer supplies; and up to two remote training sessions for Admin Users.</w:t>
      </w:r>
    </w:p>
    <w:p>
      <w:pPr>
        <w:spacing w:after="120" w:line="288"/>
      </w:pPr>
      <w:r>
        <w:rPr>
          <w:rFonts w:ascii="Arial" w:cs="Arial" w:eastAsia="Arial" w:hAnsi="Arial"/>
          <w:sz w:val="20"/>
          <w:szCs w:val="20"/>
        </w:rPr>
        <w:t xml:space="preserve">3.2 </w:t>
      </w:r>
      <w:r>
        <w:rPr>
          <w:rFonts w:ascii="Arial" w:cs="Arial" w:eastAsia="Arial" w:hAnsi="Arial"/>
          <w:b/>
          <w:bCs/>
          <w:sz w:val="20"/>
          <w:szCs w:val="20"/>
        </w:rPr>
        <w:t xml:space="preserve">Customer inputs.</w:t>
      </w:r>
      <w:r>
        <w:rPr>
          <w:rFonts w:ascii="Arial" w:cs="Arial" w:eastAsia="Arial" w:hAnsi="Arial"/>
          <w:sz w:val="20"/>
          <w:szCs w:val="20"/>
        </w:rPr>
        <w:t xml:space="preserve"> The Customer shall supply the data, documents and a named decision-maker within 10 Business Days of the Effective Date. Delays in Customer inputs extend the go-live date day for day and do not delay the Start Date by more than 30 days.</w:t>
      </w:r>
    </w:p>
    <w:p>
      <w:pPr>
        <w:spacing w:after="120" w:line="288"/>
      </w:pPr>
      <w:r>
        <w:rPr>
          <w:rFonts w:ascii="Arial" w:cs="Arial" w:eastAsia="Arial" w:hAnsi="Arial"/>
          <w:sz w:val="20"/>
          <w:szCs w:val="20"/>
        </w:rPr>
        <w:t xml:space="preserve">3.3 </w:t>
      </w:r>
      <w:r>
        <w:rPr>
          <w:rFonts w:ascii="Arial" w:cs="Arial" w:eastAsia="Arial" w:hAnsi="Arial"/>
          <w:b/>
          <w:bCs/>
          <w:sz w:val="20"/>
          <w:szCs w:val="20"/>
        </w:rPr>
        <w:t xml:space="preserve">Acceptance.</w:t>
      </w:r>
      <w:r>
        <w:rPr>
          <w:rFonts w:ascii="Arial" w:cs="Arial" w:eastAsia="Arial" w:hAnsi="Arial"/>
          <w:sz w:val="20"/>
          <w:szCs w:val="20"/>
        </w:rPr>
        <w:t xml:space="preserve"> The Supplier notifies the Customer when set-up is complete. The Customer has 10 Business Days to test and report any failure of the configured Service to match the Order Form. The Supplier corrects reported failures; if none are reported in that period, set-up is accepted.</w:t>
      </w:r>
    </w:p>
    <w:p>
      <w:pPr>
        <w:spacing w:after="120" w:line="288"/>
      </w:pPr>
      <w:r>
        <w:rPr>
          <w:rFonts w:ascii="Arial" w:cs="Arial" w:eastAsia="Arial" w:hAnsi="Arial"/>
          <w:sz w:val="20"/>
          <w:szCs w:val="20"/>
        </w:rPr>
        <w:t xml:space="preserve">3.4 </w:t>
      </w:r>
      <w:r>
        <w:rPr>
          <w:rFonts w:ascii="Arial" w:cs="Arial" w:eastAsia="Arial" w:hAnsi="Arial"/>
          <w:b/>
          <w:bCs/>
          <w:sz w:val="20"/>
          <w:szCs w:val="20"/>
        </w:rPr>
        <w:t xml:space="preserve">Storage.</w:t>
      </w:r>
      <w:r>
        <w:rPr>
          <w:rFonts w:ascii="Arial" w:cs="Arial" w:eastAsia="Arial" w:hAnsi="Arial"/>
          <w:sz w:val="20"/>
          <w:szCs w:val="20"/>
        </w:rPr>
        <w:t xml:space="preserve"> The Set-up Fee includes 25 GB of storage for photographs, video and documents. Additional storage is available in packs at the rates published in the Service.</w:t>
      </w:r>
    </w:p>
    <w:p>
      <w:pPr>
        <w:spacing w:after="120" w:line="288"/>
      </w:pPr>
      <w:r>
        <w:rPr>
          <w:rFonts w:ascii="Arial" w:cs="Arial" w:eastAsia="Arial" w:hAnsi="Arial"/>
          <w:sz w:val="20"/>
          <w:szCs w:val="20"/>
        </w:rPr>
        <w:t xml:space="preserve">3.5 </w:t>
      </w:r>
      <w:r>
        <w:rPr>
          <w:rFonts w:ascii="Arial" w:cs="Arial" w:eastAsia="Arial" w:hAnsi="Arial"/>
          <w:b/>
          <w:bCs/>
          <w:sz w:val="20"/>
          <w:szCs w:val="20"/>
        </w:rPr>
        <w:t xml:space="preserve">Additional work.</w:t>
      </w:r>
      <w:r>
        <w:rPr>
          <w:rFonts w:ascii="Arial" w:cs="Arial" w:eastAsia="Arial" w:hAnsi="Arial"/>
          <w:sz w:val="20"/>
          <w:szCs w:val="20"/>
        </w:rPr>
        <w:t xml:space="preserve"> Integrations, custom reports and features beyond the Order Form are quoted separately and delivered under a written statement of work.</w:t>
      </w:r>
    </w:p>
    <w:p>
      <w:pPr>
        <w:keepNext/>
        <w:pBdr>
          <w:bottom w:val="single" w:color="0A8180" w:sz="8" w:space="4"/>
        </w:pBdr>
        <w:spacing w:after="120" w:before="360"/>
      </w:pPr>
      <w:r>
        <w:rPr>
          <w:rFonts w:ascii="Arial" w:cs="Arial" w:eastAsia="Arial" w:hAnsi="Arial"/>
          <w:b/>
          <w:bCs/>
          <w:color w:val="072244"/>
          <w:sz w:val="26"/>
          <w:szCs w:val="26"/>
        </w:rPr>
        <w:t xml:space="preserve">4. Fees, invoicing and payment</w:t>
      </w:r>
    </w:p>
    <w:p>
      <w:pPr>
        <w:spacing w:after="120" w:line="288"/>
      </w:pPr>
      <w:r>
        <w:rPr>
          <w:rFonts w:ascii="Arial" w:cs="Arial" w:eastAsia="Arial" w:hAnsi="Arial"/>
          <w:sz w:val="20"/>
          <w:szCs w:val="20"/>
        </w:rPr>
        <w:t xml:space="preserve">4.1 </w:t>
      </w:r>
      <w:r>
        <w:rPr>
          <w:rFonts w:ascii="Arial" w:cs="Arial" w:eastAsia="Arial" w:hAnsi="Arial"/>
          <w:b/>
          <w:bCs/>
          <w:sz w:val="20"/>
          <w:szCs w:val="20"/>
        </w:rPr>
        <w:t xml:space="preserve">Subscription Fees</w:t>
      </w:r>
      <w:r>
        <w:rPr>
          <w:rFonts w:ascii="Arial" w:cs="Arial" w:eastAsia="Arial" w:hAnsi="Arial"/>
          <w:sz w:val="20"/>
          <w:szCs w:val="20"/>
        </w:rPr>
        <w:t xml:space="preserve"> are calculated monthly in arrears as (number of Field Users × Field User rate) + (number of Admin Users × Admin User rate), using the highest user count active on any day of that month, and never less than the minimum monthly fee in the Order Form.</w:t>
      </w:r>
    </w:p>
    <w:p>
      <w:pPr>
        <w:spacing w:after="120" w:line="288"/>
      </w:pPr>
      <w:r>
        <w:rPr>
          <w:rFonts w:ascii="Arial" w:cs="Arial" w:eastAsia="Arial" w:hAnsi="Arial"/>
          <w:sz w:val="20"/>
          <w:szCs w:val="20"/>
        </w:rPr>
        <w:t xml:space="preserve">4.2 </w:t>
      </w:r>
      <w:r>
        <w:rPr>
          <w:rFonts w:ascii="Arial" w:cs="Arial" w:eastAsia="Arial" w:hAnsi="Arial"/>
          <w:b/>
          <w:bCs/>
          <w:sz w:val="20"/>
          <w:szCs w:val="20"/>
        </w:rPr>
        <w:t xml:space="preserve">Set-up Fee</w:t>
      </w:r>
      <w:r>
        <w:rPr>
          <w:rFonts w:ascii="Arial" w:cs="Arial" w:eastAsia="Arial" w:hAnsi="Arial"/>
          <w:sz w:val="20"/>
          <w:szCs w:val="20"/>
        </w:rPr>
        <w:t xml:space="preserve"> is invoiced on the Effective Date and is non-refundable once set-up work has begun.</w:t>
      </w:r>
    </w:p>
    <w:p>
      <w:pPr>
        <w:spacing w:after="120" w:line="288"/>
      </w:pPr>
      <w:r>
        <w:rPr>
          <w:rFonts w:ascii="Arial" w:cs="Arial" w:eastAsia="Arial" w:hAnsi="Arial"/>
          <w:sz w:val="20"/>
          <w:szCs w:val="20"/>
        </w:rPr>
        <w:t xml:space="preserve">4.3 </w:t>
      </w:r>
      <w:r>
        <w:rPr>
          <w:rFonts w:ascii="Arial" w:cs="Arial" w:eastAsia="Arial" w:hAnsi="Arial"/>
          <w:b/>
          <w:bCs/>
          <w:sz w:val="20"/>
          <w:szCs w:val="20"/>
        </w:rPr>
        <w:t xml:space="preserve">Invoicing and payment.</w:t>
      </w:r>
      <w:r>
        <w:rPr>
          <w:rFonts w:ascii="Arial" w:cs="Arial" w:eastAsia="Arial" w:hAnsi="Arial"/>
          <w:sz w:val="20"/>
          <w:szCs w:val="20"/>
        </w:rPr>
        <w:t xml:space="preserve"> Invoices are issued on the first Business Day of each month and are payable within 14 days by direct debit or bank transfer. All Fees are in pounds sterling and exclusive of VAT, which is charged at the applicable rate.</w:t>
      </w:r>
    </w:p>
    <w:p>
      <w:pPr>
        <w:spacing w:after="120" w:line="288"/>
      </w:pPr>
      <w:r>
        <w:rPr>
          <w:rFonts w:ascii="Arial" w:cs="Arial" w:eastAsia="Arial" w:hAnsi="Arial"/>
          <w:sz w:val="20"/>
          <w:szCs w:val="20"/>
        </w:rPr>
        <w:t xml:space="preserve">4.4 </w:t>
      </w:r>
      <w:r>
        <w:rPr>
          <w:rFonts w:ascii="Arial" w:cs="Arial" w:eastAsia="Arial" w:hAnsi="Arial"/>
          <w:b/>
          <w:bCs/>
          <w:sz w:val="20"/>
          <w:szCs w:val="20"/>
        </w:rPr>
        <w:t xml:space="preserve">Late payment.</w:t>
      </w:r>
      <w:r>
        <w:rPr>
          <w:rFonts w:ascii="Arial" w:cs="Arial" w:eastAsia="Arial" w:hAnsi="Arial"/>
          <w:sz w:val="20"/>
          <w:szCs w:val="20"/>
        </w:rPr>
        <w:t xml:space="preserve"> Overdue sums bear interest at 4% a year above the Bank of England base rate from the due date until paid. If any invoice is more than 30 days overdue the Supplier may, on 7 days' written notice, suspend access to the Service until payment is received; Fees continue to accrue during suspension.</w:t>
      </w:r>
    </w:p>
    <w:p>
      <w:pPr>
        <w:spacing w:after="120" w:line="288"/>
      </w:pPr>
      <w:r>
        <w:rPr>
          <w:rFonts w:ascii="Arial" w:cs="Arial" w:eastAsia="Arial" w:hAnsi="Arial"/>
          <w:sz w:val="20"/>
          <w:szCs w:val="20"/>
        </w:rPr>
        <w:t xml:space="preserve">4.5 </w:t>
      </w:r>
      <w:r>
        <w:rPr>
          <w:rFonts w:ascii="Arial" w:cs="Arial" w:eastAsia="Arial" w:hAnsi="Arial"/>
          <w:b/>
          <w:bCs/>
          <w:sz w:val="20"/>
          <w:szCs w:val="20"/>
        </w:rPr>
        <w:t xml:space="preserve">Price changes.</w:t>
      </w:r>
      <w:r>
        <w:rPr>
          <w:rFonts w:ascii="Arial" w:cs="Arial" w:eastAsia="Arial" w:hAnsi="Arial"/>
          <w:sz w:val="20"/>
          <w:szCs w:val="20"/>
        </w:rPr>
        <w:t xml:space="preserve"> Rates in the Order Form are fixed for the Initial Term. The Supplier may change rates from the start of any Renewal Term on at least 90 days' written notice, by no more than the greater of 5% and the change in CPI over the preceding 12 months. A Customer on a pilot or introductory rate moves to the Supplier's then-published list rate from the first Renewal Term, on the same notice.</w:t>
      </w:r>
    </w:p>
    <w:p>
      <w:pPr>
        <w:spacing w:after="120" w:line="288"/>
      </w:pPr>
      <w:r>
        <w:rPr>
          <w:rFonts w:ascii="Arial" w:cs="Arial" w:eastAsia="Arial" w:hAnsi="Arial"/>
          <w:sz w:val="20"/>
          <w:szCs w:val="20"/>
        </w:rPr>
        <w:t xml:space="preserve">4.6 </w:t>
      </w:r>
      <w:r>
        <w:rPr>
          <w:rFonts w:ascii="Arial" w:cs="Arial" w:eastAsia="Arial" w:hAnsi="Arial"/>
          <w:b/>
          <w:bCs/>
          <w:sz w:val="20"/>
          <w:szCs w:val="20"/>
        </w:rPr>
        <w:t xml:space="preserve">Disputes.</w:t>
      </w:r>
      <w:r>
        <w:rPr>
          <w:rFonts w:ascii="Arial" w:cs="Arial" w:eastAsia="Arial" w:hAnsi="Arial"/>
          <w:sz w:val="20"/>
          <w:szCs w:val="20"/>
        </w:rPr>
        <w:t xml:space="preserve"> The Customer must raise any invoice dispute in writing within 14 days of the invoice date, pay the undisputed part on time, and the parties resolve the balance in good faith within 30 days.</w:t>
      </w:r>
    </w:p>
    <w:p>
      <w:pPr>
        <w:keepNext/>
        <w:pBdr>
          <w:bottom w:val="single" w:color="0A8180" w:sz="8" w:space="4"/>
        </w:pBdr>
        <w:spacing w:after="120" w:before="360"/>
      </w:pPr>
      <w:r>
        <w:rPr>
          <w:rFonts w:ascii="Arial" w:cs="Arial" w:eastAsia="Arial" w:hAnsi="Arial"/>
          <w:b/>
          <w:bCs/>
          <w:color w:val="072244"/>
          <w:sz w:val="26"/>
          <w:szCs w:val="26"/>
        </w:rPr>
        <w:t xml:space="preserve">5. Term and termination</w:t>
      </w:r>
    </w:p>
    <w:p>
      <w:pPr>
        <w:spacing w:after="120" w:line="288"/>
      </w:pPr>
      <w:r>
        <w:rPr>
          <w:rFonts w:ascii="Arial" w:cs="Arial" w:eastAsia="Arial" w:hAnsi="Arial"/>
          <w:sz w:val="20"/>
          <w:szCs w:val="20"/>
        </w:rPr>
        <w:t xml:space="preserve">5.1 </w:t>
      </w:r>
      <w:r>
        <w:rPr>
          <w:rFonts w:ascii="Arial" w:cs="Arial" w:eastAsia="Arial" w:hAnsi="Arial"/>
          <w:b/>
          <w:bCs/>
          <w:sz w:val="20"/>
          <w:szCs w:val="20"/>
        </w:rPr>
        <w:t xml:space="preserve">Term.</w:t>
      </w:r>
      <w:r>
        <w:rPr>
          <w:rFonts w:ascii="Arial" w:cs="Arial" w:eastAsia="Arial" w:hAnsi="Arial"/>
          <w:sz w:val="20"/>
          <w:szCs w:val="20"/>
        </w:rPr>
        <w:t xml:space="preserve"> This Agreement runs from the Effective Date for an initial period of 12 months from the Start Date (</w:t>
      </w:r>
      <w:r>
        <w:rPr>
          <w:rFonts w:ascii="Arial" w:cs="Arial" w:eastAsia="Arial" w:hAnsi="Arial"/>
          <w:b/>
          <w:bCs/>
          <w:sz w:val="20"/>
          <w:szCs w:val="20"/>
        </w:rPr>
        <w:t xml:space="preserve">Initial Term</w:t>
      </w:r>
      <w:r>
        <w:rPr>
          <w:rFonts w:ascii="Arial" w:cs="Arial" w:eastAsia="Arial" w:hAnsi="Arial"/>
          <w:sz w:val="20"/>
          <w:szCs w:val="20"/>
        </w:rPr>
        <w:t xml:space="preserve">) and then renews automatically for successive 12-month periods (each a </w:t>
      </w:r>
      <w:r>
        <w:rPr>
          <w:rFonts w:ascii="Arial" w:cs="Arial" w:eastAsia="Arial" w:hAnsi="Arial"/>
          <w:b/>
          <w:bCs/>
          <w:sz w:val="20"/>
          <w:szCs w:val="20"/>
        </w:rPr>
        <w:t xml:space="preserve">Renewal Term</w:t>
      </w:r>
      <w:r>
        <w:rPr>
          <w:rFonts w:ascii="Arial" w:cs="Arial" w:eastAsia="Arial" w:hAnsi="Arial"/>
          <w:sz w:val="20"/>
          <w:szCs w:val="20"/>
        </w:rPr>
        <w:t xml:space="preserve">) unless either party gives at least 90 days' written notice to expire at the end of the Initial Term or the then-current Renewal Term.</w:t>
      </w:r>
    </w:p>
    <w:p>
      <w:pPr>
        <w:spacing w:after="120" w:line="288"/>
      </w:pPr>
      <w:r>
        <w:rPr>
          <w:rFonts w:ascii="Arial" w:cs="Arial" w:eastAsia="Arial" w:hAnsi="Arial"/>
          <w:sz w:val="20"/>
          <w:szCs w:val="20"/>
        </w:rPr>
        <w:t xml:space="preserve">5.2 </w:t>
      </w:r>
      <w:r>
        <w:rPr>
          <w:rFonts w:ascii="Arial" w:cs="Arial" w:eastAsia="Arial" w:hAnsi="Arial"/>
          <w:b/>
          <w:bCs/>
          <w:sz w:val="20"/>
          <w:szCs w:val="20"/>
        </w:rPr>
        <w:t xml:space="preserve">Termination for cause.</w:t>
      </w:r>
      <w:r>
        <w:rPr>
          <w:rFonts w:ascii="Arial" w:cs="Arial" w:eastAsia="Arial" w:hAnsi="Arial"/>
          <w:sz w:val="20"/>
          <w:szCs w:val="20"/>
        </w:rPr>
        <w:t xml:space="preserve"> Either party may terminate immediately by written notice if the other: commits a material breach that is not remedied within 30 days of written notice requiring it; or becomes insolvent, enters administration or liquidation, or ceases to trade.</w:t>
      </w:r>
    </w:p>
    <w:p>
      <w:pPr>
        <w:spacing w:after="120" w:line="288"/>
      </w:pPr>
      <w:r>
        <w:rPr>
          <w:rFonts w:ascii="Arial" w:cs="Arial" w:eastAsia="Arial" w:hAnsi="Arial"/>
          <w:sz w:val="20"/>
          <w:szCs w:val="20"/>
        </w:rPr>
        <w:t xml:space="preserve">5.3 </w:t>
      </w:r>
      <w:r>
        <w:rPr>
          <w:rFonts w:ascii="Arial" w:cs="Arial" w:eastAsia="Arial" w:hAnsi="Arial"/>
          <w:b/>
          <w:bCs/>
          <w:sz w:val="20"/>
          <w:szCs w:val="20"/>
        </w:rPr>
        <w:t xml:space="preserve">Termination by the Supplier for non-payment.</w:t>
      </w:r>
      <w:r>
        <w:rPr>
          <w:rFonts w:ascii="Arial" w:cs="Arial" w:eastAsia="Arial" w:hAnsi="Arial"/>
          <w:sz w:val="20"/>
          <w:szCs w:val="20"/>
        </w:rPr>
        <w:t xml:space="preserve"> The Supplier may terminate on 14 days' written notice if any undisputed invoice remains unpaid 60 days after its due date.</w:t>
      </w:r>
    </w:p>
    <w:p>
      <w:pPr>
        <w:spacing w:after="120" w:line="288"/>
      </w:pPr>
      <w:r>
        <w:rPr>
          <w:rFonts w:ascii="Arial" w:cs="Arial" w:eastAsia="Arial" w:hAnsi="Arial"/>
          <w:sz w:val="20"/>
          <w:szCs w:val="20"/>
        </w:rPr>
        <w:t xml:space="preserve">5.4 </w:t>
      </w:r>
      <w:r>
        <w:rPr>
          <w:rFonts w:ascii="Arial" w:cs="Arial" w:eastAsia="Arial" w:hAnsi="Arial"/>
          <w:b/>
          <w:bCs/>
          <w:sz w:val="20"/>
          <w:szCs w:val="20"/>
        </w:rPr>
        <w:t xml:space="preserve">Consequences.</w:t>
      </w:r>
      <w:r>
        <w:rPr>
          <w:rFonts w:ascii="Arial" w:cs="Arial" w:eastAsia="Arial" w:hAnsi="Arial"/>
          <w:sz w:val="20"/>
          <w:szCs w:val="20"/>
        </w:rPr>
        <w:t xml:space="preserve"> On expiry or termination: the Customer's right to use the Service ends; all Fees accrued to the termination date become payable; and, where the Customer terminates for the Supplier's breach, the Supplier refunds any Subscription Fees paid in advance for the period after termination.</w:t>
      </w:r>
    </w:p>
    <w:p>
      <w:pPr>
        <w:spacing w:after="120" w:line="288"/>
      </w:pPr>
      <w:r>
        <w:rPr>
          <w:rFonts w:ascii="Arial" w:cs="Arial" w:eastAsia="Arial" w:hAnsi="Arial"/>
          <w:sz w:val="20"/>
          <w:szCs w:val="20"/>
        </w:rPr>
        <w:t xml:space="preserve">5.5 </w:t>
      </w:r>
      <w:r>
        <w:rPr>
          <w:rFonts w:ascii="Arial" w:cs="Arial" w:eastAsia="Arial" w:hAnsi="Arial"/>
          <w:b/>
          <w:bCs/>
          <w:sz w:val="20"/>
          <w:szCs w:val="20"/>
        </w:rPr>
        <w:t xml:space="preserve">Data return.</w:t>
      </w:r>
      <w:r>
        <w:rPr>
          <w:rFonts w:ascii="Arial" w:cs="Arial" w:eastAsia="Arial" w:hAnsi="Arial"/>
          <w:sz w:val="20"/>
          <w:szCs w:val="20"/>
        </w:rPr>
        <w:t xml:space="preserve"> For 30 days after termination the Customer may export its Customer Data from the Service in CSV and the original file formats for documents and media. On the Customer's written request within that period the Supplier provides one full export. After 30 days the Supplier deletes Customer Data from the live Service, and from backups in the ordinary backup cycle, except where retention is required by law.</w:t>
      </w:r>
    </w:p>
    <w:p>
      <w:pPr>
        <w:spacing w:after="120" w:line="288"/>
      </w:pPr>
      <w:r>
        <w:rPr>
          <w:rFonts w:ascii="Arial" w:cs="Arial" w:eastAsia="Arial" w:hAnsi="Arial"/>
          <w:sz w:val="20"/>
          <w:szCs w:val="20"/>
        </w:rPr>
        <w:t xml:space="preserve">5.6 </w:t>
      </w:r>
      <w:r>
        <w:rPr>
          <w:rFonts w:ascii="Arial" w:cs="Arial" w:eastAsia="Arial" w:hAnsi="Arial"/>
          <w:b/>
          <w:bCs/>
          <w:sz w:val="20"/>
          <w:szCs w:val="20"/>
        </w:rPr>
        <w:t xml:space="preserve">Survival.</w:t>
      </w:r>
      <w:r>
        <w:rPr>
          <w:rFonts w:ascii="Arial" w:cs="Arial" w:eastAsia="Arial" w:hAnsi="Arial"/>
          <w:sz w:val="20"/>
          <w:szCs w:val="20"/>
        </w:rPr>
        <w:t xml:space="preserve"> Clauses 4 (sums due), 5.4 to 5.6, 7, 8, 9, 10 and 11 survive termination.</w:t>
      </w:r>
    </w:p>
    <w:p>
      <w:pPr>
        <w:keepNext/>
        <w:pBdr>
          <w:bottom w:val="single" w:color="0A8180" w:sz="8" w:space="4"/>
        </w:pBdr>
        <w:spacing w:after="120" w:before="360"/>
      </w:pPr>
      <w:r>
        <w:rPr>
          <w:rFonts w:ascii="Arial" w:cs="Arial" w:eastAsia="Arial" w:hAnsi="Arial"/>
          <w:b/>
          <w:bCs/>
          <w:color w:val="072244"/>
          <w:sz w:val="26"/>
          <w:szCs w:val="26"/>
        </w:rPr>
        <w:t xml:space="preserve">6. Service levels and support</w:t>
      </w:r>
    </w:p>
    <w:p>
      <w:pPr>
        <w:spacing w:after="120" w:line="288"/>
      </w:pPr>
      <w:r>
        <w:rPr>
          <w:rFonts w:ascii="Arial" w:cs="Arial" w:eastAsia="Arial" w:hAnsi="Arial"/>
          <w:sz w:val="20"/>
          <w:szCs w:val="20"/>
        </w:rPr>
        <w:t xml:space="preserve">6.1 The Supplier provides the Service in accordance with Schedule 4: a 99.5% monthly availability target measured outside planned maintenance, support by e-mail and in-app during UK Business Days 08:00–18:00, and the response times in Schedule 4.</w:t>
      </w:r>
    </w:p>
    <w:p>
      <w:pPr>
        <w:spacing w:after="120" w:line="288"/>
      </w:pPr>
      <w:r>
        <w:rPr>
          <w:rFonts w:ascii="Arial" w:cs="Arial" w:eastAsia="Arial" w:hAnsi="Arial"/>
          <w:sz w:val="20"/>
          <w:szCs w:val="20"/>
        </w:rPr>
        <w:t xml:space="preserve">6.2 Planned maintenance is carried out outside 06:00–20:00 UK time where possible and announced at least 48 hours in advance. Emergency maintenance to protect security or data may be carried out at any time with notice as soon as practicable.</w:t>
      </w:r>
    </w:p>
    <w:p>
      <w:pPr>
        <w:spacing w:after="120" w:line="288"/>
      </w:pPr>
      <w:r>
        <w:rPr>
          <w:rFonts w:ascii="Arial" w:cs="Arial" w:eastAsia="Arial" w:hAnsi="Arial"/>
          <w:sz w:val="20"/>
          <w:szCs w:val="20"/>
        </w:rPr>
        <w:t xml:space="preserve">6.3 If availability in a calendar month falls below 99.5%, the Customer may claim the service credit in Schedule 4 against the next invoice. Service credits are the Customer's sole remedy for availability shortfalls except where the shortfall amounts to a material breach under clause 5.2.</w:t>
      </w:r>
    </w:p>
    <w:p>
      <w:pPr>
        <w:spacing w:after="120" w:line="288"/>
      </w:pPr>
      <w:r>
        <w:rPr>
          <w:rFonts w:ascii="Arial" w:cs="Arial" w:eastAsia="Arial" w:hAnsi="Arial"/>
          <w:sz w:val="20"/>
          <w:szCs w:val="20"/>
        </w:rPr>
        <w:t xml:space="preserve">6.4 The Supplier keeps the mobile application compatible with the current and previous major release of iOS and Android.</w:t>
      </w:r>
    </w:p>
    <w:p>
      <w:pPr>
        <w:keepNext/>
        <w:pBdr>
          <w:bottom w:val="single" w:color="0A8180" w:sz="8" w:space="4"/>
        </w:pBdr>
        <w:spacing w:after="120" w:before="360"/>
      </w:pPr>
      <w:r>
        <w:rPr>
          <w:rFonts w:ascii="Arial" w:cs="Arial" w:eastAsia="Arial" w:hAnsi="Arial"/>
          <w:b/>
          <w:bCs/>
          <w:color w:val="072244"/>
          <w:sz w:val="26"/>
          <w:szCs w:val="26"/>
        </w:rPr>
        <w:t xml:space="preserve">7. Customer Data, data protection and security</w:t>
      </w:r>
    </w:p>
    <w:p>
      <w:pPr>
        <w:spacing w:after="120" w:line="288"/>
      </w:pPr>
      <w:r>
        <w:rPr>
          <w:rFonts w:ascii="Arial" w:cs="Arial" w:eastAsia="Arial" w:hAnsi="Arial"/>
          <w:sz w:val="20"/>
          <w:szCs w:val="20"/>
        </w:rPr>
        <w:t xml:space="preserve">7.1 </w:t>
      </w:r>
      <w:r>
        <w:rPr>
          <w:rFonts w:ascii="Arial" w:cs="Arial" w:eastAsia="Arial" w:hAnsi="Arial"/>
          <w:b/>
          <w:bCs/>
          <w:sz w:val="20"/>
          <w:szCs w:val="20"/>
        </w:rPr>
        <w:t xml:space="preserve">Ownership.</w:t>
      </w:r>
      <w:r>
        <w:rPr>
          <w:rFonts w:ascii="Arial" w:cs="Arial" w:eastAsia="Arial" w:hAnsi="Arial"/>
          <w:sz w:val="20"/>
          <w:szCs w:val="20"/>
        </w:rPr>
        <w:t xml:space="preserve"> Customer Data belongs to the Customer. The Supplier uses it only to provide the Service, to support the Customer, and as permitted by clause 7.7.</w:t>
      </w:r>
    </w:p>
    <w:p>
      <w:pPr>
        <w:spacing w:after="120" w:line="288"/>
      </w:pPr>
      <w:r>
        <w:rPr>
          <w:rFonts w:ascii="Arial" w:cs="Arial" w:eastAsia="Arial" w:hAnsi="Arial"/>
          <w:sz w:val="20"/>
          <w:szCs w:val="20"/>
        </w:rPr>
        <w:t xml:space="preserve">7.2 </w:t>
      </w:r>
      <w:r>
        <w:rPr>
          <w:rFonts w:ascii="Arial" w:cs="Arial" w:eastAsia="Arial" w:hAnsi="Arial"/>
          <w:b/>
          <w:bCs/>
          <w:sz w:val="20"/>
          <w:szCs w:val="20"/>
        </w:rPr>
        <w:t xml:space="preserve">Roles.</w:t>
      </w:r>
      <w:r>
        <w:rPr>
          <w:rFonts w:ascii="Arial" w:cs="Arial" w:eastAsia="Arial" w:hAnsi="Arial"/>
          <w:sz w:val="20"/>
          <w:szCs w:val="20"/>
        </w:rPr>
        <w:t xml:space="preserve"> For personal data in Customer Data the Customer is the controller and the Supplier is the processor. Schedule 3 sets out the Article 28 UK GDPR processing terms and forms part of this Agreement. For the Supplier's own account, billing and contact records the Supplier is a controller.</w:t>
      </w:r>
    </w:p>
    <w:p>
      <w:pPr>
        <w:spacing w:after="120" w:line="288"/>
      </w:pPr>
      <w:r>
        <w:rPr>
          <w:rFonts w:ascii="Arial" w:cs="Arial" w:eastAsia="Arial" w:hAnsi="Arial"/>
          <w:sz w:val="20"/>
          <w:szCs w:val="20"/>
        </w:rPr>
        <w:t xml:space="preserve">7.3 </w:t>
      </w:r>
      <w:r>
        <w:rPr>
          <w:rFonts w:ascii="Arial" w:cs="Arial" w:eastAsia="Arial" w:hAnsi="Arial"/>
          <w:b/>
          <w:bCs/>
          <w:sz w:val="20"/>
          <w:szCs w:val="20"/>
        </w:rPr>
        <w:t xml:space="preserve">Hosting.</w:t>
      </w:r>
      <w:r>
        <w:rPr>
          <w:rFonts w:ascii="Arial" w:cs="Arial" w:eastAsia="Arial" w:hAnsi="Arial"/>
          <w:sz w:val="20"/>
          <w:szCs w:val="20"/>
        </w:rPr>
        <w:t xml:space="preserve"> Customer Data is hosted on Microsoft Azure in the United Kingdom. The Supplier shall not transfer Customer Data outside the UK without the Customer's prior written consent and appropriate safeguards, except for sub-processors listed in Schedule 3.</w:t>
      </w:r>
    </w:p>
    <w:p>
      <w:pPr>
        <w:spacing w:after="120" w:line="288"/>
      </w:pPr>
      <w:r>
        <w:rPr>
          <w:rFonts w:ascii="Arial" w:cs="Arial" w:eastAsia="Arial" w:hAnsi="Arial"/>
          <w:sz w:val="20"/>
          <w:szCs w:val="20"/>
        </w:rPr>
        <w:t xml:space="preserve">7.4 </w:t>
      </w:r>
      <w:r>
        <w:rPr>
          <w:rFonts w:ascii="Arial" w:cs="Arial" w:eastAsia="Arial" w:hAnsi="Arial"/>
          <w:b/>
          <w:bCs/>
          <w:sz w:val="20"/>
          <w:szCs w:val="20"/>
        </w:rPr>
        <w:t xml:space="preserve">Security.</w:t>
      </w:r>
      <w:r>
        <w:rPr>
          <w:rFonts w:ascii="Arial" w:cs="Arial" w:eastAsia="Arial" w:hAnsi="Arial"/>
          <w:sz w:val="20"/>
          <w:szCs w:val="20"/>
        </w:rPr>
        <w:t xml:space="preserve"> The Supplier maintains appropriate technical and organisational measures including encryption in transit and at rest, role-based access, logging of access to Customer Data, and daily backups retained for 30 days. The Supplier notifies the Customer without undue delay, and in any case within 48 hours, of becoming aware of a personal data breach affecting Customer Data.</w:t>
      </w:r>
    </w:p>
    <w:p>
      <w:pPr>
        <w:spacing w:after="120" w:line="288"/>
      </w:pPr>
      <w:r>
        <w:rPr>
          <w:rFonts w:ascii="Arial" w:cs="Arial" w:eastAsia="Arial" w:hAnsi="Arial"/>
          <w:sz w:val="20"/>
          <w:szCs w:val="20"/>
        </w:rPr>
        <w:t xml:space="preserve">7.5 </w:t>
      </w:r>
      <w:r>
        <w:rPr>
          <w:rFonts w:ascii="Arial" w:cs="Arial" w:eastAsia="Arial" w:hAnsi="Arial"/>
          <w:b/>
          <w:bCs/>
          <w:sz w:val="20"/>
          <w:szCs w:val="20"/>
        </w:rPr>
        <w:t xml:space="preserve">Worker location and monitoring.</w:t>
      </w:r>
      <w:r>
        <w:rPr>
          <w:rFonts w:ascii="Arial" w:cs="Arial" w:eastAsia="Arial" w:hAnsi="Arial"/>
          <w:sz w:val="20"/>
          <w:szCs w:val="20"/>
        </w:rPr>
        <w:t xml:space="preserve"> The Service records Field User location at tap-in and tap-out, during a route when the user has started one, and vehicle position where the Customer connects a telematics device. The Customer, as employer and controller, is responsible for having a lawful basis for this processing, for informing its workers in a privacy notice, for a data protection impact assessment where required, and for configuring the Service so that tracking is limited to working time. The Supplier provides the configuration controls and a template worker notice; it does not advise the Customer on employment law.</w:t>
      </w:r>
    </w:p>
    <w:p>
      <w:pPr>
        <w:spacing w:after="120" w:line="288"/>
      </w:pPr>
      <w:r>
        <w:rPr>
          <w:rFonts w:ascii="Arial" w:cs="Arial" w:eastAsia="Arial" w:hAnsi="Arial"/>
          <w:sz w:val="20"/>
          <w:szCs w:val="20"/>
        </w:rPr>
        <w:t xml:space="preserve">7.6 </w:t>
      </w:r>
      <w:r>
        <w:rPr>
          <w:rFonts w:ascii="Arial" w:cs="Arial" w:eastAsia="Arial" w:hAnsi="Arial"/>
          <w:b/>
          <w:bCs/>
          <w:sz w:val="20"/>
          <w:szCs w:val="20"/>
        </w:rPr>
        <w:t xml:space="preserve">Customer obligations.</w:t>
      </w:r>
      <w:r>
        <w:rPr>
          <w:rFonts w:ascii="Arial" w:cs="Arial" w:eastAsia="Arial" w:hAnsi="Arial"/>
          <w:sz w:val="20"/>
          <w:szCs w:val="20"/>
        </w:rPr>
        <w:t xml:space="preserve"> The Customer warrants that it has all rights and consents needed to put Customer Data into the Service and that its instructions to the Supplier comply with Data Protection Legislation.</w:t>
      </w:r>
    </w:p>
    <w:p>
      <w:pPr>
        <w:spacing w:after="120" w:line="288"/>
      </w:pPr>
      <w:r>
        <w:rPr>
          <w:rFonts w:ascii="Arial" w:cs="Arial" w:eastAsia="Arial" w:hAnsi="Arial"/>
          <w:sz w:val="20"/>
          <w:szCs w:val="20"/>
        </w:rPr>
        <w:t xml:space="preserve">7.7 </w:t>
      </w:r>
      <w:r>
        <w:rPr>
          <w:rFonts w:ascii="Arial" w:cs="Arial" w:eastAsia="Arial" w:hAnsi="Arial"/>
          <w:b/>
          <w:bCs/>
          <w:sz w:val="20"/>
          <w:szCs w:val="20"/>
        </w:rPr>
        <w:t xml:space="preserve">Service data.</w:t>
      </w:r>
      <w:r>
        <w:rPr>
          <w:rFonts w:ascii="Arial" w:cs="Arial" w:eastAsia="Arial" w:hAnsi="Arial"/>
          <w:sz w:val="20"/>
          <w:szCs w:val="20"/>
        </w:rPr>
        <w:t xml:space="preserve"> The Supplier may collect and use data about how the Service is used, and Customer Data in aggregated and anonymised form that cannot identify the Customer or any person, to operate, secure and improve the Service.</w:t>
      </w:r>
    </w:p>
    <w:p>
      <w:pPr>
        <w:spacing w:after="120" w:line="288"/>
      </w:pPr>
      <w:r>
        <w:rPr>
          <w:rFonts w:ascii="Arial" w:cs="Arial" w:eastAsia="Arial" w:hAnsi="Arial"/>
          <w:sz w:val="20"/>
          <w:szCs w:val="20"/>
        </w:rPr>
        <w:t xml:space="preserve">7.8 </w:t>
      </w:r>
      <w:r>
        <w:rPr>
          <w:rFonts w:ascii="Arial" w:cs="Arial" w:eastAsia="Arial" w:hAnsi="Arial"/>
          <w:b/>
          <w:bCs/>
          <w:sz w:val="20"/>
          <w:szCs w:val="20"/>
        </w:rPr>
        <w:t xml:space="preserve">Access by the Supplier.</w:t>
      </w:r>
      <w:r>
        <w:rPr>
          <w:rFonts w:ascii="Arial" w:cs="Arial" w:eastAsia="Arial" w:hAnsi="Arial"/>
          <w:sz w:val="20"/>
          <w:szCs w:val="20"/>
        </w:rPr>
        <w:t xml:space="preserve"> Supplier staff access Customer Data only to provide support, investigate faults or as the Customer instructs, and that access is logged.</w:t>
      </w:r>
    </w:p>
    <w:p>
      <w:pPr>
        <w:keepNext/>
        <w:pBdr>
          <w:bottom w:val="single" w:color="0A8180" w:sz="8" w:space="4"/>
        </w:pBdr>
        <w:spacing w:after="120" w:before="360"/>
      </w:pPr>
      <w:r>
        <w:rPr>
          <w:rFonts w:ascii="Arial" w:cs="Arial" w:eastAsia="Arial" w:hAnsi="Arial"/>
          <w:b/>
          <w:bCs/>
          <w:color w:val="072244"/>
          <w:sz w:val="26"/>
          <w:szCs w:val="26"/>
        </w:rPr>
        <w:t xml:space="preserve">8. Intellectual property</w:t>
      </w:r>
    </w:p>
    <w:p>
      <w:pPr>
        <w:spacing w:after="120" w:line="288"/>
      </w:pPr>
      <w:r>
        <w:rPr>
          <w:rFonts w:ascii="Arial" w:cs="Arial" w:eastAsia="Arial" w:hAnsi="Arial"/>
          <w:sz w:val="20"/>
          <w:szCs w:val="20"/>
        </w:rPr>
        <w:t xml:space="preserve">8.1 The Supplier and its licensors own all intellectual property rights in the Service, the mobile application, its documentation and any improvements, including improvements made at the Customer's suggestion. Nothing in this Agreement transfers those rights to the Customer.</w:t>
      </w:r>
    </w:p>
    <w:p>
      <w:pPr>
        <w:spacing w:after="120" w:line="288"/>
      </w:pPr>
      <w:r>
        <w:rPr>
          <w:rFonts w:ascii="Arial" w:cs="Arial" w:eastAsia="Arial" w:hAnsi="Arial"/>
          <w:sz w:val="20"/>
          <w:szCs w:val="20"/>
        </w:rPr>
        <w:t xml:space="preserve">8.2 The Customer owns its Customer Data and its own templates, documents and branding placed in the Service, and grants the Supplier a licence to use them to provide the Service.</w:t>
      </w:r>
    </w:p>
    <w:p>
      <w:pPr>
        <w:spacing w:after="120" w:line="288"/>
      </w:pPr>
      <w:r>
        <w:rPr>
          <w:rFonts w:ascii="Arial" w:cs="Arial" w:eastAsia="Arial" w:hAnsi="Arial"/>
          <w:sz w:val="20"/>
          <w:szCs w:val="20"/>
        </w:rPr>
        <w:t xml:space="preserve">8.3 </w:t>
      </w:r>
      <w:r>
        <w:rPr>
          <w:rFonts w:ascii="Arial" w:cs="Arial" w:eastAsia="Arial" w:hAnsi="Arial"/>
          <w:b/>
          <w:bCs/>
          <w:sz w:val="20"/>
          <w:szCs w:val="20"/>
        </w:rPr>
        <w:t xml:space="preserve">Feedback and requested features.</w:t>
      </w:r>
      <w:r>
        <w:rPr>
          <w:rFonts w:ascii="Arial" w:cs="Arial" w:eastAsia="Arial" w:hAnsi="Arial"/>
          <w:sz w:val="20"/>
          <w:szCs w:val="20"/>
        </w:rPr>
        <w:t xml:space="preserve"> Where the Customer requests or suggests a feature, and the Supplier builds it, the feature belongs to the Supplier and may be offered to other customers, unless a statement of work under clause 3.5 says otherwise. The Customer receives no payment for suggestions, and the Supplier is not obliged to build any suggestion.</w:t>
      </w:r>
    </w:p>
    <w:p>
      <w:pPr>
        <w:spacing w:after="120" w:line="288"/>
      </w:pPr>
      <w:r>
        <w:rPr>
          <w:rFonts w:ascii="Arial" w:cs="Arial" w:eastAsia="Arial" w:hAnsi="Arial"/>
          <w:sz w:val="20"/>
          <w:szCs w:val="20"/>
        </w:rPr>
        <w:t xml:space="preserve">8.4 </w:t>
      </w:r>
      <w:r>
        <w:rPr>
          <w:rFonts w:ascii="Arial" w:cs="Arial" w:eastAsia="Arial" w:hAnsi="Arial"/>
          <w:b/>
          <w:bCs/>
          <w:sz w:val="20"/>
          <w:szCs w:val="20"/>
        </w:rPr>
        <w:t xml:space="preserve">IP indemnity.</w:t>
      </w:r>
      <w:r>
        <w:rPr>
          <w:rFonts w:ascii="Arial" w:cs="Arial" w:eastAsia="Arial" w:hAnsi="Arial"/>
          <w:sz w:val="20"/>
          <w:szCs w:val="20"/>
        </w:rPr>
        <w:t xml:space="preserve"> The Supplier shall defend the Customer against any claim that the Service as supplied infringes a third party's UK intellectual property rights and pay damages finally awarded, provided the Customer notifies the Supplier promptly, gives the Supplier control of the defence and does not use the Service in a way that caused the claim. The Supplier may modify or replace the affected part of the Service, or terminate this Agreement and refund prepaid Fees for the unexpired period, if a claim arises.</w:t>
      </w:r>
    </w:p>
    <w:p>
      <w:pPr>
        <w:keepNext/>
        <w:pBdr>
          <w:bottom w:val="single" w:color="0A8180" w:sz="8" w:space="4"/>
        </w:pBdr>
        <w:spacing w:after="120" w:before="360"/>
      </w:pPr>
      <w:r>
        <w:rPr>
          <w:rFonts w:ascii="Arial" w:cs="Arial" w:eastAsia="Arial" w:hAnsi="Arial"/>
          <w:b/>
          <w:bCs/>
          <w:color w:val="072244"/>
          <w:sz w:val="26"/>
          <w:szCs w:val="26"/>
        </w:rPr>
        <w:t xml:space="preserve">9. Warranties and liability</w:t>
      </w:r>
    </w:p>
    <w:p>
      <w:pPr>
        <w:spacing w:after="120" w:line="288"/>
      </w:pPr>
      <w:r>
        <w:rPr>
          <w:rFonts w:ascii="Arial" w:cs="Arial" w:eastAsia="Arial" w:hAnsi="Arial"/>
          <w:sz w:val="20"/>
          <w:szCs w:val="20"/>
        </w:rPr>
        <w:t xml:space="preserve">9.1 </w:t>
      </w:r>
      <w:r>
        <w:rPr>
          <w:rFonts w:ascii="Arial" w:cs="Arial" w:eastAsia="Arial" w:hAnsi="Arial"/>
          <w:b/>
          <w:bCs/>
          <w:sz w:val="20"/>
          <w:szCs w:val="20"/>
        </w:rPr>
        <w:t xml:space="preserve">Supplier warranties.</w:t>
      </w:r>
      <w:r>
        <w:rPr>
          <w:rFonts w:ascii="Arial" w:cs="Arial" w:eastAsia="Arial" w:hAnsi="Arial"/>
          <w:sz w:val="20"/>
          <w:szCs w:val="20"/>
        </w:rPr>
        <w:t xml:space="preserve"> The Supplier warrants that it will provide the Service with reasonable skill and care, that the Service will perform materially as described in the Order Form and Schedule 4, and that it has the right to grant the licence in clause 2.1. The Customer's remedy for breach of this warranty is correction of the fault or, if the Supplier cannot correct it within a reasonable time, termination under clause 5.2 and the refund in clause 5.4.</w:t>
      </w:r>
    </w:p>
    <w:p>
      <w:pPr>
        <w:spacing w:after="120" w:line="288"/>
      </w:pPr>
      <w:r>
        <w:rPr>
          <w:rFonts w:ascii="Arial" w:cs="Arial" w:eastAsia="Arial" w:hAnsi="Arial"/>
          <w:sz w:val="20"/>
          <w:szCs w:val="20"/>
        </w:rPr>
        <w:t xml:space="preserve">9.2 </w:t>
      </w:r>
      <w:r>
        <w:rPr>
          <w:rFonts w:ascii="Arial" w:cs="Arial" w:eastAsia="Arial" w:hAnsi="Arial"/>
          <w:b/>
          <w:bCs/>
          <w:sz w:val="20"/>
          <w:szCs w:val="20"/>
        </w:rPr>
        <w:t xml:space="preserve">Exclusions.</w:t>
      </w:r>
      <w:r>
        <w:rPr>
          <w:rFonts w:ascii="Arial" w:cs="Arial" w:eastAsia="Arial" w:hAnsi="Arial"/>
          <w:sz w:val="20"/>
          <w:szCs w:val="20"/>
        </w:rPr>
        <w:t xml:space="preserve"> The Service is not warranted to be error-free or uninterrupted. The Supplier is not liable for faults caused by the Customer's devices, connectivity, third-party services (including Apple, Google, Microsoft Azure, Sage and telematics providers), or data entered by the Customer. Payroll, tax, safety and employment decisions remain the Customer's responsibility (clause 2.5).</w:t>
      </w:r>
    </w:p>
    <w:p>
      <w:pPr>
        <w:spacing w:after="120" w:line="288"/>
      </w:pPr>
      <w:r>
        <w:rPr>
          <w:rFonts w:ascii="Arial" w:cs="Arial" w:eastAsia="Arial" w:hAnsi="Arial"/>
          <w:sz w:val="20"/>
          <w:szCs w:val="20"/>
        </w:rPr>
        <w:t xml:space="preserve">9.3 </w:t>
      </w:r>
      <w:r>
        <w:rPr>
          <w:rFonts w:ascii="Arial" w:cs="Arial" w:eastAsia="Arial" w:hAnsi="Arial"/>
          <w:b/>
          <w:bCs/>
          <w:sz w:val="20"/>
          <w:szCs w:val="20"/>
        </w:rPr>
        <w:t xml:space="preserve">Nothing excluded by law.</w:t>
      </w:r>
      <w:r>
        <w:rPr>
          <w:rFonts w:ascii="Arial" w:cs="Arial" w:eastAsia="Arial" w:hAnsi="Arial"/>
          <w:sz w:val="20"/>
          <w:szCs w:val="20"/>
        </w:rPr>
        <w:t xml:space="preserve"> Nothing in this Agreement limits liability for death or personal injury caused by negligence, fraud, or any liability that cannot lawfully be limited.</w:t>
      </w:r>
    </w:p>
    <w:p>
      <w:pPr>
        <w:spacing w:after="120" w:line="288"/>
      </w:pPr>
      <w:r>
        <w:rPr>
          <w:rFonts w:ascii="Arial" w:cs="Arial" w:eastAsia="Arial" w:hAnsi="Arial"/>
          <w:sz w:val="20"/>
          <w:szCs w:val="20"/>
        </w:rPr>
        <w:t xml:space="preserve">9.4 </w:t>
      </w:r>
      <w:r>
        <w:rPr>
          <w:rFonts w:ascii="Arial" w:cs="Arial" w:eastAsia="Arial" w:hAnsi="Arial"/>
          <w:b/>
          <w:bCs/>
          <w:sz w:val="20"/>
          <w:szCs w:val="20"/>
        </w:rPr>
        <w:t xml:space="preserve">Cap.</w:t>
      </w:r>
      <w:r>
        <w:rPr>
          <w:rFonts w:ascii="Arial" w:cs="Arial" w:eastAsia="Arial" w:hAnsi="Arial"/>
          <w:sz w:val="20"/>
          <w:szCs w:val="20"/>
        </w:rPr>
        <w:t xml:space="preserve"> Subject to 9.3, each party's total liability under or in connection with this Agreement in any 12-month period is limited to the Fees paid or payable by the Customer in that period, or £10,000 if greater. The cap for the Supplier's breach of clause 7 or Schedule 3 is twice that amount.</w:t>
      </w:r>
    </w:p>
    <w:p>
      <w:pPr>
        <w:spacing w:after="120" w:line="288"/>
      </w:pPr>
      <w:r>
        <w:rPr>
          <w:rFonts w:ascii="Arial" w:cs="Arial" w:eastAsia="Arial" w:hAnsi="Arial"/>
          <w:sz w:val="20"/>
          <w:szCs w:val="20"/>
        </w:rPr>
        <w:t xml:space="preserve">9.5 </w:t>
      </w:r>
      <w:r>
        <w:rPr>
          <w:rFonts w:ascii="Arial" w:cs="Arial" w:eastAsia="Arial" w:hAnsi="Arial"/>
          <w:b/>
          <w:bCs/>
          <w:sz w:val="20"/>
          <w:szCs w:val="20"/>
        </w:rPr>
        <w:t xml:space="preserve">Excluded losses.</w:t>
      </w:r>
      <w:r>
        <w:rPr>
          <w:rFonts w:ascii="Arial" w:cs="Arial" w:eastAsia="Arial" w:hAnsi="Arial"/>
          <w:sz w:val="20"/>
          <w:szCs w:val="20"/>
        </w:rPr>
        <w:t xml:space="preserve"> Subject to 9.3, neither party is liable for loss of profit, revenue, business, goodwill or anticipated savings, or for indirect or consequential loss, however arising.</w:t>
      </w:r>
    </w:p>
    <w:p>
      <w:pPr>
        <w:spacing w:after="120" w:line="288"/>
      </w:pPr>
      <w:r>
        <w:rPr>
          <w:rFonts w:ascii="Arial" w:cs="Arial" w:eastAsia="Arial" w:hAnsi="Arial"/>
          <w:sz w:val="20"/>
          <w:szCs w:val="20"/>
        </w:rPr>
        <w:t xml:space="preserve">9.6 </w:t>
      </w:r>
      <w:r>
        <w:rPr>
          <w:rFonts w:ascii="Arial" w:cs="Arial" w:eastAsia="Arial" w:hAnsi="Arial"/>
          <w:b/>
          <w:bCs/>
          <w:sz w:val="20"/>
          <w:szCs w:val="20"/>
        </w:rPr>
        <w:t xml:space="preserve">Customer indemnity.</w:t>
      </w:r>
      <w:r>
        <w:rPr>
          <w:rFonts w:ascii="Arial" w:cs="Arial" w:eastAsia="Arial" w:hAnsi="Arial"/>
          <w:sz w:val="20"/>
          <w:szCs w:val="20"/>
        </w:rPr>
        <w:t xml:space="preserve"> The Customer indemnifies the Supplier against claims by Authorised Users or third parties arising from the Customer's use of the Service in breach of clause 2.4 or 7.5, or from Customer Data that infringes a third party's rights.</w:t>
      </w:r>
    </w:p>
    <w:p>
      <w:pPr>
        <w:keepNext/>
        <w:pBdr>
          <w:bottom w:val="single" w:color="0A8180" w:sz="8" w:space="4"/>
        </w:pBdr>
        <w:spacing w:after="120" w:before="360"/>
      </w:pPr>
      <w:r>
        <w:rPr>
          <w:rFonts w:ascii="Arial" w:cs="Arial" w:eastAsia="Arial" w:hAnsi="Arial"/>
          <w:b/>
          <w:bCs/>
          <w:color w:val="072244"/>
          <w:sz w:val="26"/>
          <w:szCs w:val="26"/>
        </w:rPr>
        <w:t xml:space="preserve">10. Confidentiality and publicity</w:t>
      </w:r>
    </w:p>
    <w:p>
      <w:pPr>
        <w:spacing w:after="120" w:line="288"/>
      </w:pPr>
      <w:r>
        <w:rPr>
          <w:rFonts w:ascii="Arial" w:cs="Arial" w:eastAsia="Arial" w:hAnsi="Arial"/>
          <w:sz w:val="20"/>
          <w:szCs w:val="20"/>
        </w:rPr>
        <w:t xml:space="preserve">10.1 Each party keeps the other's confidential information (including Fees, Customer Data, and the Supplier's product roadmap and source code) confidential, uses it only for this Agreement, and discloses it only to staff and advisers who need it and are bound by equivalent duties. This does not apply to information that is public, already lawfully held, independently developed, or required by law or a regulator to be disclosed. These obligations last five years after termination; for Customer Data and source code, indefinitely.</w:t>
      </w:r>
    </w:p>
    <w:p>
      <w:pPr>
        <w:spacing w:after="120" w:line="288"/>
      </w:pPr>
      <w:r>
        <w:rPr>
          <w:rFonts w:ascii="Arial" w:cs="Arial" w:eastAsia="Arial" w:hAnsi="Arial"/>
          <w:sz w:val="20"/>
          <w:szCs w:val="20"/>
        </w:rPr>
        <w:t xml:space="preserve">10.2 </w:t>
      </w:r>
      <w:r>
        <w:rPr>
          <w:rFonts w:ascii="Arial" w:cs="Arial" w:eastAsia="Arial" w:hAnsi="Arial"/>
          <w:b/>
          <w:bCs/>
          <w:sz w:val="20"/>
          <w:szCs w:val="20"/>
        </w:rPr>
        <w:t xml:space="preserve">Reference rights.</w:t>
      </w:r>
      <w:r>
        <w:rPr>
          <w:rFonts w:ascii="Arial" w:cs="Arial" w:eastAsia="Arial" w:hAnsi="Arial"/>
          <w:sz w:val="20"/>
          <w:szCs w:val="20"/>
        </w:rPr>
        <w:t xml:space="preserve"> The Customer agrees that the Supplier may name the Customer as a customer and use its logo on the Supplier's website and in presentations to prospective customers and investors. Any quotation, case study or figure attributed to the Customer requires the Customer's prior written approval, not to be unreasonably withheld. The Customer may withdraw this permission on 30 days' written notice.</w:t>
      </w:r>
    </w:p>
    <w:p>
      <w:pPr>
        <w:keepNext/>
        <w:pBdr>
          <w:bottom w:val="single" w:color="0A8180" w:sz="8" w:space="4"/>
        </w:pBdr>
        <w:spacing w:after="120" w:before="360"/>
      </w:pPr>
      <w:r>
        <w:rPr>
          <w:rFonts w:ascii="Arial" w:cs="Arial" w:eastAsia="Arial" w:hAnsi="Arial"/>
          <w:b/>
          <w:bCs/>
          <w:color w:val="072244"/>
          <w:sz w:val="26"/>
          <w:szCs w:val="26"/>
        </w:rPr>
        <w:t xml:space="preserve">11. General</w:t>
      </w:r>
    </w:p>
    <w:p>
      <w:pPr>
        <w:spacing w:after="120" w:line="288"/>
      </w:pPr>
      <w:r>
        <w:rPr>
          <w:rFonts w:ascii="Arial" w:cs="Arial" w:eastAsia="Arial" w:hAnsi="Arial"/>
          <w:sz w:val="20"/>
          <w:szCs w:val="20"/>
        </w:rPr>
        <w:t xml:space="preserve">11.1 </w:t>
      </w:r>
      <w:r>
        <w:rPr>
          <w:rFonts w:ascii="Arial" w:cs="Arial" w:eastAsia="Arial" w:hAnsi="Arial"/>
          <w:b/>
          <w:bCs/>
          <w:sz w:val="20"/>
          <w:szCs w:val="20"/>
        </w:rPr>
        <w:t xml:space="preserve">Force majeure.</w:t>
      </w:r>
      <w:r>
        <w:rPr>
          <w:rFonts w:ascii="Arial" w:cs="Arial" w:eastAsia="Arial" w:hAnsi="Arial"/>
          <w:sz w:val="20"/>
          <w:szCs w:val="20"/>
        </w:rPr>
        <w:t xml:space="preserve"> Neither party is liable for delay or failure caused by events beyond its reasonable control, provided it notifies the other and uses reasonable efforts to resume. If such an event lasts more than 60 days either party may terminate on written notice.</w:t>
      </w:r>
    </w:p>
    <w:p>
      <w:pPr>
        <w:spacing w:after="120" w:line="288"/>
      </w:pPr>
      <w:r>
        <w:rPr>
          <w:rFonts w:ascii="Arial" w:cs="Arial" w:eastAsia="Arial" w:hAnsi="Arial"/>
          <w:sz w:val="20"/>
          <w:szCs w:val="20"/>
        </w:rPr>
        <w:t xml:space="preserve">11.2 </w:t>
      </w:r>
      <w:r>
        <w:rPr>
          <w:rFonts w:ascii="Arial" w:cs="Arial" w:eastAsia="Arial" w:hAnsi="Arial"/>
          <w:b/>
          <w:bCs/>
          <w:sz w:val="20"/>
          <w:szCs w:val="20"/>
        </w:rPr>
        <w:t xml:space="preserve">Assignment.</w:t>
      </w:r>
      <w:r>
        <w:rPr>
          <w:rFonts w:ascii="Arial" w:cs="Arial" w:eastAsia="Arial" w:hAnsi="Arial"/>
          <w:sz w:val="20"/>
          <w:szCs w:val="20"/>
        </w:rPr>
        <w:t xml:space="preserve"> Neither party may assign this Agreement without the other's written consent, not to be unreasonably withheld, except that the Supplier may assign it to a purchaser of all or substantially all of the Jobs Tracker business, or to a group company, on written notice.</w:t>
      </w:r>
    </w:p>
    <w:p>
      <w:pPr>
        <w:spacing w:after="120" w:line="288"/>
      </w:pPr>
      <w:r>
        <w:rPr>
          <w:rFonts w:ascii="Arial" w:cs="Arial" w:eastAsia="Arial" w:hAnsi="Arial"/>
          <w:sz w:val="20"/>
          <w:szCs w:val="20"/>
        </w:rPr>
        <w:t xml:space="preserve">11.3 </w:t>
      </w:r>
      <w:r>
        <w:rPr>
          <w:rFonts w:ascii="Arial" w:cs="Arial" w:eastAsia="Arial" w:hAnsi="Arial"/>
          <w:b/>
          <w:bCs/>
          <w:sz w:val="20"/>
          <w:szCs w:val="20"/>
        </w:rPr>
        <w:t xml:space="preserve">Subcontracting.</w:t>
      </w:r>
      <w:r>
        <w:rPr>
          <w:rFonts w:ascii="Arial" w:cs="Arial" w:eastAsia="Arial" w:hAnsi="Arial"/>
          <w:sz w:val="20"/>
          <w:szCs w:val="20"/>
        </w:rPr>
        <w:t xml:space="preserve"> The Supplier may subcontract hosting and support provided it remains responsible for the subcontractor's performance and complies with Schedule 3 for sub-processors.</w:t>
      </w:r>
    </w:p>
    <w:p>
      <w:pPr>
        <w:spacing w:after="120" w:line="288"/>
      </w:pPr>
      <w:r>
        <w:rPr>
          <w:rFonts w:ascii="Arial" w:cs="Arial" w:eastAsia="Arial" w:hAnsi="Arial"/>
          <w:sz w:val="20"/>
          <w:szCs w:val="20"/>
        </w:rPr>
        <w:t xml:space="preserve">11.4 </w:t>
      </w:r>
      <w:r>
        <w:rPr>
          <w:rFonts w:ascii="Arial" w:cs="Arial" w:eastAsia="Arial" w:hAnsi="Arial"/>
          <w:b/>
          <w:bCs/>
          <w:sz w:val="20"/>
          <w:szCs w:val="20"/>
        </w:rPr>
        <w:t xml:space="preserve">Notices.</w:t>
      </w:r>
      <w:r>
        <w:rPr>
          <w:rFonts w:ascii="Arial" w:cs="Arial" w:eastAsia="Arial" w:hAnsi="Arial"/>
          <w:sz w:val="20"/>
          <w:szCs w:val="20"/>
        </w:rPr>
        <w:t xml:space="preserve"> Notices are in writing to the addresses in the Order Form, by e-mail with confirmation of receipt or by recorded post, and take effect on receipt.</w:t>
      </w:r>
    </w:p>
    <w:p>
      <w:pPr>
        <w:spacing w:after="120" w:line="288"/>
      </w:pPr>
      <w:r>
        <w:rPr>
          <w:rFonts w:ascii="Arial" w:cs="Arial" w:eastAsia="Arial" w:hAnsi="Arial"/>
          <w:sz w:val="20"/>
          <w:szCs w:val="20"/>
        </w:rPr>
        <w:t xml:space="preserve">11.5 </w:t>
      </w:r>
      <w:r>
        <w:rPr>
          <w:rFonts w:ascii="Arial" w:cs="Arial" w:eastAsia="Arial" w:hAnsi="Arial"/>
          <w:b/>
          <w:bCs/>
          <w:sz w:val="20"/>
          <w:szCs w:val="20"/>
        </w:rPr>
        <w:t xml:space="preserve">Entire agreement.</w:t>
      </w:r>
      <w:r>
        <w:rPr>
          <w:rFonts w:ascii="Arial" w:cs="Arial" w:eastAsia="Arial" w:hAnsi="Arial"/>
          <w:sz w:val="20"/>
          <w:szCs w:val="20"/>
        </w:rPr>
        <w:t xml:space="preserve"> This Agreement, its Schedules and the Order Form are the whole agreement and replace all earlier discussions, proposals and pilot arrangements between the parties about the Service. Each party confirms it has not relied on any statement not set out here. Changes must be in writing and signed by both parties.</w:t>
      </w:r>
    </w:p>
    <w:p>
      <w:pPr>
        <w:spacing w:after="120" w:line="288"/>
      </w:pPr>
      <w:r>
        <w:rPr>
          <w:rFonts w:ascii="Arial" w:cs="Arial" w:eastAsia="Arial" w:hAnsi="Arial"/>
          <w:sz w:val="20"/>
          <w:szCs w:val="20"/>
        </w:rPr>
        <w:t xml:space="preserve">11.6 </w:t>
      </w:r>
      <w:r>
        <w:rPr>
          <w:rFonts w:ascii="Arial" w:cs="Arial" w:eastAsia="Arial" w:hAnsi="Arial"/>
          <w:b/>
          <w:bCs/>
          <w:sz w:val="20"/>
          <w:szCs w:val="20"/>
        </w:rPr>
        <w:t xml:space="preserve">Waiver, severance, third parties.</w:t>
      </w:r>
      <w:r>
        <w:rPr>
          <w:rFonts w:ascii="Arial" w:cs="Arial" w:eastAsia="Arial" w:hAnsi="Arial"/>
          <w:sz w:val="20"/>
          <w:szCs w:val="20"/>
        </w:rPr>
        <w:t xml:space="preserve"> A failure to enforce a right is not a waiver. If any clause is held invalid the rest stands. No third party may enforce this Agreement under the Contracts (Rights of Third Parties) Act 1999.</w:t>
      </w:r>
    </w:p>
    <w:p>
      <w:pPr>
        <w:spacing w:after="120" w:line="288"/>
      </w:pPr>
      <w:r>
        <w:rPr>
          <w:rFonts w:ascii="Arial" w:cs="Arial" w:eastAsia="Arial" w:hAnsi="Arial"/>
          <w:sz w:val="20"/>
          <w:szCs w:val="20"/>
        </w:rPr>
        <w:t xml:space="preserve">11.7 </w:t>
      </w:r>
      <w:r>
        <w:rPr>
          <w:rFonts w:ascii="Arial" w:cs="Arial" w:eastAsia="Arial" w:hAnsi="Arial"/>
          <w:b/>
          <w:bCs/>
          <w:sz w:val="20"/>
          <w:szCs w:val="20"/>
        </w:rPr>
        <w:t xml:space="preserve">Governing law and jurisdiction.</w:t>
      </w:r>
      <w:r>
        <w:rPr>
          <w:rFonts w:ascii="Arial" w:cs="Arial" w:eastAsia="Arial" w:hAnsi="Arial"/>
          <w:sz w:val="20"/>
          <w:szCs w:val="20"/>
        </w:rPr>
        <w:t xml:space="preserve"> This Agreement is governed by the law of England and Wales and the courts of England and Wales have exclusive jurisdiction.</w:t>
      </w:r>
    </w:p>
    <w:p>
      <w:pPr>
        <w:spacing w:after="120" w:line="288"/>
      </w:pPr>
      <w:r>
        <w:rPr>
          <w:rFonts w:ascii="Arial" w:cs="Arial" w:eastAsia="Arial" w:hAnsi="Arial"/>
          <w:sz w:val="20"/>
          <w:szCs w:val="20"/>
        </w:rPr>
        <w:t xml:space="preserve">11.8 </w:t>
      </w:r>
      <w:r>
        <w:rPr>
          <w:rFonts w:ascii="Arial" w:cs="Arial" w:eastAsia="Arial" w:hAnsi="Arial"/>
          <w:b/>
          <w:bCs/>
          <w:sz w:val="20"/>
          <w:szCs w:val="20"/>
        </w:rPr>
        <w:t xml:space="preserve">Counterparts and e-signature.</w:t>
      </w:r>
      <w:r>
        <w:rPr>
          <w:rFonts w:ascii="Arial" w:cs="Arial" w:eastAsia="Arial" w:hAnsi="Arial"/>
          <w:sz w:val="20"/>
          <w:szCs w:val="20"/>
        </w:rPr>
        <w:t xml:space="preserve"> This Agreement may be signed in counterparts and electronically; each counterpart is an original and together they form one agreement.</w:t>
      </w:r>
    </w:p>
    <w:p>
      <w:pPr>
        <w:keepNext/>
        <w:pageBreakBefore/>
        <w:pBdr>
          <w:bottom w:val="single" w:color="0A8180" w:sz="8" w:space="4"/>
        </w:pBdr>
        <w:spacing w:after="120" w:before="0"/>
      </w:pPr>
      <w:r>
        <w:rPr>
          <w:rFonts w:ascii="Arial" w:cs="Arial" w:eastAsia="Arial" w:hAnsi="Arial"/>
          <w:b/>
          <w:bCs/>
          <w:color w:val="072244"/>
          <w:sz w:val="26"/>
          <w:szCs w:val="26"/>
        </w:rPr>
        <w:t xml:space="preserve">Schedule 1 — Order Form: CBES</w:t>
      </w:r>
    </w:p>
    <w:p>
      <w:pPr>
        <w:spacing w:after="120" w:line="288"/>
      </w:pPr>
      <w:r>
        <w:rPr>
          <w:rFonts w:ascii="Arial" w:cs="Arial" w:eastAsia="Arial" w:hAnsi="Arial"/>
          <w:sz w:val="20"/>
          <w:szCs w:val="20"/>
        </w:rPr>
        <w:t xml:space="preserve">This Order Form is made under the Jobs Tracker Subscription Agreement and papers the service CBES has used in production since August 2026. Signing it replaces the pilot arrangement (clause 11.5).</w:t>
      </w:r>
    </w:p>
    <w:tbl>
      <w:tblPr>
        <w:tblW w:type="dxa" w:w="9360"/>
        <w:tblBorders>
          <w:top w:val="single" w:color="C9D3D6" w:sz="6"/>
          <w:left w:val="none" w:color="FFFFFF" w:sz="0"/>
          <w:bottom w:val="single" w:color="C9D3D6" w:sz="6"/>
          <w:right w:val="none" w:color="FFFFFF" w:sz="0"/>
          <w:insideH w:val="single" w:color="C9D3D6" w:sz="4"/>
          <w:insideV w:val="none" w:color="FFFFFF" w:sz="0"/>
        </w:tblBorders>
      </w:tblPr>
      <w:tblGrid>
        <w:gridCol w:w="2600"/>
        <w:gridCol w:w="6760"/>
      </w:tblGrid>
      <w:tr>
        <w:trPr>
          <w:cantSplit/>
          <w:tblHeader/>
        </w:trPr>
        <w:tc>
          <w:tcPr>
            <w:tcW w:type="dxa" w:w="26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Item</w:t>
            </w:r>
          </w:p>
        </w:tc>
        <w:tc>
          <w:tcPr>
            <w:tcW w:type="dxa" w:w="676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Detail</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Combined Building &amp; Electrical Services [Limited], company no. [________], registered office [________]</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 contact for notices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Tracey Colwill, CEO, [e-mail]</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Supplier contact for notices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Franck Merlin, Director, Workwiz Limited, support@jobstracker.work</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Effective Date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Date of last signature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Start Date (fees payable from)</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 August 2026</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Field Users included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30 at £30 per user per month (list rate)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Admin Users included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4 at £50 per user per month (list rate)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Minimum monthly fee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£1,100 (30 × £30 + 4 × £50) before the pilot partner discount below</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Set-up Fee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Waived in recognition of CBES's pilot participation</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Storage included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25 GB</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Payroll export</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Sage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Integrations enabled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[Telematics: ______ / none]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Modules enabled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Planner, jobs, timesheets, RAMS, live map, client reports, Sage export</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Pilot partner discount</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In recognition of CBES's contribution to building the Service: 60% off Subscription Fees (£660 off £1,100, net £440 a month), shown as a discount line on each invoice, for the Initial Term only. Full list rate applies from the first Renewal Term without further notice (clause 4.5)</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Reference rights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 agrees to be named and to a case study and quotation subject to clause 10.2</w:t>
            </w:r>
          </w:p>
        </w:tc>
      </w:tr>
    </w:tbl>
    <w:p>
      <w:pPr>
        <w:spacing w:after="120"/>
      </w:pPr>
    </w:p>
    <w:p>
      <w:pPr>
        <w:spacing w:after="120" w:before="360"/>
      </w:pPr>
      <w:r>
        <w:rPr>
          <w:rFonts w:ascii="Arial" w:cs="Arial" w:eastAsia="Arial" w:hAnsi="Arial"/>
          <w:b/>
          <w:bCs/>
          <w:sz w:val="20"/>
          <w:szCs w:val="20"/>
        </w:rPr>
        <w:t xml:space="preserve">Signed for Workwiz Limited:</w:t>
      </w:r>
      <w:r>
        <w:rPr>
          <w:rFonts w:ascii="Arial" w:cs="Arial" w:eastAsia="Arial" w:hAnsi="Arial"/>
          <w:sz w:val="20"/>
          <w:szCs w:val="20"/>
        </w:rPr>
        <w:t xml:space="preserve"> ______________________ Franck Merlin, Director · Date: ________</w:t>
      </w:r>
    </w:p>
    <w:p>
      <w:pPr>
        <w:spacing w:after="120" w:before="360"/>
      </w:pPr>
      <w:r>
        <w:rPr>
          <w:rFonts w:ascii="Arial" w:cs="Arial" w:eastAsia="Arial" w:hAnsi="Arial"/>
          <w:b/>
          <w:bCs/>
          <w:sz w:val="20"/>
          <w:szCs w:val="20"/>
        </w:rPr>
        <w:t xml:space="preserve">Signed for CBES:</w:t>
      </w:r>
      <w:r>
        <w:rPr>
          <w:rFonts w:ascii="Arial" w:cs="Arial" w:eastAsia="Arial" w:hAnsi="Arial"/>
          <w:sz w:val="20"/>
          <w:szCs w:val="20"/>
        </w:rPr>
        <w:t xml:space="preserve"> ______________________ [Name], [Title] · Date: ________</w:t>
      </w:r>
    </w:p>
    <w:p>
      <w:pPr>
        <w:keepNext/>
        <w:pageBreakBefore/>
        <w:pBdr>
          <w:bottom w:val="single" w:color="0A8180" w:sz="8" w:space="4"/>
        </w:pBdr>
        <w:spacing w:after="120" w:before="0"/>
      </w:pPr>
      <w:r>
        <w:rPr>
          <w:rFonts w:ascii="Arial" w:cs="Arial" w:eastAsia="Arial" w:hAnsi="Arial"/>
          <w:b/>
          <w:bCs/>
          <w:color w:val="072244"/>
          <w:sz w:val="26"/>
          <w:szCs w:val="26"/>
        </w:rPr>
        <w:t xml:space="preserve">Schedule 2 — Order Form: Gaswise</w:t>
      </w:r>
    </w:p>
    <w:p>
      <w:pPr>
        <w:spacing w:after="120" w:line="288"/>
      </w:pPr>
      <w:r>
        <w:rPr>
          <w:rFonts w:ascii="Arial" w:cs="Arial" w:eastAsia="Arial" w:hAnsi="Arial"/>
          <w:sz w:val="20"/>
          <w:szCs w:val="20"/>
        </w:rPr>
        <w:t xml:space="preserve">This Order Form is made under the Jobs Tracker Subscription Agreement at the Supplier's published list rates. Set-up and data import begin on the Effective Date; Subscription Fees start on the Start Date.</w:t>
      </w:r>
    </w:p>
    <w:tbl>
      <w:tblPr>
        <w:tblW w:type="dxa" w:w="9360"/>
        <w:tblBorders>
          <w:top w:val="single" w:color="C9D3D6" w:sz="6"/>
          <w:left w:val="none" w:color="FFFFFF" w:sz="0"/>
          <w:bottom w:val="single" w:color="C9D3D6" w:sz="6"/>
          <w:right w:val="none" w:color="FFFFFF" w:sz="0"/>
          <w:insideH w:val="single" w:color="C9D3D6" w:sz="4"/>
          <w:insideV w:val="none" w:color="FFFFFF" w:sz="0"/>
        </w:tblBorders>
      </w:tblPr>
      <w:tblGrid>
        <w:gridCol w:w="2600"/>
        <w:gridCol w:w="6760"/>
      </w:tblGrid>
      <w:tr>
        <w:trPr>
          <w:cantSplit/>
          <w:tblHeader/>
        </w:trPr>
        <w:tc>
          <w:tcPr>
            <w:tcW w:type="dxa" w:w="26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Item</w:t>
            </w:r>
          </w:p>
        </w:tc>
        <w:tc>
          <w:tcPr>
            <w:tcW w:type="dxa" w:w="676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Detail</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Gaswise [full legal name] [Limited], a company registered in Ireland under CRO number [________], registered office [________], Drogheda, Co. Louth, Ireland; VAT number [IE________]</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 contact for notices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[Name, title, e-mail]</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Supplier contact for notices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Franck Merlin, Director, Workwiz Limited, support@jobstracker.work</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Effective Date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Date of last signature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Start Date (fees payable from)</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 November 2026</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Field Users included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70 at £30 per user per month</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Admin Users included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10 at £50 per user per month</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Minimum monthly fee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£2,600 (70 × £30 + 10 × £50). All Fees are payable in pounds sterling. The Customer is established in Ireland: UK VAT is not charged and the reverse charge applies; the Customer accounts for Irish VAT</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Set-up Fee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£4,000, invoiced on the Effective Date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Set-up scope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Tenant and branding; RAMS and document templates from Customer's existing documents; work statuses; import of workers, clients and open jobs from [Excel / current system: ______]; Sage mapping; two remote training sessions</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Target go-live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End of November 2026, subject to clause 3.2</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Storage included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25 GB</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Payroll export</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Sage [confirm product/version]</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Integrations enabled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Telematics: Kinetic vehicle tracking (Customer's existing account)</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Modules enabled</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Planner, jobs, timesheets, RAMS, live map, client reports, Sage export</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Reference rights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 agrees to be named subject to clause 10.2</w:t>
            </w:r>
          </w:p>
        </w:tc>
      </w:tr>
    </w:tbl>
    <w:p>
      <w:pPr>
        <w:spacing w:after="120"/>
      </w:pPr>
    </w:p>
    <w:p>
      <w:pPr>
        <w:spacing w:after="120" w:before="360"/>
      </w:pPr>
      <w:r>
        <w:rPr>
          <w:rFonts w:ascii="Arial" w:cs="Arial" w:eastAsia="Arial" w:hAnsi="Arial"/>
          <w:b/>
          <w:bCs/>
          <w:sz w:val="20"/>
          <w:szCs w:val="20"/>
        </w:rPr>
        <w:t xml:space="preserve">Signed for Workwiz Limited:</w:t>
      </w:r>
      <w:r>
        <w:rPr>
          <w:rFonts w:ascii="Arial" w:cs="Arial" w:eastAsia="Arial" w:hAnsi="Arial"/>
          <w:sz w:val="20"/>
          <w:szCs w:val="20"/>
        </w:rPr>
        <w:t xml:space="preserve"> ______________________ Franck Merlin, Director · Date: ________</w:t>
      </w:r>
    </w:p>
    <w:p>
      <w:pPr>
        <w:spacing w:after="120" w:before="360"/>
      </w:pPr>
      <w:r>
        <w:rPr>
          <w:rFonts w:ascii="Arial" w:cs="Arial" w:eastAsia="Arial" w:hAnsi="Arial"/>
          <w:b/>
          <w:bCs/>
          <w:sz w:val="20"/>
          <w:szCs w:val="20"/>
        </w:rPr>
        <w:t xml:space="preserve">Signed for Gaswise:</w:t>
      </w:r>
      <w:r>
        <w:rPr>
          <w:rFonts w:ascii="Arial" w:cs="Arial" w:eastAsia="Arial" w:hAnsi="Arial"/>
          <w:sz w:val="20"/>
          <w:szCs w:val="20"/>
        </w:rPr>
        <w:t xml:space="preserve"> ______________________ [Name], [Title] · Date: ________</w:t>
      </w:r>
    </w:p>
    <w:p>
      <w:pPr>
        <w:keepNext/>
        <w:pageBreakBefore/>
        <w:pBdr>
          <w:bottom w:val="single" w:color="0A8180" w:sz="8" w:space="4"/>
        </w:pBdr>
        <w:spacing w:after="120" w:before="0"/>
      </w:pPr>
      <w:r>
        <w:rPr>
          <w:rFonts w:ascii="Arial" w:cs="Arial" w:eastAsia="Arial" w:hAnsi="Arial"/>
          <w:b/>
          <w:bCs/>
          <w:color w:val="072244"/>
          <w:sz w:val="26"/>
          <w:szCs w:val="26"/>
        </w:rPr>
        <w:t xml:space="preserve">Schedule 3 — Data processing terms</w:t>
      </w:r>
    </w:p>
    <w:p>
      <w:pPr>
        <w:spacing w:after="120" w:line="288"/>
      </w:pPr>
      <w:r>
        <w:rPr>
          <w:rFonts w:ascii="Arial" w:cs="Arial" w:eastAsia="Arial" w:hAnsi="Arial"/>
          <w:sz w:val="20"/>
          <w:szCs w:val="20"/>
        </w:rPr>
        <w:t xml:space="preserve">These terms apply to personal data in Customer Data and are intended to satisfy Article 28(3) UK GDPR. Where the Customer is established in the EU (Gaswise), references to UK GDPR include the EU GDPR as it applies to the Customer, and the Supplier's hosting of personal data in the United Kingdom is a transfer made in reliance on the European Commission's adequacy decision for the United Kingdom.</w:t>
      </w:r>
    </w:p>
    <w:p>
      <w:pPr>
        <w:keepNext/>
        <w:spacing w:after="80" w:before="200"/>
      </w:pPr>
      <w:r>
        <w:rPr>
          <w:rFonts w:ascii="Arial" w:cs="Arial" w:eastAsia="Arial" w:hAnsi="Arial"/>
          <w:b/>
          <w:bCs/>
          <w:sz w:val="20"/>
          <w:szCs w:val="20"/>
        </w:rPr>
        <w:t xml:space="preserve">Processing details</w:t>
      </w:r>
    </w:p>
    <w:tbl>
      <w:tblPr>
        <w:tblW w:type="dxa" w:w="9360"/>
        <w:tblBorders>
          <w:top w:val="single" w:color="C9D3D6" w:sz="6"/>
          <w:left w:val="none" w:color="FFFFFF" w:sz="0"/>
          <w:bottom w:val="single" w:color="C9D3D6" w:sz="6"/>
          <w:right w:val="none" w:color="FFFFFF" w:sz="0"/>
          <w:insideH w:val="single" w:color="C9D3D6" w:sz="4"/>
          <w:insideV w:val="none" w:color="FFFFFF" w:sz="0"/>
        </w:tblBorders>
      </w:tblPr>
      <w:tblGrid>
        <w:gridCol w:w="2600"/>
        <w:gridCol w:w="6760"/>
      </w:tblGrid>
      <w:tr>
        <w:trPr>
          <w:cantSplit/>
          <w:tblHeader/>
        </w:trPr>
        <w:tc>
          <w:tcPr>
            <w:tcW w:type="dxa" w:w="26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Item</w:t>
            </w:r>
          </w:p>
        </w:tc>
        <w:tc>
          <w:tcPr>
            <w:tcW w:type="dxa" w:w="676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Detail</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Subject matter</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Provision of the Jobs Tracker field-operations service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Duration</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The Term plus the 30-day data-return period</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Nature and purpose</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Hosting, storing, displaying and reporting data entered by the Customer; sending notifications; exporting to payroll; providing support</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Data subjects</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Customer's employees and contractors (Field and Admin Users); Customer's clients and their site contacts; third parties appearing in job records or photographs</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Personal data</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Names, contact details, job roles, login credentials; working time and attendance; location at tap-in/out and during routes; vehicle position where telematics is connected; signatures on RAMS and documents; photographs and video from sites; absence and leave records; data required for payroll export (hours, rates, leave)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Special category data</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None intended. The Customer must not enter health data beyond absence type unless it has a lawful basis and tells the Supplier</w:t>
            </w:r>
          </w:p>
        </w:tc>
      </w:tr>
    </w:tbl>
    <w:p>
      <w:pPr>
        <w:spacing w:after="120"/>
      </w:pPr>
    </w:p>
    <w:p>
      <w:pPr>
        <w:spacing w:after="120" w:line="288"/>
      </w:pPr>
      <w:r>
        <w:rPr>
          <w:rFonts w:ascii="Arial" w:cs="Arial" w:eastAsia="Arial" w:hAnsi="Arial"/>
          <w:b/>
          <w:bCs/>
          <w:sz w:val="20"/>
          <w:szCs w:val="20"/>
        </w:rPr>
        <w:t xml:space="preserve">Supplier obligations.</w:t>
      </w:r>
      <w:r>
        <w:rPr>
          <w:rFonts w:ascii="Arial" w:cs="Arial" w:eastAsia="Arial" w:hAnsi="Arial"/>
          <w:sz w:val="20"/>
          <w:szCs w:val="20"/>
        </w:rPr>
        <w:t xml:space="preserve"> The Supplier shall:</w:t>
      </w:r>
    </w:p>
    <w:p>
      <w:pPr>
        <w:pStyle w:val="ListParagraph"/>
        <w:numPr>
          <w:ilvl w:val="0"/>
          <w:numId w:val="3"/>
        </w:numPr>
        <w:spacing w:after="60" w:line="276"/>
      </w:pPr>
      <w:r>
        <w:rPr>
          <w:rFonts w:ascii="Arial" w:cs="Arial" w:eastAsia="Arial" w:hAnsi="Arial"/>
          <w:sz w:val="20"/>
          <w:szCs w:val="20"/>
        </w:rPr>
        <w:t xml:space="preserve">Process personal data only on the Customer's documented instructions, which are this Agreement and the Customer's use of the Service, unless required by law, in which case it informs the Customer where permitted.</w:t>
      </w:r>
    </w:p>
    <w:p>
      <w:pPr>
        <w:pStyle w:val="ListParagraph"/>
        <w:numPr>
          <w:ilvl w:val="0"/>
          <w:numId w:val="3"/>
        </w:numPr>
        <w:spacing w:after="60" w:line="276"/>
      </w:pPr>
      <w:r>
        <w:rPr>
          <w:rFonts w:ascii="Arial" w:cs="Arial" w:eastAsia="Arial" w:hAnsi="Arial"/>
          <w:sz w:val="20"/>
          <w:szCs w:val="20"/>
        </w:rPr>
        <w:t xml:space="preserve">Ensure staff with access are bound by confidentiality.</w:t>
      </w:r>
    </w:p>
    <w:p>
      <w:pPr>
        <w:pStyle w:val="ListParagraph"/>
        <w:numPr>
          <w:ilvl w:val="0"/>
          <w:numId w:val="3"/>
        </w:numPr>
        <w:spacing w:after="60" w:line="276"/>
      </w:pPr>
      <w:r>
        <w:rPr>
          <w:rFonts w:ascii="Arial" w:cs="Arial" w:eastAsia="Arial" w:hAnsi="Arial"/>
          <w:sz w:val="20"/>
          <w:szCs w:val="20"/>
        </w:rPr>
        <w:t xml:space="preserve">Implement the security measures in clause 7.4.</w:t>
      </w:r>
    </w:p>
    <w:p>
      <w:pPr>
        <w:pStyle w:val="ListParagraph"/>
        <w:numPr>
          <w:ilvl w:val="0"/>
          <w:numId w:val="3"/>
        </w:numPr>
        <w:spacing w:after="60" w:line="276"/>
      </w:pPr>
      <w:r>
        <w:rPr>
          <w:rFonts w:ascii="Arial" w:cs="Arial" w:eastAsia="Arial" w:hAnsi="Arial"/>
          <w:sz w:val="20"/>
          <w:szCs w:val="20"/>
        </w:rPr>
        <w:t xml:space="preserve">Engage sub-processors only as listed below or with 30 days' prior notice of any change, during which the Customer may object on reasonable grounds; the Supplier remains liable for its sub-processors.</w:t>
      </w:r>
    </w:p>
    <w:p>
      <w:pPr>
        <w:pStyle w:val="ListParagraph"/>
        <w:numPr>
          <w:ilvl w:val="0"/>
          <w:numId w:val="3"/>
        </w:numPr>
        <w:spacing w:after="60" w:line="276"/>
      </w:pPr>
      <w:r>
        <w:rPr>
          <w:rFonts w:ascii="Arial" w:cs="Arial" w:eastAsia="Arial" w:hAnsi="Arial"/>
          <w:sz w:val="20"/>
          <w:szCs w:val="20"/>
        </w:rPr>
        <w:t xml:space="preserve">Assist the Customer, at reasonable cost where the request is disproportionate, with data subject requests, security, breach notification and impact assessments.</w:t>
      </w:r>
    </w:p>
    <w:p>
      <w:pPr>
        <w:pStyle w:val="ListParagraph"/>
        <w:numPr>
          <w:ilvl w:val="0"/>
          <w:numId w:val="3"/>
        </w:numPr>
        <w:spacing w:after="60" w:line="276"/>
      </w:pPr>
      <w:r>
        <w:rPr>
          <w:rFonts w:ascii="Arial" w:cs="Arial" w:eastAsia="Arial" w:hAnsi="Arial"/>
          <w:sz w:val="20"/>
          <w:szCs w:val="20"/>
        </w:rPr>
        <w:t xml:space="preserve">Notify the Customer of a personal data breach without undue delay and within 48 hours of becoming aware.</w:t>
      </w:r>
    </w:p>
    <w:p>
      <w:pPr>
        <w:pStyle w:val="ListParagraph"/>
        <w:numPr>
          <w:ilvl w:val="0"/>
          <w:numId w:val="3"/>
        </w:numPr>
        <w:spacing w:after="60" w:line="276"/>
      </w:pPr>
      <w:r>
        <w:rPr>
          <w:rFonts w:ascii="Arial" w:cs="Arial" w:eastAsia="Arial" w:hAnsi="Arial"/>
          <w:sz w:val="20"/>
          <w:szCs w:val="20"/>
        </w:rPr>
        <w:t xml:space="preserve">Delete or return personal data at the end of the Term under clause 5.5.</w:t>
      </w:r>
    </w:p>
    <w:p>
      <w:pPr>
        <w:pStyle w:val="ListParagraph"/>
        <w:numPr>
          <w:ilvl w:val="0"/>
          <w:numId w:val="3"/>
        </w:numPr>
        <w:spacing w:after="60" w:line="276"/>
      </w:pPr>
      <w:r>
        <w:rPr>
          <w:rFonts w:ascii="Arial" w:cs="Arial" w:eastAsia="Arial" w:hAnsi="Arial"/>
          <w:sz w:val="20"/>
          <w:szCs w:val="20"/>
        </w:rPr>
        <w:t xml:space="preserve">Make available information needed to show compliance and allow audits by the Customer or its auditor once a year on 30 days' notice, during Business Days, at the Customer's cost, under confidentiality.</w:t>
      </w:r>
    </w:p>
    <w:p>
      <w:pPr>
        <w:pStyle w:val="ListParagraph"/>
        <w:numPr>
          <w:ilvl w:val="0"/>
          <w:numId w:val="3"/>
        </w:numPr>
        <w:spacing w:after="60" w:line="276"/>
      </w:pPr>
      <w:r>
        <w:rPr>
          <w:rFonts w:ascii="Arial" w:cs="Arial" w:eastAsia="Arial" w:hAnsi="Arial"/>
          <w:sz w:val="20"/>
          <w:szCs w:val="20"/>
        </w:rPr>
        <w:t xml:space="preserve">Not transfer personal data outside the UK except to the sub-processors below under the safeguards stated.</w:t>
      </w:r>
    </w:p>
    <w:p>
      <w:pPr>
        <w:keepNext/>
        <w:spacing w:after="80" w:before="200"/>
      </w:pPr>
      <w:r>
        <w:rPr>
          <w:rFonts w:ascii="Arial" w:cs="Arial" w:eastAsia="Arial" w:hAnsi="Arial"/>
          <w:b/>
          <w:bCs/>
          <w:sz w:val="20"/>
          <w:szCs w:val="20"/>
        </w:rPr>
        <w:t xml:space="preserve">Sub-processors</w:t>
      </w:r>
    </w:p>
    <w:tbl>
      <w:tblPr>
        <w:tblW w:type="dxa" w:w="9360"/>
        <w:tblBorders>
          <w:top w:val="single" w:color="C9D3D6" w:sz="6"/>
          <w:left w:val="none" w:color="FFFFFF" w:sz="0"/>
          <w:bottom w:val="single" w:color="C9D3D6" w:sz="6"/>
          <w:right w:val="none" w:color="FFFFFF" w:sz="0"/>
          <w:insideH w:val="single" w:color="C9D3D6" w:sz="4"/>
          <w:insideV w:val="none" w:color="FFFFFF" w:sz="0"/>
        </w:tblBorders>
      </w:tblPr>
      <w:tblGrid>
        <w:gridCol w:w="2400"/>
        <w:gridCol w:w="4160"/>
        <w:gridCol w:w="2800"/>
      </w:tblGrid>
      <w:tr>
        <w:trPr>
          <w:cantSplit/>
          <w:tblHeader/>
        </w:trPr>
        <w:tc>
          <w:tcPr>
            <w:tcW w:type="dxa" w:w="24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Sub-processor</w:t>
            </w:r>
          </w:p>
        </w:tc>
        <w:tc>
          <w:tcPr>
            <w:tcW w:type="dxa" w:w="416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Purpose</w:t>
            </w:r>
          </w:p>
        </w:tc>
        <w:tc>
          <w:tcPr>
            <w:tcW w:type="dxa" w:w="28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Location</w:t>
            </w:r>
          </w:p>
        </w:tc>
      </w:tr>
      <w:tr>
        <w:trPr>
          <w:cantSplit/>
          <w:tblHeader w:val="false"/>
        </w:trPr>
        <w:tc>
          <w:tcPr>
            <w:tcW w:type="dxa" w:w="24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Microsoft Azure</w:t>
            </w:r>
          </w:p>
        </w:tc>
        <w:tc>
          <w:tcPr>
            <w:tcW w:type="dxa" w:w="41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Hosting, storage, backups</w:t>
            </w:r>
          </w:p>
        </w:tc>
        <w:tc>
          <w:tcPr>
            <w:tcW w:type="dxa" w:w="28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United Kingdom</w:t>
            </w:r>
          </w:p>
        </w:tc>
      </w:tr>
      <w:tr>
        <w:trPr>
          <w:cantSplit/>
          <w:tblHeader w:val="false"/>
        </w:trPr>
        <w:tc>
          <w:tcPr>
            <w:tcW w:type="dxa" w:w="24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Apple / Google</w:t>
            </w:r>
          </w:p>
        </w:tc>
        <w:tc>
          <w:tcPr>
            <w:tcW w:type="dxa" w:w="41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Push notifications to the mobile application</w:t>
            </w:r>
          </w:p>
        </w:tc>
        <w:tc>
          <w:tcPr>
            <w:tcW w:type="dxa" w:w="28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UK/EU/US under their standard terms; notification content is limited to job references</w:t>
            </w:r>
          </w:p>
        </w:tc>
      </w:tr>
      <w:tr>
        <w:trPr>
          <w:cantSplit/>
          <w:tblHeader w:val="false"/>
        </w:trPr>
        <w:tc>
          <w:tcPr>
            <w:tcW w:type="dxa" w:w="24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Microsoft Azure Communication Services</w:t>
            </w:r>
          </w:p>
        </w:tc>
        <w:tc>
          <w:tcPr>
            <w:tcW w:type="dxa" w:w="41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Transactional e-mail</w:t>
            </w:r>
          </w:p>
        </w:tc>
        <w:tc>
          <w:tcPr>
            <w:tcW w:type="dxa" w:w="28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United Kingdom / EU</w:t>
            </w:r>
          </w:p>
        </w:tc>
      </w:tr>
      <w:tr>
        <w:trPr>
          <w:cantSplit/>
          <w:tblHeader w:val="false"/>
        </w:trPr>
        <w:tc>
          <w:tcPr>
            <w:tcW w:type="dxa" w:w="24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Microsoft Azure Communication Services</w:t>
            </w:r>
          </w:p>
        </w:tc>
        <w:tc>
          <w:tcPr>
            <w:tcW w:type="dxa" w:w="41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SMS notifications where enabled</w:t>
            </w:r>
          </w:p>
        </w:tc>
        <w:tc>
          <w:tcPr>
            <w:tcW w:type="dxa" w:w="28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United Kingdom / EU</w:t>
            </w:r>
          </w:p>
        </w:tc>
      </w:tr>
      <w:tr>
        <w:trPr>
          <w:cantSplit/>
          <w:tblHeader w:val="false"/>
        </w:trPr>
        <w:tc>
          <w:tcPr>
            <w:tcW w:type="dxa" w:w="24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Stripe</w:t>
            </w:r>
          </w:p>
        </w:tc>
        <w:tc>
          <w:tcPr>
            <w:tcW w:type="dxa" w:w="41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Payment of storage and SMS packs; no Customer Data beyond billing contact</w:t>
            </w:r>
          </w:p>
        </w:tc>
        <w:tc>
          <w:tcPr>
            <w:tcW w:type="dxa" w:w="28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UK/EU/US under Stripe's UK addendum</w:t>
            </w:r>
          </w:p>
        </w:tc>
      </w:tr>
    </w:tbl>
    <w:p>
      <w:pPr>
        <w:spacing w:after="120"/>
      </w:pPr>
    </w:p>
    <w:p>
      <w:pPr>
        <w:keepNext/>
        <w:pageBreakBefore/>
        <w:pBdr>
          <w:bottom w:val="single" w:color="0A8180" w:sz="8" w:space="4"/>
        </w:pBdr>
        <w:spacing w:after="120" w:before="0"/>
      </w:pPr>
      <w:r>
        <w:rPr>
          <w:rFonts w:ascii="Arial" w:cs="Arial" w:eastAsia="Arial" w:hAnsi="Arial"/>
          <w:b/>
          <w:bCs/>
          <w:color w:val="072244"/>
          <w:sz w:val="26"/>
          <w:szCs w:val="26"/>
        </w:rPr>
        <w:t xml:space="preserve">Schedule 4 — Support and service levels</w:t>
      </w:r>
    </w:p>
    <w:p>
      <w:pPr>
        <w:spacing w:after="120" w:line="288"/>
      </w:pPr>
      <w:r>
        <w:rPr>
          <w:rFonts w:ascii="Arial" w:cs="Arial" w:eastAsia="Arial" w:hAnsi="Arial"/>
          <w:b/>
          <w:bCs/>
          <w:sz w:val="20"/>
          <w:szCs w:val="20"/>
        </w:rPr>
        <w:t xml:space="preserve">Availability.</w:t>
      </w:r>
      <w:r>
        <w:rPr>
          <w:rFonts w:ascii="Arial" w:cs="Arial" w:eastAsia="Arial" w:hAnsi="Arial"/>
          <w:sz w:val="20"/>
          <w:szCs w:val="20"/>
        </w:rPr>
        <w:t xml:space="preserve"> Target 99.5% in each calendar month, measured as the percentage of minutes the web application and API respond to the Supplier's monitoring, excluding planned maintenance announced under clause 6.2, outages of the Customer's connectivity or devices, and outages of Apple, Google or Microsoft Azure outside the Supplier's control.</w:t>
      </w:r>
    </w:p>
    <w:p>
      <w:pPr>
        <w:spacing w:after="120" w:line="288"/>
      </w:pPr>
      <w:r>
        <w:rPr>
          <w:rFonts w:ascii="Arial" w:cs="Arial" w:eastAsia="Arial" w:hAnsi="Arial"/>
          <w:b/>
          <w:bCs/>
          <w:sz w:val="20"/>
          <w:szCs w:val="20"/>
        </w:rPr>
        <w:t xml:space="preserve">Service credits.</w:t>
      </w:r>
      <w:r>
        <w:rPr>
          <w:rFonts w:ascii="Arial" w:cs="Arial" w:eastAsia="Arial" w:hAnsi="Arial"/>
          <w:sz w:val="20"/>
          <w:szCs w:val="20"/>
        </w:rPr>
        <w:t xml:space="preserve"> Claimed in writing within 30 days of the month's end; credited against the next invoice.</w:t>
      </w:r>
    </w:p>
    <w:tbl>
      <w:tblPr>
        <w:tblW w:type="dxa" w:w="9360"/>
        <w:tblBorders>
          <w:top w:val="single" w:color="C9D3D6" w:sz="6"/>
          <w:left w:val="none" w:color="FFFFFF" w:sz="0"/>
          <w:bottom w:val="single" w:color="C9D3D6" w:sz="6"/>
          <w:right w:val="none" w:color="FFFFFF" w:sz="0"/>
          <w:insideH w:val="single" w:color="C9D3D6" w:sz="4"/>
          <w:insideV w:val="none" w:color="FFFFFF" w:sz="0"/>
        </w:tblBorders>
      </w:tblPr>
      <w:tblGrid>
        <w:gridCol w:w="2600"/>
        <w:gridCol w:w="6760"/>
      </w:tblGrid>
      <w:tr>
        <w:trPr>
          <w:cantSplit/>
          <w:tblHeader/>
        </w:trPr>
        <w:tc>
          <w:tcPr>
            <w:tcW w:type="dxa" w:w="26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Monthly availability</w:t>
            </w:r>
          </w:p>
        </w:tc>
        <w:tc>
          <w:tcPr>
            <w:tcW w:type="dxa" w:w="676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Credit (% of that month's Subscription Fee)</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99.0% to 99.49%</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5%</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97.0% to 98.99%</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10%</w:t>
            </w:r>
          </w:p>
        </w:tc>
      </w:tr>
      <w:tr>
        <w:trPr>
          <w:cantSplit/>
          <w:tblHeader w:val="false"/>
        </w:trPr>
        <w:tc>
          <w:tcPr>
            <w:tcW w:type="dxa" w:w="26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Below 97.0%</w:t>
            </w:r>
          </w:p>
        </w:tc>
        <w:tc>
          <w:tcPr>
            <w:tcW w:type="dxa" w:w="6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25%</w:t>
            </w:r>
          </w:p>
        </w:tc>
      </w:tr>
    </w:tbl>
    <w:p>
      <w:pPr>
        <w:spacing w:after="120"/>
      </w:pPr>
    </w:p>
    <w:p>
      <w:pPr>
        <w:spacing w:after="120" w:line="288"/>
      </w:pPr>
      <w:r>
        <w:rPr>
          <w:rFonts w:ascii="Arial" w:cs="Arial" w:eastAsia="Arial" w:hAnsi="Arial"/>
          <w:b/>
          <w:bCs/>
          <w:sz w:val="20"/>
          <w:szCs w:val="20"/>
        </w:rPr>
        <w:t xml:space="preserve">Support.</w:t>
      </w:r>
      <w:r>
        <w:rPr>
          <w:rFonts w:ascii="Arial" w:cs="Arial" w:eastAsia="Arial" w:hAnsi="Arial"/>
          <w:sz w:val="20"/>
          <w:szCs w:val="20"/>
        </w:rPr>
        <w:t xml:space="preserve"> By e-mail to support@jobstracker.work and through the in-app help, Monday to Friday 08:00–18:00 UK time excluding public holidays (Business Hours). Outside Business Hours the same address is monitored for Priority 1 incidents on a best-efforts basis; response-time commitments run from the start of the next Business Hours.</w:t>
      </w:r>
    </w:p>
    <w:tbl>
      <w:tblPr>
        <w:tblW w:type="dxa" w:w="9360"/>
        <w:tblBorders>
          <w:top w:val="single" w:color="C9D3D6" w:sz="6"/>
          <w:left w:val="none" w:color="FFFFFF" w:sz="0"/>
          <w:bottom w:val="single" w:color="C9D3D6" w:sz="6"/>
          <w:right w:val="none" w:color="FFFFFF" w:sz="0"/>
          <w:insideH w:val="single" w:color="C9D3D6" w:sz="4"/>
          <w:insideV w:val="none" w:color="FFFFFF" w:sz="0"/>
        </w:tblBorders>
      </w:tblPr>
      <w:tblGrid>
        <w:gridCol w:w="1100"/>
        <w:gridCol w:w="3760"/>
        <w:gridCol w:w="2000"/>
        <w:gridCol w:w="2500"/>
      </w:tblGrid>
      <w:tr>
        <w:trPr>
          <w:cantSplit/>
          <w:tblHeader/>
        </w:trPr>
        <w:tc>
          <w:tcPr>
            <w:tcW w:type="dxa" w:w="11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Priority</w:t>
            </w:r>
          </w:p>
        </w:tc>
        <w:tc>
          <w:tcPr>
            <w:tcW w:type="dxa" w:w="376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Definition</w:t>
            </w:r>
          </w:p>
        </w:tc>
        <w:tc>
          <w:tcPr>
            <w:tcW w:type="dxa" w:w="20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Response</w:t>
            </w:r>
          </w:p>
        </w:tc>
        <w:tc>
          <w:tcPr>
            <w:tcW w:type="dxa" w:w="2500"/>
            <w:shd w:fill="E6F2F2" w:color="auto" w:val="clear"/>
            <w:tcMar>
              <w:top w:type="dxa" w:w="70"/>
              <w:left w:type="dxa" w:w="110"/>
              <w:bottom w:type="dxa" w:w="70"/>
              <w:right w:type="dxa" w:w="110"/>
            </w:tcMar>
            <w:vAlign w:val="top"/>
          </w:tcPr>
          <w:p>
            <w:pPr>
              <w:spacing w:after="0" w:line="264"/>
            </w:pPr>
            <w:r>
              <w:rPr>
                <w:rFonts w:ascii="Arial" w:cs="Arial" w:eastAsia="Arial" w:hAnsi="Arial"/>
                <w:b/>
                <w:bCs/>
                <w:color w:val="072244"/>
                <w:sz w:val="18"/>
                <w:szCs w:val="18"/>
              </w:rPr>
              <w:t xml:space="preserve">Target resolution or workaround</w:t>
            </w:r>
          </w:p>
        </w:tc>
      </w:tr>
      <w:tr>
        <w:trPr>
          <w:cantSplit/>
          <w:tblHeader w:val="false"/>
        </w:trPr>
        <w:tc>
          <w:tcPr>
            <w:tcW w:type="dxa" w:w="11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P1</w:t>
            </w:r>
          </w:p>
        </w:tc>
        <w:tc>
          <w:tcPr>
            <w:tcW w:type="dxa" w:w="3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Service unavailable for all users, or data loss</w:t>
            </w:r>
          </w:p>
        </w:tc>
        <w:tc>
          <w:tcPr>
            <w:tcW w:type="dxa" w:w="20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 Business Hour</w:t>
            </w:r>
          </w:p>
        </w:tc>
        <w:tc>
          <w:tcPr>
            <w:tcW w:type="dxa" w:w="25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4 Business Hours</w:t>
            </w:r>
          </w:p>
        </w:tc>
      </w:tr>
      <w:tr>
        <w:trPr>
          <w:cantSplit/>
          <w:tblHeader w:val="false"/>
        </w:trPr>
        <w:tc>
          <w:tcPr>
            <w:tcW w:type="dxa" w:w="11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P2</w:t>
            </w:r>
          </w:p>
        </w:tc>
        <w:tc>
          <w:tcPr>
            <w:tcW w:type="dxa" w:w="3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Core function (tap-in, planner, payroll export) unusable for many users</w:t>
            </w:r>
          </w:p>
        </w:tc>
        <w:tc>
          <w:tcPr>
            <w:tcW w:type="dxa" w:w="20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4 Business Hours</w:t>
            </w:r>
          </w:p>
        </w:tc>
        <w:tc>
          <w:tcPr>
            <w:tcW w:type="dxa" w:w="25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 Business Day</w:t>
            </w:r>
          </w:p>
        </w:tc>
      </w:tr>
      <w:tr>
        <w:trPr>
          <w:cantSplit/>
          <w:tblHeader w:val="false"/>
        </w:trPr>
        <w:tc>
          <w:tcPr>
            <w:tcW w:type="dxa" w:w="11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P3</w:t>
            </w:r>
          </w:p>
        </w:tc>
        <w:tc>
          <w:tcPr>
            <w:tcW w:type="dxa" w:w="3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Function degraded, workaround exists</w:t>
            </w:r>
          </w:p>
        </w:tc>
        <w:tc>
          <w:tcPr>
            <w:tcW w:type="dxa" w:w="20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1 Business Day</w:t>
            </w:r>
          </w:p>
        </w:tc>
        <w:tc>
          <w:tcPr>
            <w:tcW w:type="dxa" w:w="25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Next scheduled release</w:t>
            </w:r>
          </w:p>
        </w:tc>
      </w:tr>
      <w:tr>
        <w:trPr>
          <w:cantSplit/>
          <w:tblHeader w:val="false"/>
        </w:trPr>
        <w:tc>
          <w:tcPr>
            <w:tcW w:type="dxa" w:w="11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P4</w:t>
            </w:r>
          </w:p>
        </w:tc>
        <w:tc>
          <w:tcPr>
            <w:tcW w:type="dxa" w:w="376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Question, cosmetic issue, feature request</w:t>
            </w:r>
          </w:p>
        </w:tc>
        <w:tc>
          <w:tcPr>
            <w:tcW w:type="dxa" w:w="20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2 Business Days</w:t>
            </w:r>
          </w:p>
        </w:tc>
        <w:tc>
          <w:tcPr>
            <w:tcW w:type="dxa" w:w="2500"/>
            <w:tcMar>
              <w:top w:type="dxa" w:w="70"/>
              <w:left w:type="dxa" w:w="110"/>
              <w:bottom w:type="dxa" w:w="70"/>
              <w:right w:type="dxa" w:w="110"/>
            </w:tcMar>
            <w:vAlign w:val="top"/>
          </w:tcPr>
          <w:p>
            <w:pPr>
              <w:spacing w:after="0" w:line="264"/>
            </w:pPr>
            <w:r>
              <w:rPr>
                <w:rFonts w:ascii="Arial" w:cs="Arial" w:eastAsia="Arial" w:hAnsi="Arial"/>
                <w:b w:val="false"/>
                <w:bCs w:val="false"/>
                <w:sz w:val="18"/>
                <w:szCs w:val="18"/>
              </w:rPr>
              <w:t xml:space="preserve">At the Supplier's discretion</w:t>
            </w:r>
          </w:p>
        </w:tc>
      </w:tr>
    </w:tbl>
    <w:p>
      <w:pPr>
        <w:spacing w:after="120"/>
      </w:pPr>
    </w:p>
    <w:p>
      <w:pPr>
        <w:spacing w:after="120" w:line="288"/>
      </w:pPr>
      <w:r>
        <w:rPr>
          <w:rFonts w:ascii="Arial" w:cs="Arial" w:eastAsia="Arial" w:hAnsi="Arial"/>
          <w:b/>
          <w:bCs/>
          <w:sz w:val="20"/>
          <w:szCs w:val="20"/>
        </w:rPr>
        <w:t xml:space="preserve">Maintenance and releases.</w:t>
      </w:r>
      <w:r>
        <w:rPr>
          <w:rFonts w:ascii="Arial" w:cs="Arial" w:eastAsia="Arial" w:hAnsi="Arial"/>
          <w:sz w:val="20"/>
          <w:szCs w:val="20"/>
        </w:rPr>
        <w:t xml:space="preserve"> Releases are deployed outside 06:00–20:00 UK time; release notes are published in the Service. The mobile application is updated through the app stores; the Customer should allow automatic updates on Field Users' devices.</w:t>
      </w:r>
    </w:p>
    <w:p>
      <w:pPr>
        <w:spacing w:after="120" w:line="288"/>
      </w:pPr>
      <w:r>
        <w:rPr>
          <w:rFonts w:ascii="Arial" w:cs="Arial" w:eastAsia="Arial" w:hAnsi="Arial"/>
          <w:b/>
          <w:bCs/>
          <w:sz w:val="20"/>
          <w:szCs w:val="20"/>
        </w:rPr>
        <w:t xml:space="preserve">Backups.</w:t>
      </w:r>
      <w:r>
        <w:rPr>
          <w:rFonts w:ascii="Arial" w:cs="Arial" w:eastAsia="Arial" w:hAnsi="Arial"/>
          <w:sz w:val="20"/>
          <w:szCs w:val="20"/>
        </w:rPr>
        <w:t xml:space="preserve"> Daily, retained 30 days, stored in the UK. Restoration of Customer Data from backup on the Customer's request, where the loss was not caused by the Supplier, is chargeable at £120 per hour.</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6" w:sz="4" w:space="6"/>
      </w:pBdr>
      <w:tabs>
        <w:tab w:val="right" w:pos="9360"/>
      </w:tabs>
    </w:pPr>
    <w:r>
      <w:rPr>
        <w:rFonts w:ascii="Arial" w:cs="Arial" w:eastAsia="Arial" w:hAnsi="Arial"/>
        <w:color w:val="5B6770"/>
        <w:sz w:val="16"/>
        <w:szCs w:val="16"/>
      </w:rPr>
      <w:t xml:space="preserve">Workwiz Limited · Company no. 04999377 · Confidential</w:t>
    </w:r>
    <w:r>
      <w:rPr>
        <w:rFonts w:ascii="Arial" w:cs="Arial" w:eastAsia="Arial" w:hAnsi="Arial"/>
        <w:color w:val="5B67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180" w:sz="6" w:space="6"/>
      </w:pBdr>
      <w:tabs>
        <w:tab w:val="right" w:pos="9360"/>
      </w:tabs>
    </w:pPr>
    <w:r>
      <w:drawing>
        <wp:inline distT="0" distB="0" distL="0" distR="0">
          <wp:extent cx="11144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14425" cy="209550"/>
                  </a:xfrm>
                  <a:prstGeom prst="rect">
                    <a:avLst/>
                  </a:prstGeom>
                </pic:spPr>
              </pic:pic>
            </a:graphicData>
          </a:graphic>
        </wp:inline>
      </w:drawing>
    </w:r>
    <w:r>
      <w:rPr>
        <w:rFonts w:ascii="Arial" w:cs="Arial" w:eastAsia="Arial" w:hAnsi="Arial"/>
        <w:color w:val="5B6770"/>
        <w:sz w:val="16"/>
        <w:szCs w:val="16"/>
      </w:rPr>
      <w:t xml:space="preserve">	Subscription Agreement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c6fc07c563387ce9db33e63f89efd97de0336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6fc07c563387ce9db33e63f89efd97de0336de.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 Tracker — Subscription Agreement</dc:title>
  <dc:creator>Workwiz Limited</dc:creator>
  <cp:lastModifiedBy>Un-named</cp:lastModifiedBy>
  <cp:revision>1</cp:revision>
  <dcterms:created xsi:type="dcterms:W3CDTF">2026-10-18T11:14:17.700Z</dcterms:created>
  <dcterms:modified xsi:type="dcterms:W3CDTF">2026-10-18T11:14:17.703Z</dcterms:modified>
</cp:coreProperties>
</file>

<file path=docProps/custom.xml><?xml version="1.0" encoding="utf-8"?>
<Properties xmlns="http://schemas.openxmlformats.org/officeDocument/2006/custom-properties" xmlns:vt="http://schemas.openxmlformats.org/officeDocument/2006/docPropsVTypes"/>
</file>