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56"/>
          <w:szCs w:val="56"/>
        </w:rPr>
        <w:t xml:space="preserve">SMARTGRID RESORT</w:t>
      </w:r>
    </w:p>
    <w:p>
      <w:pPr>
        <w:spacing w:after="80"/>
        <w:jc w:val="center"/>
      </w:pPr>
      <w:r>
        <w:rPr>
          <w:sz w:val="26"/>
          <w:szCs w:val="26"/>
        </w:rPr>
        <w:t xml:space="preserve">Brand: ECOGRID RESORT™</w:t>
      </w:r>
    </w:p>
    <w:p>
      <w:pPr>
        <w:spacing w:after="200"/>
        <w:jc w:val="center"/>
      </w:pPr>
      <w:r>
        <w:rPr>
          <w:sz w:val="22"/>
          <w:szCs w:val="22"/>
        </w:rPr>
        <w:t xml:space="preserve">Master Document — Business Plan · Grant Template · Wireframes · Architecture · Pitch Deck · Segmentation · Aid Matrix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Energy services platform for outdoor hospitality — smart microgrids: solar, storage, V2G, AI-driven control</w:t>
      </w:r>
    </w:p>
    <w:p>
      <w:pPr>
        <w:spacing w:after="80"/>
        <w:jc w:val="center"/>
      </w:pPr>
      <w:r>
        <w:rPr>
          <w:b/>
          <w:bCs/>
        </w:rPr>
        <w:t xml:space="preserve">June 2026 — Confidential — Version 2.0</w:t>
      </w:r>
    </w:p>
    <w:p>
      <w:pPr>
        <w:spacing w:after="300"/>
        <w:jc w:val="center"/>
      </w:pPr>
      <w:r>
        <w:t xml:space="preserve">Smart Grid module of the COREPROMA ecosystem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Version 2.0 supersedes the original draft. All figures aligned with ECOGRID_Business_Plan_EN.docx (v1.0, June 2026), ECOGRID_Financial_Model_v1.xlsx, the fact-verification report of 10 June 2026 and the segmentation notes of 12 June 2026.</w:t>
      </w:r>
    </w:p>
    <w:p>
      <w:r>
        <w:br w:type="page"/>
      </w:r>
    </w:p>
    <w:p>
      <w:pPr>
        <w:pStyle w:val="Heading1"/>
      </w:pPr>
      <w:r>
        <w:t xml:space="preserve">What changed in this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 data replaced with verified Eurostat figures (May 2026): ≈11,800 campsites in FR+IT+ES, not “28,000+ in Europe” as headline.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Reference-site economics updated from the €666k / 300-unit example to the Corsica pilot base case: €5.7M CAPEX, ≈€860k/yr savings (Marine de Caprone).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models restated as Model 1 (direct sale) and Model 2 (financed &amp; savings share, 30-yr lease, SPV structure); the “15-year emphyteutic lease” wording is replaced.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Grant matrix corrected to verified June 2026 status: French self-consumption premium abolished (1 June 2026), Spain RD 477/2021 closed, Italy Transizione 5.0 closed — replaced by currently open channels.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Classification tables replaced by the two-axis S/M/L/XL segmentation with bottom-up consumption model (12 June 2026 working notes).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Team, year-1 operating costs (≈€872k), trajectory to 2035 and funding requirement (≈€1.3M) added from the business plan.</w:t>
      </w:r>
    </w:p>
    <w:p>
      <w:r>
        <w:br w:type="page"/>
      </w:r>
    </w:p>
    <w:p>
      <w:pPr>
        <w:pStyle w:val="Heading1"/>
      </w:pPr>
      <w:r>
        <w:t xml:space="preserve">1. Business Plan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t xml:space="preserve">SMARTGRID RESORT (brand: ECOGRID RESORT™) is an energy services platform (SaaS + assets) that turns Southern European campsites and holiday villages into smart microgrids: solar generation, bidirectional storage (V2G), EV charging, AI-driven control and a guest app — deployed site by site, then as a European network.</w:t>
      </w:r>
    </w:p>
    <w:p>
      <w:pPr>
        <w:spacing w:after="120"/>
      </w:pPr>
      <w:r>
        <w:t xml:space="preserve">Our edge is not solar hardware, it is distribution: existing access to operators through the COREPROMA ecosystem. Long-term value comes from recurring software and the network of connected sites, not equipment sales.</w:t>
      </w:r>
    </w:p>
    <w:p>
      <w:pPr>
        <w:pStyle w:val="Heading3"/>
      </w:pPr>
      <w:r>
        <w:t xml:space="preserve">Key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Addressable market (FR+IT+ES)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11,800 campsites (Eurostat, May 2026); core target 25–35% of the park (≈ 3,000–4,100 sites)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Pilot site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Marine de Caprone (Ghisonaccia, Corsica) — CAPEX €5.7M, savings ≈ €860k/yr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models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sale (Model 1) · Financed &amp; savings share (Model 2)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EBITDA positive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From 2028 (central scenario)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2035 trajectory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109 connected sites · ≈ €37M revenue · ≈ 70% recurring</w:t>
            </w:r>
          </w:p>
        </w:tc>
      </w:tr>
      <w:tr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 2 return</w:t>
            </w:r>
          </w:p>
        </w:tc>
        <w:tc>
          <w:tcPr>
            <w:tcW w:type="dxa" w:w="63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9.5-yr payback (CAPEX net of aids) · ≈ 3.2× over the 30-yr lease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Figures from ECOGRID_Financial_Model_v1.xlsx, unaudited central scenario. To be confirmed by engineering study and supplier quotes.</w:t>
      </w:r>
    </w:p>
    <w:p>
      <w:pPr>
        <w:pStyle w:val="Heading2"/>
      </w:pPr>
      <w:r>
        <w:t xml:space="preserve">Market analysis</w:t>
      </w:r>
    </w:p>
    <w:p>
      <w:pPr>
        <w:pStyle w:val="Heading3"/>
      </w:pPr>
      <w:r>
        <w:t xml:space="preserve">Market size (verified June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059"/>
        <w:gridCol w:w="2059"/>
        <w:gridCol w:w="2621"/>
      </w:tblGrid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Country / region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Establishments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Bed-places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7,996 (2025)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2,780,688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Eurostat tour_cap_nat, May 2026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2,380 (2024)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1,117,484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Eurostat (≈2,400 conservative)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1,412 (2024, rising)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804,433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Eurostat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Corsica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187 (2025)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Eurostat NUTS2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Sardinia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76 (2024)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Eurostat NUTS2</w:t>
            </w:r>
          </w:p>
        </w:tc>
      </w:tr>
      <w:tr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FR+IT+ES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11,800 sites</w:t>
            </w:r>
          </w:p>
        </w:tc>
        <w:tc>
          <w:tcPr>
            <w:tcW w:type="dxa" w:w="20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4.7M beds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t xml:space="preserve">Electricity prices: the savings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6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Commercial price 2025-S2 (€/kWh, excl. recoverable taxes, 20–499 MWh band)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6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0.238 — strongest savings potential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 / Corsica</w:t>
            </w:r>
          </w:p>
        </w:tc>
        <w:tc>
          <w:tcPr>
            <w:tcW w:type="dxa" w:w="6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0.195 (ZNI tariff equalisation: mainland prices despite far higher island generation cost)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65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0.162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Source: Eurostat nrg_pc_205, published May 2026.</w:t>
      </w:r>
    </w:p>
    <w:p>
      <w:pPr>
        <w:pStyle w:val="Heading3"/>
      </w:pPr>
      <w:r>
        <w:t xml:space="preserve">Customer pain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Volatile electricity bills (air conditioning, pools, catering, hot water, lighting).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subscribed power and grid-connection constraints in tourist areas.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Growing EV-charging demand from guests.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Pressure from guests and regulation for visible, measurable low-carbon proof.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Administrative complexity of permits and aid applications.</w:t>
      </w:r>
    </w:p>
    <w:p>
      <w:pPr>
        <w:pStyle w:val="Heading3"/>
      </w:pPr>
      <w:r>
        <w:t xml:space="preserve">Regulatory drivers (verified June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EPBD (EU/2024/1275): solar mandatory on existing non-residential buildings &gt; 500 m² at major renovation (deadline 31/12/2027); new buildings &gt; 250 m² from end-2026.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APER law (France): solar carports mandatory on car parks &gt; 1,500 m² (2026/2028 deadlines — softened in 2025 and under legal challenge; use with caution).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 of the French self-consumption premium (decree of 1 June 2026): surplus feed-in cut to €0.011/kWh. A self-consumed kWh is now worth nearly 20× an exported one — precisely what our EMS and storage maximise.</w:t>
      </w:r>
    </w:p>
    <w:p>
      <w:pPr>
        <w:pStyle w:val="Heading3"/>
      </w:pPr>
      <w:r>
        <w:t xml:space="preserve">Why start on the islands</w:t>
      </w:r>
    </w:p>
    <w:p>
      <w:pPr>
        <w:spacing w:after="120"/>
      </w:pPr>
      <w:r>
        <w:t xml:space="preserve">Corsica and Sardinia are non-interconnected zones (ZNI): PV + storage there enjoys the strongest public support (a dedicated ZNI tariff window in Corsica) and the highest resilience value. It is the most credible showcase before mainland scale-up.</w:t>
      </w:r>
    </w:p>
    <w:p>
      <w:pPr>
        <w:pStyle w:val="Heading2"/>
      </w:pPr>
      <w:r>
        <w:t xml:space="preserve">Value proposition — four building blocks, one software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Generate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On-site solar (carports, roofs, pergolas) + optional wind.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 &amp; dispatch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V2G-ready LFP batteries; AI-driven EMS 24/7 across all sources.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Distribute &amp; charge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 of pools, A/C, hot water; 30–50 EV chargers with smart charging and V2G feedback.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Engage &amp; measure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app (EcoScore, real-time savings &amp; CO₂, EV booking, V2G rewards); operator carbon/ESG reporting.</w:t>
            </w:r>
          </w:p>
        </w:tc>
      </w:tr>
    </w:tbl>
    <w:p>
      <w:pPr>
        <w:pStyle w:val="Heading3"/>
      </w:pPr>
      <w:r>
        <w:t xml:space="preserve">Competitive moat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Distribution: existing operator access through COREPROMA — the hardest part of this market, and already 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tourism vertical: guest app, occupancy- and season-aware optimisation, ESG reporting and productised label support (Green Key, ISO 50001…).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Occupancy data: COREPROMA bookings feed AI load forecasting — a differentiator no generic EMS 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 makers (FoxESS, SolarEdge, Huawei, SMA, Victron…) are integrated suppliers, not competitors: ECOGRID is the multi-brand layer above the hardware.</w:t>
      </w:r>
    </w:p>
    <w:p>
      <w:pPr>
        <w:pStyle w:val="Heading2"/>
      </w:pPr>
      <w:r>
        <w:t xml:space="preserve">Product &amp; services</w:t>
      </w:r>
    </w:p>
    <w:p>
      <w:pPr>
        <w:pStyle w:val="Heading3"/>
      </w:pPr>
      <w:r>
        <w:t xml:space="preserve">Hardware (integrated, multi-brand)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Solar panels, carport structures, hybrid inverters, lithium LFP batteries (V2G-ready), EV chargers, smart meters, sensors.</w:t>
      </w:r>
    </w:p>
    <w:p>
      <w:pPr>
        <w:pStyle w:val="Heading3"/>
      </w:pPr>
      <w:r>
        <w:t xml:space="preserve">Software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dashboard · AI forecasting (weather + occupancy) · load optimisation · invoice extraction · permit (DP) support · grant optimisation engine · guest app · API integrations (Modbus, OCPP, MQTT, vendor APIs).</w:t>
      </w:r>
    </w:p>
    <w:p>
      <w:pPr>
        <w:pStyle w:val="Heading2"/>
      </w:pPr>
      <w:r>
        <w:t xml:space="preserve">The two business models</w:t>
      </w:r>
    </w:p>
    <w:p>
      <w:pPr>
        <w:pStyle w:val="Heading3"/>
      </w:pPr>
      <w:r>
        <w:t xml:space="preserve">Model 1 — Direct sale</w:t>
      </w:r>
    </w:p>
    <w:p>
      <w:pPr>
        <w:spacing w:after="120"/>
      </w:pPr>
      <w:r>
        <w:t xml:space="preserve">The client buys the plant (pays the quote) and keeps 100% of the bill reduction. SmartGrid earns an EPC margin on installation, then sells the software subscription and the maintenance contract.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Value (reference site)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investment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€5.7M (scalable by site size)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SmartGrid EPC margin (15%)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€855k (one-off)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SaaS subscription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€5k/yr (updates and support included)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Maintenance contract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€10k/yr (size-based tiers in progress)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payback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6–7 yrs on savings (≈ €860k/yr)</w:t>
            </w:r>
          </w:p>
        </w:tc>
      </w:tr>
    </w:tbl>
    <w:p>
      <w:pPr>
        <w:pStyle w:val="Heading3"/>
      </w:pPr>
      <w:r>
        <w:t xml:space="preserve">Model 2 — Financed &amp; savings share</w:t>
      </w:r>
    </w:p>
    <w:p>
      <w:pPr>
        <w:spacing w:after="120"/>
      </w:pPr>
      <w:r>
        <w:t xml:space="preserve">SmartGrid finances, installs and owns the plant: zero investment for the operator. Savings are shared for the contract period; the SaaS subscription is still sold to the client; maintenance is borne by SmartGrid (it owns the plant, 30-year land lease).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Value (reference site)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SmartGrid investment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€5.7M gross; ≈ €4.85M net of aids (15% assumption)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Savings share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60% SmartGrid / 40% client, for 15 years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SmartGrid net annual income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€511k (savings share + SaaS − maintenance)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Payback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9.5 yrs on net CAPEX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Revenue tail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the contract, the plant remains SmartGrid’s until the end of the 30-yr lease</w:t>
            </w:r>
          </w:p>
        </w:tc>
      </w:tr>
      <w:tr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Multiple over the lease</w:t>
            </w:r>
          </w:p>
        </w:tc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3.2× net CAPEX</w:t>
            </w:r>
          </w:p>
        </w:tc>
      </w:tr>
    </w:tbl>
    <w:p>
      <w:pPr>
        <w:spacing w:after="120"/>
      </w:pPr>
      <w:r>
        <w:t xml:space="preserve">Financial structure: Model 2 plants sit in asset SPVs (one per site or cluster), funded with equity + green debt + aids, off the operating company’s balance sheet. Strategic option at volume: become an aggregator / balance responsible party (virtual power plant) — not counted in projections, pure upside.</w:t>
      </w:r>
    </w:p>
    <w:p>
      <w:pPr>
        <w:pStyle w:val="Heading2"/>
      </w:pPr>
      <w:r>
        <w:t xml:space="preserve">Go-to-market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1 (2026–28): island pilot — Corsica (then Sardinia); proof of KPIs, first commercial contracts.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(2029–31): industrialisation — mainland France, Italy, Spain.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(2032+): European platform, 100+ connected sites; aggregator / VPP option.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Partnerships: COREPROMA distribution, camping federations, solar installers/EPC, EV charging networks.</w:t>
      </w:r>
    </w:p>
    <w:p>
      <w:pPr>
        <w:pStyle w:val="Heading2"/>
      </w:pPr>
      <w:r>
        <w:t xml:space="preserve">The pilot site — Marine de Caprone (Ghisonaccia, Corsica)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Indicative CAPEX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€5.7M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Sizing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2 MWp solar · 6 MWh LFP storage · 30–50 EV chargers · 24/7 AI EMS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 savings target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€860k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CO₂ avoided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70–90%</w:t>
            </w:r>
          </w:p>
        </w:tc>
      </w:tr>
      <w:tr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Indicative funding</w:t>
            </w:r>
          </w:p>
        </w:tc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€1.4M equity · €3.4M green debt · €0.6M aids · €0.3M leasing</w:t>
            </w:r>
          </w:p>
        </w:tc>
      </w:tr>
    </w:tbl>
    <w:p>
      <w:pPr>
        <w:spacing w:after="120"/>
      </w:pPr>
      <w:r>
        <w:t xml:space="preserve">The pilot will be deployed under Model 2 (financed), demonstrating both propositions: major savings for the operator and asset yield for investors.</w:t>
      </w:r>
    </w:p>
    <w:p>
      <w:pPr>
        <w:pStyle w:val="Heading2"/>
      </w:pPr>
      <w:r>
        <w:t xml:space="preserve">The team</w:t>
      </w:r>
    </w:p>
    <w:p>
      <w:pPr>
        <w:spacing w:after="120"/>
      </w:pPr>
      <w:r>
        <w:t xml:space="preserve">Five founding shareholders (paid €5k/month from day 1) and a lean team: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680"/>
        <w:gridCol w:w="1872"/>
      </w:tblGrid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Franck Merlin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of IT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 Defosse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of Marketing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Boris Fabie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of Solar Team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Pierre (surname tbc)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Relationship Manager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Michael (surname tbc)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of Infrastructure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Joseph Serra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 Enesrby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 grants specialist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Manages aid applications on behalf of clients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Planned hire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Secretary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Planned hire</w:t>
            </w:r>
          </w:p>
        </w:tc>
      </w:tr>
    </w:tbl>
    <w:p>
      <w:pPr>
        <w:spacing w:after="120"/>
      </w:pPr>
      <w:r>
        <w:t xml:space="preserve">The grants specialist is a differentiating choice: aid management (CRE ZNI, FEDER, GSE, IDAE…) becomes a client service embedded in the offer. Scale-up assumes one operations technician per 5 connected sites (built into projections).</w:t>
      </w:r>
    </w:p>
    <w:p>
      <w:pPr>
        <w:pStyle w:val="Heading2"/>
      </w:pPr>
      <w:r>
        <w:t xml:space="preserve">Financial projections</w:t>
      </w:r>
    </w:p>
    <w:p>
      <w:pPr>
        <w:pStyle w:val="Heading3"/>
      </w:pPr>
      <w:r>
        <w:t xml:space="preserve">Operating costs — year 1: ≈ €872k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Annual amount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Shareholder compensation (5 × €5k/mo)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€300k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salaries (3 × €3k/mo)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€108k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Software development + Azure hosting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€250k (year 1)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(€10k/mo from month 3)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€100k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Travel (€5k/mo)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€60k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Office (€2k/mo)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€24k</w:t>
            </w:r>
          </w:p>
        </w:tc>
      </w:tr>
      <w:tr>
        <w:tc>
          <w:tcPr>
            <w:tcW w:type="dxa" w:w="56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Other (insurance, legal, IP, IT)</w:t>
            </w:r>
          </w:p>
        </w:tc>
        <w:tc>
          <w:tcPr>
            <w:tcW w:type="dxa" w:w="37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€30k</w:t>
            </w:r>
          </w:p>
        </w:tc>
      </w:tr>
    </w:tbl>
    <w:p>
      <w:pPr>
        <w:pStyle w:val="Heading3"/>
      </w:pPr>
      <w:r>
        <w:t xml:space="preserve">Trajectory (central scenario)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34"/>
        <w:gridCol w:w="2527"/>
        <w:gridCol w:w="2527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Cumulative sites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EBITDA*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(€872k)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2027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 (pilot)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€435k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(€420k)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2028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€1.74M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€858k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2030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€6.1M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€5.1M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2032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€15.8M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€14.4M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2035</w:t>
            </w:r>
          </w:p>
        </w:tc>
        <w:tc>
          <w:tcPr>
            <w:tcW w:type="dxa" w:w="24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€37.1M</w:t>
            </w:r>
          </w:p>
        </w:tc>
        <w:tc>
          <w:tcPr>
            <w:tcW w:type="dxa" w:w="25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€34.5M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* Consolidated EBITDA before depreciation and financing costs of the plants (carried by asset SPVs). By 2035, ≈70% of revenue is recurring (SaaS, maintenance, savings share).</w:t>
      </w:r>
    </w:p>
    <w:p>
      <w:pPr>
        <w:pStyle w:val="Heading3"/>
      </w:pPr>
      <w:r>
        <w:t xml:space="preserve">Funding requirement</w:t>
      </w:r>
    </w:p>
    <w:p>
      <w:pPr>
        <w:spacing w:after="120"/>
      </w:pPr>
      <w:r>
        <w:t xml:space="preserve">The operating company needs about €1.3M to cover the first two years until EBITDA turns positive in 2028. Model 2 plants are funded separately in SPVs (investor equity + green debt + aids), with a cumulative gross asset volume of about €218M by 2035 in the central scenario.</w:t>
      </w:r>
    </w:p>
    <w:p>
      <w:pPr>
        <w:pStyle w:val="Heading2"/>
      </w:pPr>
      <w:r>
        <w:t xml:space="preserve">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9"/>
      </w:tblGrid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Unaudited pilot figures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 study + supplier quotes before commitment; milestone-tranched capital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“ecogrid” trademark (Atlas Copco, classes 7/9/37/42)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similarity search by IP counsel; file “ECOGRID RESORT” word + figurative, tourism classes; never claim “ECOGRID” alone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Aids closed (ES, IT) / unstable (FR)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Dedicated grants specialist; model robust without subsidies (aids = accelerator, not condition)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 API dependency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Multi-brand architecture by design (FoxESS, SolarEdge, Huawei, SMA, Victron…)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Ambitious sales ramp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COREPROMA distribution lowers acquisition cost; ramp editable in the model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Capital intensity (Model 2)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SPV per site, green debt, co-investors; pilot validates before scale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Regulatory / permit delays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Automated DP/permit support module; grants specialist tracks deadlines</w:t>
            </w:r>
          </w:p>
        </w:tc>
      </w:tr>
      <w:tr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Weather variability</w:t>
            </w:r>
          </w:p>
        </w:tc>
        <w:tc>
          <w:tcPr>
            <w:tcW w:type="dxa" w:w="54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 forecasting engine (weather + occupancy data)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Grant Application Template</w:t>
      </w:r>
    </w:p>
    <w:p>
      <w:pPr>
        <w:spacing w:after="120"/>
      </w:pPr>
      <w:r>
        <w:t xml:space="preserve">Generic template for national/regional aid applications (ADEME, FEDER, CRE ZNI, IDAE, GSE…). The grant optimisation engine pre-fills it from site data. See section 7 for the verified aid matrix (June 2026).</w:t>
      </w:r>
    </w:p>
    <w:p>
      <w:pPr>
        <w:pStyle w:val="Heading3"/>
      </w:pPr>
      <w:r>
        <w:t xml:space="preserve">1. Project title</w:t>
      </w:r>
    </w:p>
    <w:p>
      <w:pPr>
        <w:spacing w:after="120"/>
      </w:pPr>
      <w:r>
        <w:t xml:space="preserve">Deployment of a SmartGrid solar &amp; energy management system for [Site name].</w:t>
      </w:r>
    </w:p>
    <w:p>
      <w:pPr>
        <w:pStyle w:val="Heading3"/>
      </w:pPr>
      <w:r>
        <w:t xml:space="preserve">2. Applicant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name · SIRET (or national ID) · Address · Contact person · Email / phone.</w:t>
      </w:r>
    </w:p>
    <w:p>
      <w:pPr>
        <w:pStyle w:val="Heading3"/>
      </w:pPr>
      <w:r>
        <w:t xml:space="preserve">3. Project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Solar installation size (kWp) · battery capacity (kWh) · EV charging · expected savings · environmental benefits.</w:t>
      </w:r>
    </w:p>
    <w:p>
      <w:pPr>
        <w:pStyle w:val="Heading3"/>
      </w:pPr>
      <w:r>
        <w:t xml:space="preserve">4. Project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grid electricity consumption by X% · increase renewable share · reduce CO₂ emissions · improve energy resilience (ZNI) · modernise infrastructure.</w:t>
      </w:r>
    </w:p>
    <w:p>
      <w:pPr>
        <w:pStyle w:val="Heading3"/>
      </w:pPr>
      <w:r>
        <w:t xml:space="preserve">5. Technical 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Solar PV (kWp) · battery storage (kWh, LFP, V2G-ready) · hybrid inverters · EV chargers (OCPP) · smart meters · EMS software platform.</w:t>
      </w:r>
    </w:p>
    <w:p>
      <w:pPr>
        <w:pStyle w:val="Heading3"/>
      </w:pPr>
      <w:r>
        <w:t xml:space="preserve">6. Environmental impact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CO₂ reduction · peak shaving · grid relief (critical in ZNI) · energy traceability / ESG reporting.</w:t>
      </w:r>
    </w:p>
    <w:p>
      <w:pPr>
        <w:pStyle w:val="Heading3"/>
      </w:pPr>
      <w:r>
        <w:t xml:space="preserve">7. Financial plan</w:t>
      </w:r>
    </w:p>
    <w:p>
      <w:pPr>
        <w:spacing w:after="120"/>
      </w:pPr>
      <w:r>
        <w:t xml:space="preserve">CAPEX breakdown, OPEX, savings projection, payback — exported from the ECOGRID financial model.</w:t>
      </w:r>
    </w:p>
    <w:p>
      <w:pPr>
        <w:pStyle w:val="Heading3"/>
      </w:pPr>
      <w:r>
        <w:t xml:space="preserve">8. Requested aid</w:t>
      </w:r>
    </w:p>
    <w:p>
      <w:pPr>
        <w:spacing w:after="120"/>
      </w:pPr>
      <w:r>
        <w:t xml:space="preserve">Specify % and amount, per the applicable scheme (see section 7).</w:t>
      </w:r>
    </w:p>
    <w:p>
      <w:pPr>
        <w:pStyle w:val="Heading3"/>
      </w:pPr>
      <w:r>
        <w:t xml:space="preserve">9. Indicative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Months 1–2: engineering study · Months 2–4: permits &amp; grid connection request · Months 4–8: installation · Month 9: commissioning.</w:t>
      </w:r>
    </w:p>
    <w:p>
      <w:pPr>
        <w:pStyle w:val="Heading3"/>
      </w:pPr>
      <w:r>
        <w:t xml:space="preserve">10. Attachments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Quotes · energy bills (12 months) · site map / satellite analysis · company documents · land-lease agreement (Model 2).</w:t>
      </w:r>
    </w:p>
    <w:p>
      <w:r>
        <w:br w:type="page"/>
      </w:r>
    </w:p>
    <w:p>
      <w:pPr>
        <w:pStyle w:val="Heading1"/>
      </w:pPr>
      <w:r>
        <w:t xml:space="preserve">3. UI/UX Wireframes (text-based)</w:t>
      </w:r>
    </w:p>
    <w:p>
      <w:pPr>
        <w:pStyle w:val="Heading3"/>
      </w:pPr>
      <w:r>
        <w:t xml:space="preserve">Dashboard — home screen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ECOGRID RESORT DASHBOARD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|---------------------------------------------------------|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 [Solar Production]   [Battery Status]   [EV Chargers]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|---------------------------------------------------------|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 Real-time graph (24h)  ·  Self-consumption %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|---------------------------------------------------------|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 Alerts: high consumption · battery at 90% · V2G active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Energy matrix screen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ENERGY MATRIX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|---------------------------------------------------------|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Category        | Power (kW) | Daily kWh | Status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Pools           | 12         | 85        | Normal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Restaurant      | 18         | 120       | High usage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Mobile homes    | 25         | 160       | Normal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EV chargers     | 44         | 210       | Peak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Forecasting screen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FORECASTING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Solar forecast (7 days)   ·  Load forecast (7 days)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Occupancy feed (COREPROMA bookings)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Battery &amp; V2G optimisation plan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Guest app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MY ECO STAY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EcoScore · savings · CO₂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EV charger booking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V2G rewards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+------------------------------+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Admin / settings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SETTINGS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User management · API integrations (multi-brand)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Grant eligibility checker · Invoice upload (parser)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| ESG / carbon reporting export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+---------------------------------------------------------+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Technical Architecture</w:t>
      </w:r>
    </w:p>
    <w:p>
      <w:pPr>
        <w:pStyle w:val="Heading3"/>
      </w:pPr>
      <w:r>
        <w:t xml:space="preserve">Mermaid diagram (source)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flowchart TD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UI[Operator Dashboard + Guest App] --&gt; API[API Gateway]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AUTH[Auth Service]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PARSER[Invoice Parser Service]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MATRIX[Energy Matrix Engine]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FORECAST[Forecasting Engine]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CONTROL[Smart Control Engine]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API --&gt; GRANTS[Grant Optimization Engine]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FORECAST --&gt; WEATHER[Weather API]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FORECAST --&gt; OCC[COREPROMA Occupancy Feed]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CONTROL --&gt; HARDWARE[Inverters / Meters / EV Chargers / Batteries V2G]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DB[(SQL Database)]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TSDB[(Time-Series DB)]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PARSER --&gt; DB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MATRIX --&gt; DB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FORECAST --&gt; TSDB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CONTROL --&gt; TSDB</w:t>
      </w:r>
    </w:p>
    <w:p>
      <w:pPr>
        <w:spacing w:after="120"/>
      </w:pPr>
      <w:r>
        <w:t xml:space="preserve"/>
      </w:r>
    </w:p>
    <w:p>
      <w:pPr>
        <w:pStyle w:val="Heading3"/>
      </w:pPr>
      <w:r>
        <w:t xml:space="preserve">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interface: operator dashboard (web) + guest app (mobile).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gateway + authentication service.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parser (OCR + NLP).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Energy matrix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Forecasting engine (ML + weather API + COREPROMA occupancy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control engine (battery + V2G + EV + flexible loads: pools, A/C, hot water).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Grant optimisation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layer: SQL + time-series DB + object storage. Hosting: Azure.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Hardware integration: Modbus, OCPP, MQTT — multi-brand by design (FoxESS, SolarEdge, Huawei, SMA, Victron…).</w:t>
      </w:r>
    </w:p>
    <w:p>
      <w:r>
        <w:br w:type="page"/>
      </w:r>
    </w:p>
    <w:p>
      <w:pPr>
        <w:pStyle w:val="Heading1"/>
      </w:pPr>
      <w:r>
        <w:t xml:space="preserve">5. Pitch Deck (text version)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Aligned with ECOGRID_RESORT_Investors_EN.pptx. Numbers per verified June 2026 data.</w:t>
      </w:r>
    </w:p>
    <w:p>
      <w:pPr>
        <w:pStyle w:val="Heading3"/>
      </w:pPr>
      <w:r>
        <w:t xml:space="preserve">Slide 1 — Title</w:t>
      </w:r>
    </w:p>
    <w:p>
      <w:pPr>
        <w:spacing w:after="120"/>
      </w:pPr>
      <w:r>
        <w:t xml:space="preserve">ECOGRID RESORT™ — The energy transition platform for outdoor hospitality.</w:t>
      </w:r>
    </w:p>
    <w:p>
      <w:pPr>
        <w:pStyle w:val="Heading3"/>
      </w:pPr>
      <w:r>
        <w:t xml:space="preserve">Slide 2 — The problem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Volatile electricity costs · seasonal peaks · EV charging demand · ageing infrastructure · sustainability pressure (EPBD, APER).</w:t>
      </w:r>
    </w:p>
    <w:p>
      <w:pPr>
        <w:pStyle w:val="Heading3"/>
      </w:pPr>
      <w:r>
        <w:t xml:space="preserve">Slide 3 — The opportunity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≈ 11,800 campsites in FR+IT+ES (Eurostat 2026) · core target ≈ 3,000–4,100 large sites · most without solar or smart energy management · French surplus feed-in cut to €0.011/kWh: self-consumption is now the only game.</w:t>
      </w:r>
    </w:p>
    <w:p>
      <w:pPr>
        <w:pStyle w:val="Heading3"/>
      </w:pPr>
      <w:r>
        <w:t xml:space="preserve">Slide 4 — Our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Solar + storage (V2G) + smart control + EV charging + AI monitoring + guest app — one software core.</w:t>
      </w:r>
    </w:p>
    <w:p>
      <w:pPr>
        <w:pStyle w:val="Heading3"/>
      </w:pPr>
      <w:r>
        <w:t xml:space="preserve">Slide 5 —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Satellite analysis → invoice extraction → energy matrix → solar/battery sizing → permits &amp; aids → installation → 24/7 AI operation.</w:t>
      </w:r>
    </w:p>
    <w:p>
      <w:pPr>
        <w:pStyle w:val="Heading3"/>
      </w:pPr>
      <w:r>
        <w:t xml:space="preserve">Slide 6 — Why 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COREPROMA distribution · tourism-vertical software · occupancy data feeding AI forecasting · multi-brand hardware layer.</w:t>
      </w:r>
    </w:p>
    <w:p>
      <w:pPr>
        <w:pStyle w:val="Heading3"/>
      </w:pPr>
      <w:r>
        <w:t xml:space="preserve">Slide 7 — Business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1: direct sale (EPC margin + SaaS + maintenance) · Model 2: financed &amp; savings share (60/40, 15 yrs, 30-yr lease, SPV) · aggregator/VPP upside.</w:t>
      </w:r>
    </w:p>
    <w:p>
      <w:pPr>
        <w:pStyle w:val="Heading3"/>
      </w:pPr>
      <w:r>
        <w:t xml:space="preserve">Slide 8 — Pilot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Marine de Caprone (Corsica): €5.7M CAPEX · 2 MWp · 6 MWh · ≈€860k/yr savings · CO₂ −70–90%.</w:t>
      </w:r>
    </w:p>
    <w:p>
      <w:pPr>
        <w:pStyle w:val="Heading3"/>
      </w:pPr>
      <w:r>
        <w:t xml:space="preserve">Slide 9 — Financial impact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payback ≈ 6–7 yrs (Model 1) · Model 2 ≈ 9.5-yr payback, ≈3.2× over lease · EBITDA positive 2028 · 2035: ≈€37M revenue, ≈70% recurring.</w:t>
      </w:r>
    </w:p>
    <w:p>
      <w:pPr>
        <w:pStyle w:val="Heading3"/>
      </w:pPr>
      <w:r>
        <w:t xml:space="preserve">Slide 10 — Roadmap &amp; ask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Corsica pilot → islands → FR/IT/ES → EU platform · ≈€1.3M operating funding + pilot SPV (€1.4M equity · €3.4M green debt · €0.6M aids · €0.3M leasing).</w:t>
      </w:r>
    </w:p>
    <w:p>
      <w:r>
        <w:br w:type="page"/>
      </w:r>
    </w:p>
    <w:p>
      <w:pPr>
        <w:pStyle w:val="Heading1"/>
      </w:pPr>
      <w:r>
        <w:t xml:space="preserve">6. Client Segmentation &amp; Consumption Model</w:t>
      </w:r>
    </w:p>
    <w:p>
      <w:pPr>
        <w:spacing w:after="120"/>
      </w:pPr>
      <w:r>
        <w:t xml:space="preserve">Two independent axes: size (pitches) proxies contract size; star rating / equipment proxies energy intensity. An energy-intensity overlay (heated pool, % air-conditioned mobile homes, catering, season &gt; 6 months, EV chargers) prioritises within each tier — a 4★ M site with a heated water park outranks a basic 3★ L site.</w:t>
      </w:r>
    </w:p>
    <w:p>
      <w:pPr>
        <w:pStyle w:val="Heading3"/>
      </w:pPr>
      <w:r>
        <w:t xml:space="preserve">Tier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1591"/>
        <w:gridCol w:w="2340"/>
        <w:gridCol w:w="2995"/>
        <w:gridCol w:w="1685"/>
      </w:tblGrid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Pitches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Typical profile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Typical equipment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Est. consumption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50–150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2–3★, family-run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Sanitary blocks, lighting, unheated pool, shop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60–130 MWh/yr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150–350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3–4★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A/C mobile homes, heated pool, snack/restaurant, laundry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300–600 MWh/yr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350–700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4–5★, groups (Capfun, Yelloh!)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Water park, restaurant, spa, EV chargers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800–1,500 MWh/yr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XL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700+ / multi-site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Chains &amp; resorts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+ Multiple pools, balneo, entertainment halls, EV fleet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1,800–3,500 MWh/yr/site</w:t>
            </w:r>
          </w:p>
        </w:tc>
      </w:tr>
    </w:tbl>
    <w:p>
      <w:pPr>
        <w:pStyle w:val="Heading3"/>
      </w:pPr>
      <w:r>
        <w:t xml:space="preserve">Indicative loads per equipment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4212"/>
      </w:tblGrid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Equipment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Indicative load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home (A/C + hot water)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2–4 MWh/unit/season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Heated pool (pumps, heating, treatment)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25–80 MWh/season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Water park / slides / balneo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80–250 MWh/season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Sanitary blocks (hot water, showers)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0.3–0.6 MWh/pitch/season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Restaurant / bar / cold rooms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30–100 MWh/yr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Shop / retail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10–30 MWh/yr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Laundry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5–15 MWh/yr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Outdoor lighting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10–40 MWh/yr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 chargers (7–22 kW)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2–10 MWh/charger/yr</w:t>
            </w:r>
          </w:p>
        </w:tc>
      </w:tr>
      <w:tr>
        <w:tc>
          <w:tcPr>
            <w:tcW w:type="dxa" w:w="51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 / wellness / fitness</w:t>
            </w:r>
          </w:p>
        </w:tc>
        <w:tc>
          <w:tcPr>
            <w:tcW w:type="dxa" w:w="4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20–60 MWh/yr</w:t>
            </w:r>
          </w:p>
        </w:tc>
      </w:tr>
    </w:tbl>
    <w:p>
      <w:pPr>
        <w:pStyle w:val="Heading3"/>
      </w:pPr>
      <w:r>
        <w:t xml:space="preserve">Representative sites — bottom-up detail (MWh/yr)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Assumptions: 6-month season, ≈65% occupancy, Southern Europe (A/C).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1778"/>
        <w:gridCol w:w="1778"/>
        <w:gridCol w:w="1778"/>
        <w:gridCol w:w="1778"/>
      </w:tblGrid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Equipment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 (100 pitches, 10 MH)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 (250, 100 MH)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 (500, 300 MH)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XL (900, 600 MH)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 homes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750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1,800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Pool(s)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Sanitary blocks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Catering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 / wellness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Laundry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Lighting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EV chargers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2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95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445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1,195</w:t>
            </w:r>
          </w:p>
        </w:tc>
        <w:tc>
          <w:tcPr>
            <w:tcW w:type="dxa" w:w="177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2,640</w:t>
            </w:r>
          </w:p>
        </w:tc>
      </w:tr>
    </w:tbl>
    <w:p>
      <w:pPr>
        <w:pStyle w:val="Heading3"/>
      </w:pPr>
      <w:r>
        <w:t xml:space="preserve">Indicative sizing and CAPEX per tier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Scaled from the Corsica pilot base case (2 MWp · 6 MWh · €5.7M). Sizing rules: PV production ≈ annual consumption (yield ≈1,400 kWh/kWp); battery ≈3 kWh per kWp (pilot ratio); all-in €/Wp falls with scale. CAPEX includes carports, inverters, chargers, EMS and engineering.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9"/>
        <w:gridCol w:w="1685"/>
        <w:gridCol w:w="1685"/>
        <w:gridCol w:w="1310"/>
        <w:gridCol w:w="2621"/>
        <w:gridCol w:w="1310"/>
      </w:tblGrid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Solar PV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Battery (LFP)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EV chargers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Indicative CAPEX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≈ €/Wp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50–80 kWp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0.15–0.25 MWh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2–4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€0.20–0.35M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250–350 kWp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0.8–1.0 MWh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6–10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€0.9–1.2M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3.4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700–900 kWp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2.1–2.7 MWh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15–25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€2.1–2.7M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7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XL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1.8–2.2 MWp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5.5–6.5 MWh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30–50</w:t>
            </w:r>
          </w:p>
        </w:tc>
        <w:tc>
          <w:tcPr>
            <w:tcW w:type="dxa" w:w="2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€5.2–6.3M (base €5.7M)</w:t>
            </w:r>
          </w:p>
        </w:tc>
        <w:tc>
          <w:tcPr>
            <w:tcW w:type="dxa" w:w="13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2.85</w:t>
            </w:r>
          </w:p>
        </w:tc>
      </w:tr>
    </w:tbl>
    <w:p>
      <w:pPr>
        <w:pStyle w:val="Heading3"/>
      </w:pPr>
      <w:r>
        <w:t xml:space="preserve">Indicative economics and commercial fit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1498"/>
        <w:gridCol w:w="1685"/>
        <w:gridCol w:w="1591"/>
        <w:gridCol w:w="3931"/>
      </w:tblGrid>
      <w:tr>
        <w:tc>
          <w:tcPr>
            <w:tcW w:type="dxa" w:w="6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Current bill (€/yr)*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Savings (€/yr)**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Client payback (Model 1)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Commercial fit</w:t>
            </w:r>
          </w:p>
        </w:tc>
      </w:tr>
      <w:tr>
        <w:tc>
          <w:tcPr>
            <w:tcW w:type="dxa" w:w="6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€20k (12–30k)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€12k → €30k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10 yrs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Marginal — light offer (no battery) or SaaS-only monitoring; not a core target</w:t>
            </w:r>
          </w:p>
        </w:tc>
      </w:tr>
      <w:tr>
        <w:tc>
          <w:tcPr>
            <w:tcW w:type="dxa" w:w="6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€100k (60–150k)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€70k → €130k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8–13 yrs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Entry point — Model 1; battery optional</w:t>
            </w:r>
          </w:p>
        </w:tc>
      </w:tr>
      <w:tr>
        <w:tc>
          <w:tcPr>
            <w:tcW w:type="dxa" w:w="6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€270k (160–375k)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€190k → €350k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7–11 yrs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Priority — Model 1 or Model 2 (SPV-viable size)</w:t>
            </w:r>
          </w:p>
        </w:tc>
      </w:tr>
      <w:tr>
        <w:tc>
          <w:tcPr>
            <w:tcW w:type="dxa" w:w="65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XL</w:t>
            </w:r>
          </w:p>
        </w:tc>
        <w:tc>
          <w:tcPr>
            <w:tcW w:type="dxa" w:w="14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€600k+ (360k–875k)</w:t>
            </w:r>
          </w:p>
        </w:tc>
        <w:tc>
          <w:tcPr>
            <w:tcW w:type="dxa" w:w="16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€440k → €860k</w:t>
            </w:r>
          </w:p>
        </w:tc>
        <w:tc>
          <w:tcPr>
            <w:tcW w:type="dxa" w:w="15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6.6–12 yrs</w:t>
            </w:r>
          </w:p>
        </w:tc>
        <w:tc>
          <w:tcPr>
            <w:tcW w:type="dxa" w:w="39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Priority — Model 2 flagship (pilot profile)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* Indicative average — tier consumption × €0.20–0.25/kWh; actual bills vary widely between sites of the same size (season length, equipment, tariff). ** Range: conservative (bill offset only — ≈65% of consumption at €0.20–0.24/kWh, plus EV revenue) → pilot-aligned (≈€430k per MWp installed, as in the financial model — includes peak shaving, EV charging revenue, V2G and ZNI feed-in). SaaS €5k/yr and maintenance €10k/yr are the L-tier reference; proposed size-based tiers: S €2.5k/€4k · M €4k/€7k · XL €7k/€15k (to validate). All figures pre-audit estimates (±40%).</w:t>
      </w:r>
    </w:p>
    <w:p>
      <w:pPr>
        <w:pStyle w:val="Heading3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homes dominate from tier M (≈55–70% of load) — A/C + hot water are controllable loads, the heart of the value proposition for 4–5★ sites.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Annual bill at €0.20–0.25/kWh: ≈€20k (S) → ≈€100k (M) → ≈€270k (L) → €600k+ (XL) — sizes the savings pitch per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 water (ECS) is a large, flexible load — shiftable to off-peak hours / solar peaks.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Estimation methods: top-down ≈1,000–2,000 kWh/pitch/yr (±40%, quick qualification); bottom-up kW × hours × season × occupancy (collectable in one sales call, basis of a credible pre-audit).</w:t>
      </w:r>
    </w:p>
    <w:p>
      <w:r>
        <w:br w:type="page"/>
      </w:r>
    </w:p>
    <w:p>
      <w:pPr>
        <w:pStyle w:val="Heading1"/>
      </w:pPr>
      <w:r>
        <w:t xml:space="preserve">7. Public Funding &amp; Aid Matrix (verified — June 2026)</w:t>
      </w:r>
    </w:p>
    <w:p>
      <w:pPr>
        <w:spacing w:after="120"/>
      </w:pPr>
      <w:r>
        <w:t xml:space="preserve">There is no direct European solar subsidy for an isolated private site; most support is national or regional. Status verified 10 June 2026 (sources: Eurostat, Légifrance, MIMIT, pv magazine FR/ES/IT — details in BP_research_verification_2026-06.md).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995"/>
        <w:gridCol w:w="4493"/>
      </w:tblGrid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Geography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Scheme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DE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Status &amp; notes (June 2026)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Self-consumption premium (prime à l’autoconsommation)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ABOLISHED — decree of 1 June 2026. Surplus feed-in cut to €0.011/kWh (&lt;500 kWc). Grandfathering for applications before 5 June 2026.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 / Corsica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ZNI feed-in window (EDF SEI)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dedicated Corsican tariff arrêté (guichet ouvert since 2024). Rates to confirm with EDF SEI before pricing deals. Lever #1 for the pilot.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 / Corsica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ADEME / France 2030 / FEDER Corsica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Open, competitive — feasibility studies and CAPEX support; case-by-case.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France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Advenir (EV chargers)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 re-verify — scheme evolving; check current rates before quoting.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NextGen / PRTR autoconsumo (RD 477/2021)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 since 31 Dec 2023. No generic self-consumption grant open in 2026.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IDAE €277.5M call (Jan 2026)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innovative installations incl. collective self-consumption + storage. Realistic channel.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MITECO energy communities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€108M calls.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Transizione 5.0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CLOSED — resources exhausted (MIMIT decree, Nov 2025); 2026 = wind-down only.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Iperammortamento 2026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covers self-consumption PV + storage, but only EU-made modules ≥ 21.5% efficiency (procurement constraint).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Conto Termico 3.0 · CER/GSE · regional FESR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complementary channels (thermal, energy communities, regional).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EU (competitive)</w:t>
            </w:r>
          </w:p>
        </w:tc>
        <w:tc>
          <w:tcPr>
            <w:tcW w:type="dxa" w:w="29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Innovation Fund · LIFE-CET · Horizon Europe · InvestEU/EIB</w:t>
            </w:r>
          </w:p>
        </w:tc>
        <w:tc>
          <w:tcPr>
            <w:tcW w:type="dxa" w:w="449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— suited to the multi-site platform, EMS/AI R&amp;D and green debt; not site-level subsidies.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Aid strategy: the model is robust without subsidies — aids are an accelerator, not a condition. The in-house grants specialist manages applications on behalf of clients as an embedded service.</w:t>
      </w:r>
    </w:p>
    <w:p>
      <w:pPr>
        <w:spacing w:after="200"/>
      </w:pPr>
      <w:r>
        <w:t xml:space="preserve"/>
      </w:r>
    </w:p>
    <w:p>
      <w:pPr>
        <w:spacing w:after="120"/>
        <w:jc w:val="center"/>
      </w:pPr>
      <w:r>
        <w:rPr>
          <w:i/>
          <w:iCs/>
          <w:color w:val="666666"/>
          <w:sz w:val="18"/>
          <w:szCs w:val="18"/>
        </w:rPr>
        <w:t xml:space="preserve">Confidential working document — June 2026. Projections rely on unaudited assumptions; they are neither an offer nor a promise of returns.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SMARTGRID RESORT — Master Document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2026-06-12T21:22:33.448Z</dcterms:created>
  <dcterms:modified xsi:type="dcterms:W3CDTF">2026-06-12T21:22:33.448Z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