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2C3D"/>
          <w:sz w:val="40"/>
          <w:szCs w:val="40"/>
        </w:rPr>
        <w:t xml:space="preserve">ECOGRID RESORT™</w:t>
      </w:r>
    </w:p>
    <w:p>
      <w:pPr>
        <w:spacing w:after="40"/>
      </w:pPr>
      <w:r>
        <w:rPr>
          <w:b/>
          <w:bCs/>
          <w:color w:val="1F7A6D"/>
          <w:sz w:val="26"/>
          <w:szCs w:val="26"/>
        </w:rPr>
        <w:t xml:space="preserve">Note de recherche — Marché cible &amp; dispositifs d’aides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Hôtellerie de plein air en Europe du Sud · Espagne · Italie (Sardaigne) · France (Corse)  —  Document de travail interne, équipe COREPROMA · Juin 2026</w:t>
      </w:r>
    </w:p>
    <w:p>
      <w:pPr>
        <w:pStyle w:val="Heading1"/>
      </w:pPr>
      <w:r>
        <w:t xml:space="preserve">0 · Avertissement méthodologique — à lire avant d’utiliser les chiffres</w:t>
      </w:r>
    </w:p>
    <w:p>
      <w:pPr>
        <w:spacing w:after="120"/>
      </w:pPr>
      <w:r>
        <w:t xml:space="preserve">Ce document distingue explicitement ce qui a été vérifié de ce qui repose sur des chiffres sectoriels de référence. Aucune précision n’a été inventée. </w:t>
      </w:r>
      <w:r>
        <w:t xml:space="preserve">Trois niveaux de confiance sont indiqués pour chaque donnée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Élevée — </w:t>
      </w:r>
      <w:r>
        <w:t xml:space="preserve">recoupé sur source publique au moment de la rédaction.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Moyenne — </w:t>
      </w:r>
      <w:r>
        <w:t xml:space="preserve">chiffre sectoriel largement cité (ISTAT, INE, fédérations), non recoupé en direct dans cette session ; à confirmer.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Faible — </w:t>
      </w:r>
      <w:r>
        <w:t xml:space="preserve">estimation régionale ou hypothèse de cadrage ; à valider impérativement avant tout usage externe.</w:t>
      </w:r>
    </w:p>
    <w:p>
      <w:pPr>
        <w:spacing w:after="120"/>
      </w:pPr>
      <w:r>
        <w:rPr>
          <w:b/>
          <w:bCs/>
          <w:color w:val="B5651D"/>
        </w:rPr>
        <w:t xml:space="preserve">Limite de cette session : </w:t>
      </w:r>
      <w:r>
        <w:t xml:space="preserve">l’API de données Eurostat et un moteur de recherche généraliste n’étaient pas exploitables. Le comptage France et le total européen ont pu être recoupés ; les comptages Italie / Espagne / îles et les dispositifs d’aides proviennent de sources officielles connues, à reconfirmer aux URL listées en fin de document. Les guichets d’aides nationaux marqués </w:t>
      </w:r>
      <w:r>
        <w:rPr>
          <w:i/>
          <w:iCs/>
        </w:rPr>
        <w:t xml:space="preserve">« fenêtre à vérifier »</w:t>
      </w:r>
      <w:r>
        <w:t xml:space="preserve"> sont par nature mouvants.</w:t>
      </w:r>
    </w:p>
    <w:p>
      <w:pPr>
        <w:pStyle w:val="Heading1"/>
      </w:pPr>
      <w:r>
        <w:t xml:space="preserve">1 · Taille du marché cible par pays et région</w:t>
      </w:r>
    </w:p>
    <w:p>
      <w:pPr>
        <w:spacing w:after="120"/>
      </w:pPr>
      <w:r>
        <w:rPr>
          <w:b/>
          <w:bCs/>
        </w:rPr>
        <w:t xml:space="preserve">Périmètre : </w:t>
      </w:r>
      <w:r>
        <w:t xml:space="preserve">hôtellerie de plein air (campings classés, villages-vacances, parcs résidentiels de loisirs, éco-destinations de plein air). L’Europe compte environ </w:t>
      </w:r>
      <w:r>
        <w:rPr>
          <w:b/>
          <w:bCs/>
        </w:rPr>
        <w:t xml:space="preserve">30 000 établissements</w:t>
      </w:r>
      <w:r>
        <w:t xml:space="preserve"> d’hôtellerie de plein air ; la France en est le 2ᵉ marché mondial derrière les États-Unis.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Source du cadrage européen : Duhamel, Géographie du tourisme et des loisirs (via INSEE/DGE) — confiance ÉLEVÉE pour l’ordre de grandeur.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400"/>
        <w:gridCol w:w="14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Pays / région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Établissements (campings / HPA)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Confiance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à confirmer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France (total)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7 900 – 8 200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920 000 emplacements ; ≈ 3 M lits ; #1 Europe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Élevée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INSEE, DGE, FNHPA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 dont Corse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200 (estim.)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Camping = 1ʳᵉ offre d’hébergement de l’île ; zone non interconnectée (ZNI)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Moyenne-Faible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INSEE Corse / ATC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Italie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2 400 – 2 900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1,3 M lits — parmi les plus grandes capacités d’Europe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Moyenne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ISTAT, Faita-Federcamping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 dont Sardaigne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100 – 130 (estim.)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Île non interconnectée ; forte saisonnalité estivale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ISTAT / Sardegna Turismo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Espagne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1 200 – 1 300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800 000 places ; forte concentration Méditerranée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Moyenne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INE, FEEC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Lecture stratégique : </w:t>
      </w:r>
      <w:r>
        <w:t xml:space="preserve">la France domine le nombre de sites, mais le ciblage ECOGRID ne porte pas sur le comptage brut — il porte sur le sous-ensemble </w:t>
      </w:r>
      <w:r>
        <w:rPr>
          <w:b/>
          <w:bCs/>
        </w:rPr>
        <w:t xml:space="preserve">adressable</w:t>
      </w:r>
      <w:r>
        <w:t xml:space="preserve"> : sites de grande taille, à forte charge estivale (clim, piscines, ECS, restauration) et grandes surfaces solarisables (toitures, parkings, ombrières).</w:t>
      </w:r>
    </w:p>
    <w:p>
      <w:pPr>
        <w:pStyle w:val="Heading2"/>
      </w:pPr>
      <w:r>
        <w:t xml:space="preserve">1.1 · Sous-ensemble adressable (estimation de cadrage — confiance FAIBLE)</w:t>
      </w:r>
    </w:p>
    <w:p>
      <w:pPr>
        <w:spacing w:after="120"/>
      </w:pPr>
      <w:r>
        <w:t xml:space="preserve">Hypothèse : ~25–35 % des sites sont « grands » (souvent &gt;200 emplacements, 3–5 étoiles) et économiquement pertinents pour un micro-réseau. </w:t>
      </w:r>
      <w:r>
        <w:rPr>
          <w:i/>
          <w:iCs/>
        </w:rPr>
        <w:t xml:space="preserve">Chiffres indicatifs à affiner par étude terrain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Sites adressables (estim.)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Commentaire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France (hors Corse)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2 000 – 2 500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Marché de volume ; littoral Méditerranée + Atlantique prioritaire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Italie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700 – 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Grosses capacités unitaires ; Adriatique, Toscane, lacs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Espagne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350 – 450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Catalogne, Valence, Andalousie ; forte intensité clim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Îles (Corse + Sardaigne)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80 – 130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Petit volume mais valeur de résilience et soutien public maximaux (ZNI) → vitrine prioritaire</w:t>
            </w:r>
          </w:p>
        </w:tc>
      </w:tr>
    </w:tbl>
    <w:p>
      <w:pPr>
        <w:pStyle w:val="Heading1"/>
      </w:pPr>
      <w:r>
        <w:t xml:space="preserve">2 · Vent réglementaire favorable (confiance ÉLEVÉE)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Directive EPBD refonte 2024/1275 — </w:t>
      </w:r>
      <w:r>
        <w:t xml:space="preserve">déploiement progressif du solaire sur les bâtiments (neufs puis grands bâtiments non résidentiels existants d’ici 2030).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France — loi APER (2023-175) — </w:t>
      </w:r>
      <w:r>
        <w:t xml:space="preserve">obligation d’ombrières solaires sur les grands parkings extérieurs (&gt; 1 500 m²).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CSRD — </w:t>
      </w:r>
      <w:r>
        <w:t xml:space="preserve">le reporting durabilité pousse chaînes et exploitants à décarboner et à documenter ; argument de vente du module reporting carbone/ESG d’ECOGRID.</w:t>
      </w:r>
    </w:p>
    <w:p>
      <w:pPr>
        <w:pStyle w:val="Heading1"/>
      </w:pPr>
      <w:r>
        <w:t xml:space="preserve">3 · Dispositifs d’aides mobilisables, par niveau</w:t>
      </w:r>
    </w:p>
    <w:p>
      <w:pPr>
        <w:spacing w:after="120"/>
      </w:pPr>
      <w:r>
        <w:rPr>
          <w:b/>
          <w:bCs/>
          <w:color w:val="B5651D"/>
        </w:rPr>
        <w:t xml:space="preserve">Vérité utile, comme dans le deck : </w:t>
      </w:r>
      <w:r>
        <w:t xml:space="preserve">il n’existe pas de « subvention solaire européenne » qu’un site privé pourrait simplement réclamer. L’essentiel du soutien au CAPEX est national/régional (souvent cofinancé par l’UE) ; les fonds UE directs sont compétitifs.</w:t>
      </w:r>
    </w:p>
    <w:p>
      <w:pPr>
        <w:pStyle w:val="Heading2"/>
      </w:pPr>
      <w:r>
        <w:t xml:space="preserve">3.1 · Niveau européen (compétitif — non garanti)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00"/>
        <w:gridCol w:w="1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Dispositif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Nature / adéquation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Fonds pour l’innovation (ETS-UE)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40 Md€ 2020–2030 ; décarbonation à grande échelle. Adapté à la plateforme multi-sites, pas à un camping isolé. Appels compétitifs.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Ouvert, compétitif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 — Clean Energy Transition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Cofinance adoption &amp; coordination (montants modestes).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Ouvert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Horizon Europe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Subventions R&amp;D&amp;I pour le logiciel EMS/IA (consortiums).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Ouvert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InvestEU / BEI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Prêts verts &amp; garanties — dette, pas subvention.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Ouvert</w:t>
            </w:r>
          </w:p>
        </w:tc>
      </w:tr>
    </w:tbl>
    <w:p>
      <w:pPr>
        <w:pStyle w:val="Heading2"/>
      </w:pPr>
      <w:r>
        <w:t xml:space="preserve">3.2 · France &amp; Corse (le vrai soutien au CAPEX)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00"/>
        <w:gridCol w:w="1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Dispositif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Nature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Appels d’offres CRE — dont ZNI insulaire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PV + stockage fortement soutenus en zone non interconnectée (Corse). Levier n°1 sur les îles.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Récurrent — vérifier calendrier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Prime à l’autoconsommation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Pour petits systèmes ; barème en baisse depuis 2024.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Fenêtre à vérifier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ADEME / France 2030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Aides à l’innovation et à l’investissement bas carbone.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Ouvert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FEDER Corse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Cofinancement régional UE des renouvelables.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Programmation 2021-27</w:t>
            </w:r>
          </w:p>
        </w:tc>
      </w:tr>
    </w:tbl>
    <w:p>
      <w:pPr>
        <w:pStyle w:val="Heading2"/>
      </w:pPr>
      <w:r>
        <w:t xml:space="preserve">3.3 · Espagne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00"/>
        <w:gridCol w:w="1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Dispositif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Nature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Aides autoconsommation NextGen / PRTR (IDAE &amp; régions)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Subventions massives 2021-24 — largement engagées/épuisées.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 Probablement clos — à vérifier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Abattements municipaux IBI / ICIO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Réductions de taxes locales pour autoconsommation ; variables par commune.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 vigueur (variable)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Cadre autoconsommation (sans « impôt au soleil » depuis 2018)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Facilite l’autoconsommation collective et le partage.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 vigueur</w:t>
            </w:r>
          </w:p>
        </w:tc>
      </w:tr>
    </w:tbl>
    <w:p>
      <w:pPr>
        <w:pStyle w:val="Heading2"/>
      </w:pPr>
      <w:r>
        <w:t xml:space="preserve">3.4 · Italie &amp; Sardaigne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00"/>
        <w:gridCol w:w="1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Dispositif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Nature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Crédit d’impôt Transizione 5.0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Soutien CAPEX efficacité/renouvelables sous PNRR, durée limitée (2024-25).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 Fenêtre probablement close — à vérifier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Conto Termico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Soutien chaleur renouvelable ; mise à jour « 3.0 » en cours.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 vigueur / révision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Communautés énergétiques (CER) via GSE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Subventions PNRR (&lt; 5 000 hab.) + prime sur l’énergie partagée.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Ouvert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FESR régional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Cofinancement renouvelables PME &amp; tourisme.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Programmation 2021-27</w:t>
            </w:r>
          </w:p>
        </w:tc>
      </w:tr>
    </w:tbl>
    <w:p>
      <w:pPr>
        <w:spacing w:after="120"/>
      </w:pPr>
      <w:r>
        <w:rPr>
          <w:b/>
          <w:bCs/>
        </w:rPr>
        <w:t xml:space="preserve">Angle insulaire (confiance ÉLEVÉE sur la logique) : </w:t>
      </w:r>
      <w:r>
        <w:t xml:space="preserve">Corse et Sardaigne sont non interconnectées — le PV + stockage y bénéficie du soutien public le plus fort et de la plus forte valeur de résilience. C’est là qu’il faut démarrer.</w:t>
      </w:r>
    </w:p>
    <w:p>
      <w:pPr>
        <w:pStyle w:val="Heading1"/>
      </w:pPr>
      <w:r>
        <w:t xml:space="preserve">4 · Certifications &amp; labels (productisables dans le SaaS)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Label / norme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C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Clef Verte / Green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Éco-label tourisme de référence, très implanté en camping.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Écolabel Européen (hébergement touristique)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Label officiel UE pour l’hébergement.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Travelife · Biosphere · Green Globe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Certifications durabilité tourisme reconnues à l’international.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ISO 50001 / ISO 14001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Management de l’énergie / de l’environnement.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Garanties d’Origine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Traçabilité de l’électricité renouvelable.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Bilan Carbone / ISO 14064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Empreinte carbone auditable pour ESG / CSRD.</w:t>
            </w:r>
          </w:p>
        </w:tc>
      </w:tr>
    </w:tbl>
    <w:p>
      <w:pPr>
        <w:spacing w:after="120"/>
      </w:pPr>
      <w:r>
        <w:rPr>
          <w:b/>
          <w:bCs/>
          <w:color w:val="1F7A6D"/>
        </w:rPr>
        <w:t xml:space="preserve">Opportunité produit : </w:t>
      </w:r>
      <w:r>
        <w:t xml:space="preserve">intégrer l’accompagnement aux labels et le reporting carbone dans le SaaS transforme la conformité en revenu récurrent à forte marge.</w:t>
      </w:r>
    </w:p>
    <w:p>
      <w:pPr>
        <w:pStyle w:val="Heading1"/>
      </w:pPr>
      <w:r>
        <w:t xml:space="preserve">5 · Sources officielles à reconfirmer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France : INSEE (hébergement), DGE Tourisme, FNHPA (fnhpa-pro.fr), CRE (appels d’offres, ZNI), ADEME, France 2030.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Espagne : INE (camping), IDAE (autoconsommation / NextGen), communes (IBI/ICIO).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Italie : ISTAT (turismo all’aria aperta), Faita-Federcamping, GSE (CER, Conto Termico), MIMIT (Transizione 5.0).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UE : Commission européenne / CINEA (Fonds innovation, LIFE, Horizon), BEI (InvestEU). Eurostat dataset tour_cap_nat pour le comptage établissements.</w:t>
      </w:r>
    </w:p>
    <w:p>
      <w:pPr>
        <w:spacing w:after="120"/>
      </w:pPr>
      <w:r>
        <w:rPr>
          <w:b/>
          <w:bCs/>
        </w:rPr>
        <w:t xml:space="preserve">Recommandation : </w:t>
      </w:r>
      <w:r>
        <w:t xml:space="preserve">avant tout usage investisseur, faire valider les comptages Italie/Espagne/îles et le statut des guichets ES/IT par une source primaire datée. Les ordres de grandeur ci-dessus sont fiables ; les décimales ne le sont pas.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ECOGRID RESORT™ × COREPROMA · Note de recherche interne · Juin 2026 · p.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B2C3D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7A6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2026-06-02T09:21:36.257Z</dcterms:created>
  <dcterms:modified xsi:type="dcterms:W3CDTF">2026-06-02T09:21:36.257Z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