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5F"/>
          <w:sz w:val="56"/>
          <w:szCs w:val="56"/>
        </w:rPr>
        <w:t xml:space="preserve">ECOGRID RESORT™</w:t>
      </w:r>
    </w:p>
    <w:p>
      <w:pPr>
        <w:spacing w:after="400"/>
        <w:jc w:val="center"/>
      </w:pPr>
      <w:r>
        <w:rPr>
          <w:color w:val="2E75B6"/>
          <w:sz w:val="36"/>
          <w:szCs w:val="36"/>
        </w:rPr>
        <w:t xml:space="preserve">Business Plan</w:t>
      </w:r>
    </w:p>
    <w:p>
      <w:pPr>
        <w:spacing w:after="120"/>
        <w:jc w:val="center"/>
      </w:pPr>
      <w:r>
        <w:rPr>
          <w:sz w:val="26"/>
          <w:szCs w:val="26"/>
        </w:rPr>
        <w:t xml:space="preserve">Plateforme de services énergétiques pour le tourisme de plein air</w:t>
      </w:r>
    </w:p>
    <w:p>
      <w:pPr>
        <w:spacing w:after="2400"/>
        <w:jc w:val="center"/>
      </w:pPr>
      <w:r>
        <w:rPr>
          <w:sz w:val="26"/>
          <w:szCs w:val="26"/>
        </w:rPr>
        <w:t xml:space="preserve">Micro-réseaux intelligents : solaire, stockage, V2G, pilotage IA</w:t>
      </w:r>
    </w:p>
    <w:p>
      <w:pPr>
        <w:jc w:val="center"/>
      </w:pPr>
      <w:r>
        <w:rPr>
          <w:color w:val="666666"/>
          <w:sz w:val="22"/>
          <w:szCs w:val="22"/>
        </w:rPr>
        <w:t xml:space="preserve">Juin 2026 — Document confidentiel — Version 1.0</w:t>
      </w:r>
    </w:p>
    <w:p>
      <w:pPr>
        <w:jc w:val="center"/>
      </w:pPr>
      <w:r>
        <w:rPr>
          <w:color w:val="666666"/>
          <w:sz w:val="22"/>
          <w:szCs w:val="22"/>
        </w:rPr>
        <w:t xml:space="preserve">Module Smart Grid de l’écosystème COREPROMA</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pPr>
      <w:r>
        <w:t xml:space="preserve">ECOGRID RESORT™ est une plateforme de services énergétiques (SaaS + actifs) qui transforme les campings et villages vacances d’Europe du Sud en micro-réseaux intelligents : production solaire et éolienne, stockage bidirectionnel (V2G), pilotage par IA et application vacancier — déployable site par site, puis en réseau européen.</w:t>
      </w:r>
    </w:p>
    <w:p>
      <w:pPr>
        <w:spacing w:after="120"/>
      </w:pPr>
      <w:r>
        <w:t xml:space="preserve">Notre avantage n’est pas le matériel solaire, c’est la distribution : l’accès déjà existant aux exploitants via l’écosystème COREPROMA. La valeur long terme vient du logiciel récurrent et du réseau de sites connectés, pas de la vente d’équipement.</w:t>
      </w:r>
    </w:p>
    <w:p>
      <w:pPr>
        <w:pStyle w:val="Heading2"/>
      </w:pPr>
      <w:r>
        <w:t xml:space="preserve">Chiffres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Indicateur</w:t>
            </w:r>
          </w:p>
        </w:tc>
        <w:tc>
          <w:tcPr>
            <w:tcW w:type="dxa" w:w="5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Valeur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Marché adressable (FR+IT+ES)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11 800 campings (Eurostat, mai 2026) ; cœur de cible 25–35 % du parc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Site pilote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Marine de Caprone (Corse) — CAPEX 5,7 M€, gains ≈ 480 k€/an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Deux modèles commerciaux</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Vente directe (Modèle 1) · Financement &amp; partage d’économies (Modèle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EBITDA positif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dès 2028 (scénario central)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Trajectoire 2035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109 sites connectés · ≈ 37 M€ de revenus · ≈ 70 % récurrents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Retour Modèle 2</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remboursement ≈ 17 ans (CAPEX net d’aides) · ≈ 1,75× sur bail de 30 ans</w:t>
            </w:r>
          </w:p>
        </w:tc>
      </w:tr>
    </w:tbl>
    <w:p>
      <w:pPr>
        <w:spacing w:after="120"/>
      </w:pPr>
      <w:r>
        <w:t xml:space="preserve"/>
      </w:r>
    </w:p>
    <w:p>
      <w:pPr>
        <w:spacing w:after="120"/>
      </w:pPr>
      <w:r>
        <w:rPr>
          <w:i/>
          <w:iCs/>
          <w:color w:val="666666"/>
          <w:sz w:val="18"/>
          <w:szCs w:val="18"/>
        </w:rPr>
        <w:t xml:space="preserve">Chiffres issus du modèle financier joint (ECOGRID_Financial_Model_v1.xlsx), scénario central non audité. À confirmer par étude d’ingénierie et devis fournisseurs.</w:t>
      </w:r>
    </w:p>
    <w:p>
      <w:pPr>
        <w:pStyle w:val="Heading1"/>
      </w:pPr>
      <w:r>
        <w:t xml:space="preserve">2. Le problème et l’opportunité</w:t>
      </w:r>
    </w:p>
    <w:p>
      <w:pPr>
        <w:spacing w:after="120"/>
      </w:pPr>
      <w:r>
        <w:t xml:space="preserve">Les exploitants de campings et villages vacances subissent des factures d’électricité volatiles (climatisation, piscines, restauration, eau chaude sanitaire, éclairage), des contraintes de raccordement en zone touristique, et une pression croissante de leurs clients et de la réglementation pour une preuve bas carbone visible et mesurable.</w:t>
      </w:r>
    </w:p>
    <w:p>
      <w:pPr>
        <w:spacing w:after="120"/>
      </w:pPr>
      <w:r>
        <w:t xml:space="preserve">Trois évolutions réglementaires récentes renforcent l’opportunité :</w:t>
      </w:r>
    </w:p>
    <w:p>
      <w:pPr>
        <w:pStyle w:val="ListParagraph"/>
        <w:numPr>
          <w:ilvl w:val="0"/>
          <w:numId w:val="2"/>
        </w:numPr>
        <w:spacing w:after="80"/>
      </w:pPr>
      <w:r>
        <w:rPr>
          <w:b/>
          <w:bCs/>
        </w:rPr>
        <w:t xml:space="preserve">EPBD (UE/2024/1275) : </w:t>
      </w:r>
      <w:r>
        <w:t xml:space="preserve">solaire obligatoire sur les bâtiments non résidentiels existants &gt; 500 m² lors de rénovations importantes (échéance 31/12/2027) ; bâtiments neufs &gt; 250 m² dès fin 2026.</w:t>
      </w:r>
    </w:p>
    <w:p>
      <w:pPr>
        <w:pStyle w:val="ListParagraph"/>
        <w:numPr>
          <w:ilvl w:val="0"/>
          <w:numId w:val="2"/>
        </w:numPr>
        <w:spacing w:after="80"/>
      </w:pPr>
      <w:r>
        <w:rPr>
          <w:b/>
          <w:bCs/>
        </w:rPr>
        <w:t xml:space="preserve">Loi APER (France) : </w:t>
      </w:r>
      <w:r>
        <w:t xml:space="preserve">obligation d’ombrières solaires sur les parkings &gt; 1 500 m² (échéances 2026/2028 — dispositif assoupli en 2025 et contesté juridiquement, à utiliser avec prudence).</w:t>
      </w:r>
    </w:p>
    <w:p>
      <w:pPr>
        <w:pStyle w:val="ListParagraph"/>
        <w:numPr>
          <w:ilvl w:val="0"/>
          <w:numId w:val="2"/>
        </w:numPr>
        <w:spacing w:after="80"/>
      </w:pPr>
      <w:r>
        <w:rPr>
          <w:b/>
          <w:bCs/>
        </w:rPr>
        <w:t xml:space="preserve">Fin de la prime à l’autoconsommation (France, juin 2026) : </w:t>
      </w:r>
      <w:r>
        <w:t xml:space="preserve">tarif de revente du surplus abaissé à 1,1 c€/kWh. Chaque kWh autoconsommé vaut désormais près de 20 fois un kWh exporté — c’est précisément ce que maximisent notre EMS et notre stockage.</w:t>
      </w:r>
    </w:p>
    <w:p>
      <w:pPr>
        <w:spacing w:after="120"/>
      </w:pPr>
      <w:r>
        <w:t xml:space="preserve">La gestion d’énergie générique est une commodité (FoxESS, SolarEdge, Huawei, SMA, Victron…). L’opportunité n’est pas de vendre un EMS de plus, mais d’occuper la couche logicielle verticale tourisme, au-dessus du matériel et agnostique des marques.</w:t>
      </w:r>
    </w:p>
    <w:p>
      <w:pPr>
        <w:pStyle w:val="Heading1"/>
      </w:pPr>
      <w:r>
        <w:t xml:space="preserve">3. La solution — quatre briques, un cœur logiciel</w:t>
      </w:r>
    </w:p>
    <w:p>
      <w:pPr>
        <w:spacing w:after="120"/>
      </w:pPr>
      <w:r>
        <w:t xml:space="preserve">ECOGRID RESORT™ agit comme le système d’exploitation énergétique du site : orchestration en temps réel des actifs et des usages pour maximiser l’autoconsommation, réduire la pointe réseau et préserver le confort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Brique</w:t>
            </w:r>
          </w:p>
        </w:tc>
        <w:tc>
          <w:tcPr>
            <w:tcW w:type="dxa" w:w="6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Contenu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Produire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Solaire sur site (ombrières, toitures, pergolas) + éolien en option.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Stocker &amp; dispatcher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Batteries LFP V2G-prêtes ; EMS piloté par IA 24/7 sur toutes les sources.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Distribuer &amp; recharger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Pilotage piscines, climatisation, ECS ; 30–50 bornes VE avec recharge intelligente et retour V2G.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Impliquer &amp; mesurer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 vacancier (EcoScore, économies &amp; CO₂ en temps réel, réservation VE, récompenses V2G) ; reporting carbone / ESG exploitant.</w:t>
            </w:r>
          </w:p>
        </w:tc>
      </w:tr>
    </w:tbl>
    <w:p>
      <w:pPr>
        <w:spacing w:after="120"/>
      </w:pPr>
      <w:r>
        <w:t xml:space="preserve"/>
      </w:r>
    </w:p>
    <w:p>
      <w:pPr>
        <w:pStyle w:val="Heading2"/>
      </w:pPr>
      <w:r>
        <w:t xml:space="preserve">Notre fossé concurrentiel</w:t>
      </w:r>
    </w:p>
    <w:p>
      <w:pPr>
        <w:pStyle w:val="ListParagraph"/>
        <w:numPr>
          <w:ilvl w:val="0"/>
          <w:numId w:val="2"/>
        </w:numPr>
        <w:spacing w:after="80"/>
      </w:pPr>
      <w:r>
        <w:rPr>
          <w:b/>
          <w:bCs/>
        </w:rPr>
        <w:t xml:space="preserve">La distribution : </w:t>
      </w:r>
      <w:r>
        <w:t xml:space="preserve">accès déjà existant aux exploitants via COREPROMA — le point le plus dur du marché, et c’est notre acquis.</w:t>
      </w:r>
    </w:p>
    <w:p>
      <w:pPr>
        <w:pStyle w:val="ListParagraph"/>
        <w:numPr>
          <w:ilvl w:val="0"/>
          <w:numId w:val="2"/>
        </w:numPr>
        <w:spacing w:after="80"/>
      </w:pPr>
      <w:r>
        <w:rPr>
          <w:b/>
          <w:bCs/>
        </w:rPr>
        <w:t xml:space="preserve">Le vertical tourisme : </w:t>
      </w:r>
      <w:r>
        <w:t xml:space="preserve">app vacancier, optimisation selon l’occupation et la saisonnalité, reporting ESG et accompagnement labels productisés (Clef Verte, ISO 50001…).</w:t>
      </w:r>
    </w:p>
    <w:p>
      <w:pPr>
        <w:pStyle w:val="ListParagraph"/>
        <w:numPr>
          <w:ilvl w:val="0"/>
          <w:numId w:val="2"/>
        </w:numPr>
        <w:spacing w:after="80"/>
      </w:pPr>
      <w:r>
        <w:rPr>
          <w:b/>
          <w:bCs/>
        </w:rPr>
        <w:t xml:space="preserve">La donnée d’occupation : </w:t>
      </w:r>
      <w:r>
        <w:t xml:space="preserve">les réservations COREPROMA alimentent la prévision de charge par IA — un différenciateur qu’aucun EMS générique ne possède.</w:t>
      </w:r>
    </w:p>
    <w:p>
      <w:pPr>
        <w:spacing w:after="120"/>
      </w:pPr>
      <w:r>
        <w:t xml:space="preserve">Les fabricants (FoxESS &amp; co.) sont des fournisseurs intégrés, pas des concurrents : ECOGRID est la couche au-dessus du matériel, multi-marques dès la conception.</w:t>
      </w:r>
    </w:p>
    <w:p>
      <w:pPr>
        <w:pStyle w:val="Heading1"/>
      </w:pPr>
      <w:r>
        <w:t xml:space="preserve">4. Le marché</w:t>
      </w:r>
    </w:p>
    <w:p>
      <w:pPr>
        <w:spacing w:after="120"/>
      </w:pPr>
      <w:r>
        <w:t xml:space="preserve">Cible : campings, villages vacances, resorts, résidences de tourisme et éco-destinations d’Europe du Sud. Géographies prioritaires : Corse, Sardaigne, puis France continentale, Italie, Espagne.</w:t>
      </w:r>
    </w:p>
    <w:p>
      <w:pPr>
        <w:pStyle w:val="Heading2"/>
      </w:pPr>
      <w:r>
        <w:t xml:space="preserve">Taille de marché (vérifiée juin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0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Pays / région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Établissements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Lits</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7 996 (2025)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2 780 688</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Eurostat tour_cap_nat, mai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Italie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2 380 (2024)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1 117 484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Eurostat (≈2 400 prudent)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Espagne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1 412 (2024, en hausse)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804 433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Eurostat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Corse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187 (2025)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Eurostat NUTS2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Sardaigne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76 (2024)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Eurostat NUTS2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FR+IT+ES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11 800 sites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4,7 M lits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bl>
    <w:p>
      <w:pPr>
        <w:spacing w:after="120"/>
      </w:pPr>
      <w:r>
        <w:t xml:space="preserve"/>
      </w:r>
    </w:p>
    <w:p>
      <w:pPr>
        <w:spacing w:after="120"/>
      </w:pPr>
      <w:r>
        <w:t xml:space="preserve">Le cœur adressable — grands sites à forte charge estivale et grandes surfaces solarisables — représente environ 25 à 35 % du parc, soit ≈ 3 000 à 4 100 sites, à affiner par étude terrain.</w:t>
      </w:r>
    </w:p>
    <w:p>
      <w:pPr>
        <w:pStyle w:val="Heading2"/>
      </w:pPr>
      <w:r>
        <w:t xml:space="preserve">Prix de l’électricité : le moteur des économies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Pays</w:t>
            </w:r>
          </w:p>
        </w:tc>
        <w:tc>
          <w:tcPr>
            <w:tcW w:type="dxa" w:w="6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Prix commercial 2025-S2 (€/kWh, hors taxes récupérables, tranche 20–499 MWh)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Italie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0,238 — le plus fort potentiel d’économies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France / Corse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0,195 (péréquation tarifaire en ZNI : tarif continental malgré un coût de production insulaire bien supérieur)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Espagne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0,162</w:t>
            </w:r>
          </w:p>
        </w:tc>
      </w:tr>
    </w:tbl>
    <w:p>
      <w:pPr>
        <w:spacing w:after="120"/>
      </w:pPr>
      <w:r>
        <w:t xml:space="preserve"/>
      </w:r>
    </w:p>
    <w:p>
      <w:pPr>
        <w:spacing w:after="120"/>
      </w:pPr>
      <w:r>
        <w:rPr>
          <w:i/>
          <w:iCs/>
          <w:color w:val="666666"/>
          <w:sz w:val="18"/>
          <w:szCs w:val="18"/>
        </w:rPr>
        <w:t xml:space="preserve">Source : Eurostat nrg_pc_205, publié mai 2026.</w:t>
      </w:r>
    </w:p>
    <w:p>
      <w:pPr>
        <w:pStyle w:val="Heading2"/>
      </w:pPr>
      <w:r>
        <w:t xml:space="preserve">Pourquoi commencer par les îles</w:t>
      </w:r>
    </w:p>
    <w:p>
      <w:pPr>
        <w:spacing w:after="120"/>
      </w:pPr>
      <w:r>
        <w:t xml:space="preserve">La Corse et la Sardaigne sont des zones non interconnectées (ZNI) : le couple PV + stockage y bénéficie du soutien public le plus fort (guichet tarifaire ZNI dédié en Corse) et de la plus forte valeur de résilience. C’est la vitrine la plus crédible avant l’industrialisation continentale.</w:t>
      </w:r>
    </w:p>
    <w:p>
      <w:pPr>
        <w:pStyle w:val="Heading2"/>
      </w:pPr>
      <w:r>
        <w:t xml:space="preserve">Segmentation clients et économie indicative par tier</w:t>
      </w:r>
    </w:p>
    <w:p>
      <w:pPr>
        <w:spacing w:after="120"/>
      </w:pPr>
      <w:r>
        <w:t xml:space="preserve">Le marché se segmente en quatre tiers selon deux axes indépendants : la taille (emplacements) est un proxy de la valeur du contrat ; le classement (étoiles) et les équipements sont un proxy de l'intensité énergétique. Un score d'intensité énergétique (piscine chauffée, part de mobile homes climatisés, restauration, saison &gt; 6 mois, bornes VE) priorise au sein de chaque tier. Le dimensionnement et l'économie ci-dessous sont mis à l'échelle du cas de base du pilote corse (2 MWc · 6 MWh · 5,7 M€ · ≈860 k€/an d'économies) et d'un modèle de consommation bottom-up (saison 6 mois, occupation ≈65 %, Europe du Sud).</w:t>
      </w:r>
    </w:p>
    <w:p>
      <w:pPr>
        <w:pStyle w:val="Heading3"/>
      </w:pPr>
      <w:r>
        <w:t xml:space="preserve">Modèle de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264"/>
        <w:gridCol w:w="3791"/>
        <w:gridCol w:w="1715"/>
        <w:gridCol w:w="1624"/>
      </w:tblGrid>
      <w:tr>
        <w:tc>
          <w:tcPr>
            <w:tcW w:type="dxa" w:w="6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Tier</w:t>
            </w:r>
          </w:p>
        </w:tc>
        <w:tc>
          <w:tcPr>
            <w:tcW w:type="dxa" w:w="126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Emplacements</w:t>
            </w:r>
          </w:p>
        </w:tc>
        <w:tc>
          <w:tcPr>
            <w:tcW w:type="dxa" w:w="379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Profil &amp; équipements types</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Conso (MWh/an)</w:t>
            </w:r>
          </w:p>
        </w:tc>
        <w:tc>
          <w:tcPr>
            <w:tcW w:type="dxa" w:w="162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Facture annuelle*</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50–150</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familial ; sanitaires, piscine non chauffée, épicerie</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60–130</w:t>
            </w:r>
          </w:p>
        </w:tc>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20 k€</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150–350</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 mobile homes clim, piscine chauffée, resto, laverie</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300–600</w:t>
            </w:r>
          </w:p>
        </w:tc>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100 k€</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350–700</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groupes (Capfun, Yelloh!) ; parc aquatique, spa, bornes VE</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800–1 500</w:t>
            </w:r>
          </w:p>
        </w:tc>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270 k€</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XL</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700+ / multi-sites</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Chaînes &amp; resorts ; piscines multiples, balnéo, flotte VE</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1 800–3 500 /site</w:t>
            </w:r>
          </w:p>
        </w:tc>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600 k€+</w:t>
            </w:r>
          </w:p>
        </w:tc>
      </w:tr>
    </w:tbl>
    <w:p>
      <w:pPr>
        <w:spacing w:after="120"/>
      </w:pPr>
    </w:p>
    <w:p>
      <w:pPr>
        <w:spacing w:after="120"/>
      </w:pPr>
      <w:r>
        <w:rPr>
          <w:i/>
          <w:iCs/>
          <w:color w:val="666666"/>
          <w:sz w:val="18"/>
          <w:szCs w:val="18"/>
        </w:rPr>
        <w:t xml:space="preserve">* À 0,20–0,25 €/kWh. Les mobile homes dominent la charge dès le tier M (≈55–70 %) : clim et ECS sont des charges pilotables — le cœur de la proposition de valeur EMS pour les 4–5★.</w:t>
      </w:r>
    </w:p>
    <w:p>
      <w:pPr>
        <w:pStyle w:val="Heading3"/>
      </w:pPr>
      <w:r>
        <w:t xml:space="preserve">Dimensionnement et CAPEX indicatifs par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444"/>
        <w:gridCol w:w="1534"/>
        <w:gridCol w:w="1173"/>
        <w:gridCol w:w="2708"/>
        <w:gridCol w:w="1535"/>
      </w:tblGrid>
      <w:tr>
        <w:tc>
          <w:tcPr>
            <w:tcW w:type="dxa" w:w="6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Tier</w:t>
            </w:r>
          </w:p>
        </w:tc>
        <w:tc>
          <w:tcPr>
            <w:tcW w:type="dxa" w:w="14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PV solaire</w:t>
            </w:r>
          </w:p>
        </w:tc>
        <w:tc>
          <w:tcPr>
            <w:tcW w:type="dxa" w:w="153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Batterie (LFP)</w:t>
            </w:r>
          </w:p>
        </w:tc>
        <w:tc>
          <w:tcPr>
            <w:tcW w:type="dxa" w:w="117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Bornes VE</w:t>
            </w:r>
          </w:p>
        </w:tc>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CAPEX indicatif</w:t>
            </w:r>
          </w:p>
        </w:tc>
        <w:tc>
          <w:tcPr>
            <w:tcW w:type="dxa" w:w="153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 €/Wc</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50–80 kWc</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0,15–0,25 MWh</w:t>
            </w:r>
          </w:p>
        </w:tc>
        <w:tc>
          <w:tcPr>
            <w:tcW w:type="dxa" w:w="117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0,20–0,35 M€</w:t>
            </w:r>
          </w:p>
        </w:tc>
        <w:tc>
          <w:tcPr>
            <w:tcW w:type="dxa" w:w="153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250–350 kWc</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0,8–1,0 MWh</w:t>
            </w:r>
          </w:p>
        </w:tc>
        <w:tc>
          <w:tcPr>
            <w:tcW w:type="dxa" w:w="117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6–10</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0,9–1,2 M€</w:t>
            </w:r>
          </w:p>
        </w:tc>
        <w:tc>
          <w:tcPr>
            <w:tcW w:type="dxa" w:w="153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700–900 kWc</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2,1–2,7 MWh</w:t>
            </w:r>
          </w:p>
        </w:tc>
        <w:tc>
          <w:tcPr>
            <w:tcW w:type="dxa" w:w="117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15–25</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2,1–2,7 M€</w:t>
            </w:r>
          </w:p>
        </w:tc>
        <w:tc>
          <w:tcPr>
            <w:tcW w:type="dxa" w:w="153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XL</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1,8–2,2 MWc</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5,5–6,5 MWh</w:t>
            </w:r>
          </w:p>
        </w:tc>
        <w:tc>
          <w:tcPr>
            <w:tcW w:type="dxa" w:w="117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30–50</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5,2–6,3 M€ (base 5,7 M€)</w:t>
            </w:r>
          </w:p>
        </w:tc>
        <w:tc>
          <w:tcPr>
            <w:tcW w:type="dxa" w:w="153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2,85</w:t>
            </w:r>
          </w:p>
        </w:tc>
      </w:tr>
    </w:tbl>
    <w:p>
      <w:pPr>
        <w:spacing w:after="120"/>
      </w:pPr>
    </w:p>
    <w:p>
      <w:pPr>
        <w:spacing w:after="120"/>
      </w:pPr>
      <w:r>
        <w:rPr>
          <w:i/>
          <w:iCs/>
          <w:color w:val="666666"/>
          <w:sz w:val="18"/>
          <w:szCs w:val="18"/>
        </w:rPr>
        <w:t xml:space="preserve">Règles de dimensionnement : PV dimensionné pour une production annuelle ≈ consommation annuelle (productible ≈1 400 kWh/kWc en Europe du Sud) ; batterie ≈3 kWh par kWc de PV (ratio du pilote) ; le €/Wc tout compris baisse avec la taille (coûts fixes d'ingénierie, de raccordement et de déploiement EMS). Le CAPEX inclut ombrières, onduleurs, bornes, EMS et ingénierie.</w:t>
      </w:r>
    </w:p>
    <w:p>
      <w:pPr>
        <w:pStyle w:val="Heading3"/>
      </w:pPr>
      <w:r>
        <w:t xml:space="preserve">Économie indicative et positionnement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444"/>
        <w:gridCol w:w="1625"/>
        <w:gridCol w:w="1534"/>
        <w:gridCol w:w="3791"/>
      </w:tblGrid>
      <w:tr>
        <w:tc>
          <w:tcPr>
            <w:tcW w:type="dxa" w:w="6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Tier</w:t>
            </w:r>
          </w:p>
        </w:tc>
        <w:tc>
          <w:tcPr>
            <w:tcW w:type="dxa" w:w="14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Facture actuelle (€/an)*</w:t>
            </w:r>
          </w:p>
        </w:tc>
        <w:tc>
          <w:tcPr>
            <w:tcW w:type="dxa" w:w="162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Économies (€/an)**</w:t>
            </w:r>
          </w:p>
        </w:tc>
        <w:tc>
          <w:tcPr>
            <w:tcW w:type="dxa" w:w="153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Retour client (Modèle 1)</w:t>
            </w:r>
          </w:p>
        </w:tc>
        <w:tc>
          <w:tcPr>
            <w:tcW w:type="dxa" w:w="379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Positionnement commercial</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20 k€ (12–30 k€)</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 k€ → 30 k€</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10 ans</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Marginal — offre légère (sans batterie) ou monitoring SaaS seul ; pas une cible cœur</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100 k€ (60–150 k€)</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70 k€ → 130 k€</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8–13 ans</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Porte d'entrée — Modèle 1 ; batterie optionnelle</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270 k€ (160–375 k€)</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190 k€ → 200 k€</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10–14 ans</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Priorité — Modèle 1 ou Modèle 2 (taille viable en SPV)</w:t>
            </w:r>
          </w:p>
        </w:tc>
      </w:tr>
      <w:tr>
        <w:tc>
          <w:tcPr>
            <w:tcW w:type="dxa" w:w="6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XL</w:t>
            </w:r>
          </w:p>
        </w:tc>
        <w:tc>
          <w:tcPr>
            <w:tcW w:type="dxa" w:w="14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600 k€+ (360–875 k€)</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440 k€ → 500 k€</w:t>
            </w:r>
          </w:p>
        </w:tc>
        <w:tc>
          <w:tcPr>
            <w:tcW w:type="dxa" w:w="153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10–14 ans</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Priorité — vitrine Modèle 2 (profil du pilote)</w:t>
            </w:r>
          </w:p>
        </w:tc>
      </w:tr>
    </w:tbl>
    <w:p>
      <w:pPr>
        <w:spacing w:after="120"/>
      </w:pPr>
    </w:p>
    <w:p>
      <w:pPr>
        <w:spacing w:after="120"/>
      </w:pPr>
      <w:r>
        <w:rPr>
          <w:i/>
          <w:iCs/>
          <w:color w:val="666666"/>
          <w:sz w:val="18"/>
          <w:szCs w:val="18"/>
        </w:rPr>
        <w:t xml:space="preserve">* Moyenne indicative — consommation du tier × 0,20–0,25 €/kWh ; la facture réelle varie fortement entre sites de même taille (durée de saison, équipements, tarif). ** Fourchette : conservatrice (réduction de facture seule — ≈65 % de la consommation à 0,20–0,24 €/kWh, plus revenus VE) → alignée pilote (≈430 k€ par MWc installé, comme dans le modèle financier — inclut écrêtage de pointe, revenus de recharge VE, V2G et tarif d'achat ZNI). SaaS 5 k€/an et maintenance 10 k€/an = référence tier L ; tiers proposés : S 2,5 k€/4 k€ · M 4 k€/7 k€ · XL 7 k€/15 k€ (à valider — grilles en cours).</w:t>
      </w:r>
    </w:p>
    <w:p>
      <w:pPr>
        <w:spacing w:after="120"/>
      </w:pPr>
      <w:r>
        <w:t xml:space="preserve">L'économie s'améliore fortement avec la taille, en cohérence avec le cœur adressable de 25–35 % du parc : les tiers L et XL sont la priorité, M la porte d'entrée, S servi de façon opportuniste. Tous les chiffres sont des estimations pré-audit (±40 %) à confirmer par étude d'ingénierie et devis fournisseurs (équipe solaire).</w:t>
      </w:r>
    </w:p>
    <w:p>
      <w:pPr>
        <w:pStyle w:val="Heading1"/>
      </w:pPr>
      <w:r>
        <w:t xml:space="preserve">5. Les deux modèles commerciaux</w:t>
      </w:r>
    </w:p>
    <w:p>
      <w:pPr>
        <w:pStyle w:val="Heading2"/>
      </w:pPr>
      <w:r>
        <w:t xml:space="preserve">Modèle 1 — Vente directe</w:t>
      </w:r>
    </w:p>
    <w:p>
      <w:pPr>
        <w:spacing w:after="120"/>
      </w:pPr>
      <w:r>
        <w:t xml:space="preserve">Le client achète la centrale (il paie le devis) et bénéficie de 100 % de la réduction de sa facture. SmartGrid réalise une marge EPC à l’installation, puis vend l’abonnement logiciel et le contrat de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Élément</w:t>
            </w:r>
          </w:p>
        </w:tc>
        <w:tc>
          <w:tcPr>
            <w:tcW w:type="dxa" w:w="5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Valeur (site de référence)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Investissement client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5,7 M€ (échelle ajustable par taille de site)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Marge EPC SmartGrid (15 %)</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855 k€ (ponctuelle)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Abonnement SaaS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k€ / an (mises à jour et support inclus)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Contrat de maintenance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k€ / an (barème par taille en cours)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Retour client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10–11 ans sur les économies (≈ 480 k€/an)</w:t>
            </w:r>
          </w:p>
        </w:tc>
      </w:tr>
    </w:tbl>
    <w:p>
      <w:pPr>
        <w:spacing w:after="120"/>
      </w:pPr>
      <w:r>
        <w:t xml:space="preserve"/>
      </w:r>
    </w:p>
    <w:p>
      <w:pPr>
        <w:pStyle w:val="Heading2"/>
      </w:pPr>
      <w:r>
        <w:t xml:space="preserve">Modèle 2 — Financement &amp; partage d’économies</w:t>
      </w:r>
    </w:p>
    <w:p>
      <w:pPr>
        <w:spacing w:after="120"/>
      </w:pPr>
      <w:r>
        <w:t xml:space="preserve">SmartGrid finance, installe et possède la centrale : zéro investissement pour l’exploitant. Les économies réalisées sont partagées pendant la durée du contrat ; l’abonnement SaaS reste vendu au client ; la maintenance est à la charge de SmartGrid (la centrale lui appartient, bail foncier de 30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Élément</w:t>
            </w:r>
          </w:p>
        </w:tc>
        <w:tc>
          <w:tcPr>
            <w:tcW w:type="dxa" w:w="5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Valeur (site de référence)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Investissement SmartGrid</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5,7 M€ brut ; ≈ 4,85 M€ net d’aides (hypothèse 15 %)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Partage des économies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60 % SmartGrid / 40 % client, pendant 15 ans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Revenu annuel net SmartGrid</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283 k€ (part économies + SaaS − maintenance)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Remboursement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17 ans sur CAPEX net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Queue de revenus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après contrat, la centrale reste propriété de SmartGrid jusqu’au terme du bail de 30 ans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Multiple sur la durée du bail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1,75× le CAPEX net</w:t>
            </w:r>
          </w:p>
        </w:tc>
      </w:tr>
    </w:tbl>
    <w:p>
      <w:pPr>
        <w:spacing w:after="120"/>
      </w:pPr>
      <w:r>
        <w:t xml:space="preserve"/>
      </w:r>
    </w:p>
    <w:p>
      <w:pPr>
        <w:spacing w:after="120"/>
      </w:pPr>
      <w:r>
        <w:t xml:space="preserve">Structure financière : les centrales du Modèle 2 sont logées dans des SPV d’actifs (un par site ou par grappe), financées en fonds propres + dette verte + aides, hors bilan de la société d’exploitation. Trois profils d’investisseurs peuvent co-investir : industriel/EPC, infrastructure/ombrières, financier.</w:t>
      </w:r>
    </w:p>
    <w:p>
      <w:pPr>
        <w:pStyle w:val="ListParagraph"/>
        <w:numPr>
          <w:ilvl w:val="0"/>
          <w:numId w:val="2"/>
        </w:numPr>
        <w:spacing w:after="80"/>
      </w:pPr>
      <w:r>
        <w:rPr>
          <w:b/>
          <w:bCs/>
        </w:rPr>
        <w:t xml:space="preserve">Option stratégique à volume : </w:t>
      </w:r>
      <w:r>
        <w:t xml:space="preserve">devenir agrégateur / Responsable d’Équilibre — valoriser la flexibilité du parc de sites (centrale virtuelle, VPP). Non comptabilisée dans les projections : pur potentiel de hausse.</w:t>
      </w:r>
    </w:p>
    <w:p>
      <w:pPr>
        <w:pStyle w:val="Heading1"/>
      </w:pPr>
      <w:r>
        <w:t xml:space="preserve">6. Le site pilote — Marine de Caprone (Ghisonaccia, Corse)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Indicateur</w:t>
            </w:r>
          </w:p>
        </w:tc>
        <w:tc>
          <w:tcPr>
            <w:tcW w:type="dxa" w:w="6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Valeur cible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CAPEX indicatif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5,7 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Dimensionnement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2 MWc solaire · 6 MWh stockage LFP · 30–50 bornes VE · EMS IA 24/7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Gains annuels cible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480 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CO₂ évité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70–90 %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Financement indicatif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 M€ fonds propres · 3,4 M€ dette verte · 0,6 M€ aides · 0,3 M€ leasing</w:t>
            </w:r>
          </w:p>
        </w:tc>
      </w:tr>
    </w:tbl>
    <w:p>
      <w:pPr>
        <w:spacing w:after="120"/>
      </w:pPr>
      <w:r>
        <w:t xml:space="preserve"/>
      </w:r>
    </w:p>
    <w:p>
      <w:pPr>
        <w:spacing w:after="120"/>
      </w:pPr>
      <w:r>
        <w:rPr>
          <w:i/>
          <w:iCs/>
          <w:color w:val="666666"/>
          <w:sz w:val="18"/>
          <w:szCs w:val="18"/>
        </w:rPr>
        <w:t xml:space="preserve">Scénario central non audité — à confirmer par étude d’ingénierie énergie, devis fournisseurs et modèle financier détaillé.</w:t>
      </w:r>
    </w:p>
    <w:p>
      <w:pPr>
        <w:spacing w:after="120"/>
      </w:pPr>
      <w:r>
        <w:t xml:space="preserve">Le pilote sera déployé en Modèle 2 (financé), servant de démonstrateur des deux propositions : économies massives pour l’exploitant et rendement d’actif pour les investisseurs.</w:t>
      </w:r>
    </w:p>
    <w:p>
      <w:pPr>
        <w:pStyle w:val="Heading1"/>
      </w:pPr>
      <w:r>
        <w:t xml:space="preserve">7. L’équipe</w:t>
      </w:r>
    </w:p>
    <w:p>
      <w:pPr>
        <w:spacing w:after="120"/>
      </w:pPr>
      <w:r>
        <w:t xml:space="preserve">Cinq associés fondateurs (rémunérés 3 k€/mois dès le démarrage) et une équipe resserrée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Nom</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Rôle</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Franck Merlin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Direction informatique (Head of IT)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Associé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Mark Defosse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Direction marketing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Associé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Boris Fabie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Direction équipe solaire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Associé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Pierre (nom à compléter)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Relations clients &amp; partenaires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Associé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Michael (nom à compléter)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Direction infrastructure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Associé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Joseph Serra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Marketing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Salarié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Carl Enesrby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Finance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Salarié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Spécialiste subventions 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Gestion des dossiers d’aides pour le compte des clients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Recrutement prévu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Secrétariat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Administration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Recrutement prévu</w:t>
            </w:r>
          </w:p>
        </w:tc>
      </w:tr>
    </w:tbl>
    <w:p>
      <w:pPr>
        <w:spacing w:after="120"/>
      </w:pPr>
      <w:r>
        <w:t xml:space="preserve"/>
      </w:r>
    </w:p>
    <w:p>
      <w:pPr>
        <w:spacing w:after="120"/>
      </w:pPr>
      <w:r>
        <w:t xml:space="preserve">Le spécialiste subventions est un choix différenciant : la gestion des aides (CRE ZNI, FEDER, GSE, IDAE…) devient un service rendu au client, intégré à l’offre, plutôt qu’un obstacle.</w:t>
      </w:r>
    </w:p>
    <w:p>
      <w:pPr>
        <w:spacing w:after="120"/>
      </w:pPr>
      <w:r>
        <w:t xml:space="preserve">Le passage à l’échelle prévoit un technicien d’exploitation pour 5 sites connectés (intégré aux projections).</w:t>
      </w:r>
    </w:p>
    <w:p>
      <w:pPr>
        <w:pStyle w:val="Heading1"/>
      </w:pPr>
      <w:r>
        <w:t xml:space="preserve">8. Projections financières</w:t>
      </w:r>
    </w:p>
    <w:p>
      <w:pPr>
        <w:spacing w:after="120"/>
      </w:pPr>
      <w:r>
        <w:t xml:space="preserve">Le modèle complet (hypothèses modifiables, 10 ans) figure dans ECOGRID_Financial_Model_v1.xlsx. Synthèse du scénario central :</w:t>
      </w:r>
    </w:p>
    <w:p>
      <w:pPr>
        <w:pStyle w:val="Heading2"/>
      </w:pPr>
      <w:r>
        <w:t xml:space="preserve">Charges d’exploitation — année 1 : ≈ 502 k€ récurrentes (+ 250 k€ CAPEX logiciel Année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Poste</w:t>
            </w:r>
          </w:p>
        </w:tc>
        <w:tc>
          <w:tcPr>
            <w:tcW w:type="dxa" w:w="3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Montant annuel</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Rémunération associés (5 × 3 k€/mois)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180 k€</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Salaires équipe (3 × 3 k€/mois)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108 k€</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Développement logiciel + hébergement Azure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250 k€ (CAPEX Année 0 — hors OPEX)</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Marketing (10 k€/mois, à partir du mois 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 k€</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Déplacements (5 k€/mois)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 k€</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Bureau (2 k€/mois)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 k€</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Divers (assurances, juridique, PI, IT)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k€</w:t>
            </w:r>
          </w:p>
        </w:tc>
      </w:tr>
    </w:tbl>
    <w:p>
      <w:pPr>
        <w:spacing w:after="120"/>
      </w:pPr>
      <w:r>
        <w:t xml:space="preserve"/>
      </w:r>
    </w:p>
    <w:p>
      <w:pPr>
        <w:pStyle w:val="Heading2"/>
      </w:pPr>
      <w:r>
        <w:t xml:space="preserve">Trajectoire (scénario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2826"/>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Année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Sites cumulés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Revenus</w:t>
            </w:r>
          </w:p>
        </w:tc>
        <w:tc>
          <w:tcPr>
            <w:tcW w:type="dxa" w:w="2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EBITDA*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(502 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(pilote)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435 k€</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(420 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1,74 M€</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+ 858 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6,1 M€</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+ 5,1 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15,8 M€</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+ 14,4 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37,1 M€</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+ 34,5 M€</w:t>
            </w:r>
          </w:p>
        </w:tc>
      </w:tr>
    </w:tbl>
    <w:p>
      <w:pPr>
        <w:spacing w:after="120"/>
      </w:pPr>
      <w:r>
        <w:t xml:space="preserve"/>
      </w:r>
    </w:p>
    <w:p>
      <w:pPr>
        <w:spacing w:after="120"/>
      </w:pPr>
      <w:r>
        <w:rPr>
          <w:i/>
          <w:iCs/>
          <w:color w:val="666666"/>
          <w:sz w:val="18"/>
          <w:szCs w:val="18"/>
        </w:rPr>
        <w:t xml:space="preserve">* EBITDA consolidé avant amortissements et frais financiers des centrales (portés par les SPV d’actifs). Convention année pleine sur sites cumulés. Rampe commerciale : hypothèse modifiable dans le modèle.</w:t>
      </w:r>
    </w:p>
    <w:p>
      <w:pPr>
        <w:spacing w:after="120"/>
      </w:pPr>
      <w:r>
        <w:t xml:space="preserve">À 2035, environ 70 % des revenus sont récurrents (SaaS, maintenance, partage d’économies) — c’est la base de la valorisation de la plateforme, conformément à la thèse : la valeur vient du réseau de sites connectés, pas de la vente d’équipement.</w:t>
      </w:r>
    </w:p>
    <w:p>
      <w:pPr>
        <w:pStyle w:val="Heading2"/>
      </w:pPr>
      <w:r>
        <w:t xml:space="preserve">Besoin de financement</w:t>
      </w:r>
    </w:p>
    <w:p>
      <w:pPr>
        <w:spacing w:after="120"/>
      </w:pPr>
      <w:r>
        <w:t xml:space="preserve">La société d’exploitation a besoin d’environ 920 k€ pour couvrir les deux premières années (502 k€ OPEX récurrents Année 1 + 420 k€ Année 2), plus 250 k€ CAPEX développement logiciel (Année 0) jusqu’à l’EBITDA positif en 2028. Les centrales du Modèle 2 sont financées séparément dans les SPV (fonds propres investisseurs + dette verte + aides), pour un volume cumulé d’actifs d’environ 218 M€ bruts à horizon 2035 dans le scénario central.</w:t>
      </w:r>
    </w:p>
    <w:p>
      <w:pPr>
        <w:pStyle w:val="Heading1"/>
      </w:pPr>
      <w:r>
        <w:t xml:space="preserve">9. Financement public et aides (état vérifié — juin 2026)</w:t>
      </w:r>
    </w:p>
    <w:p>
      <w:pPr>
        <w:spacing w:after="120"/>
      </w:pPr>
      <w:r>
        <w:t xml:space="preserve">Il n’existe pas de subvention solaire européenne directe pour un site privé isolé ; l’essentiel du soutien est national ou régional. État des lieux vérifié :</w:t>
      </w:r>
    </w:p>
    <w:p>
      <w:pPr>
        <w:pStyle w:val="ListParagraph"/>
        <w:numPr>
          <w:ilvl w:val="0"/>
          <w:numId w:val="2"/>
        </w:numPr>
        <w:spacing w:after="80"/>
      </w:pPr>
      <w:r>
        <w:rPr>
          <w:b/>
          <w:bCs/>
        </w:rPr>
        <w:t xml:space="preserve">France / Corse : </w:t>
      </w:r>
      <w:r>
        <w:t xml:space="preserve">la prime à l’autoconsommation est supprimée (arrêté du 1er juin 2026) ; le levier n°1 reste le guichet tarifaire ZNI dédié à la Corse (barème à confirmer auprès d’EDF SEI) et les dispositifs ADEME / France 2030 / FEDER Corse.</w:t>
      </w:r>
    </w:p>
    <w:p>
      <w:pPr>
        <w:pStyle w:val="ListParagraph"/>
        <w:numPr>
          <w:ilvl w:val="0"/>
          <w:numId w:val="2"/>
        </w:numPr>
        <w:spacing w:after="80"/>
      </w:pPr>
      <w:r>
        <w:rPr>
          <w:b/>
          <w:bCs/>
        </w:rPr>
        <w:t xml:space="preserve">Espagne : </w:t>
      </w:r>
      <w:r>
        <w:t xml:space="preserve">les aides génériques NextGen/PRTR à l’autoconsommation sont closes depuis fin 2023 ; canal réaliste : l’appel IDAE de 277,5 M€ (janvier 2026) pour installations innovantes (autoconsommation collective + stockage) et les communautés énergétiques MITECO.</w:t>
      </w:r>
    </w:p>
    <w:p>
      <w:pPr>
        <w:pStyle w:val="ListParagraph"/>
        <w:numPr>
          <w:ilvl w:val="0"/>
          <w:numId w:val="2"/>
        </w:numPr>
        <w:spacing w:after="80"/>
      </w:pPr>
      <w:r>
        <w:rPr>
          <w:b/>
          <w:bCs/>
        </w:rPr>
        <w:t xml:space="preserve">Italie / Sardaigne : </w:t>
      </w:r>
      <w:r>
        <w:t xml:space="preserve">Transizione 5.0 est clos (ressources épuisées, novembre 2025). Successeur : l’iperammortamento 2026 — qui exige des modules fabriqués dans l’UE à rendement ≥ 21,5 % (contrainte d’achat à intégrer). Également : Conto Termico 3.0, communautés énergétiques (CER/GSE), FESR régional.</w:t>
      </w:r>
    </w:p>
    <w:p>
      <w:pPr>
        <w:pStyle w:val="ListParagraph"/>
        <w:numPr>
          <w:ilvl w:val="0"/>
          <w:numId w:val="2"/>
        </w:numPr>
        <w:spacing w:after="80"/>
      </w:pPr>
      <w:r>
        <w:rPr>
          <w:b/>
          <w:bCs/>
        </w:rPr>
        <w:t xml:space="preserve">UE (compétitif) : </w:t>
      </w:r>
      <w:r>
        <w:t xml:space="preserve">Fonds pour l’innovation (adapté à la plateforme multi-sites), LIFE-CET, Horizon Europe (R&amp;D EMS/IA), InvestEU/BEI (dette verte).</w:t>
      </w:r>
    </w:p>
    <w:p>
      <w:pPr>
        <w:spacing w:after="120"/>
      </w:pPr>
      <w:r>
        <w:rPr>
          <w:i/>
          <w:iCs/>
          <w:color w:val="666666"/>
          <w:sz w:val="18"/>
          <w:szCs w:val="18"/>
        </w:rPr>
        <w:t xml:space="preserve">Sources : Eurostat, Légifrance (JORFTEXT000054190669), MIMIT, pv magazine FR/ES/IT — détail dans BP_research_verification_2026-06.md.</w:t>
      </w:r>
    </w:p>
    <w:p>
      <w:pPr>
        <w:pStyle w:val="Heading1"/>
      </w:pPr>
      <w:r>
        <w:t xml:space="preserve">10. Feuille de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Période</w:t>
            </w:r>
          </w:p>
        </w:tc>
        <w:tc>
          <w:tcPr>
            <w:tcW w:type="dxa" w:w="7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Étape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2026–27</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Pilote insulaire (Corse) : études, permis, raccordement, financement, construction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2028</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Exploitation du pilote, preuves KPI, premiers contrats commerciaux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2029–31</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Industrialisation : France · Italie · Espagne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2032+</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Plateforme européenne, 100+ sites connectés ; option agrégateur / VPP</w:t>
            </w:r>
          </w:p>
        </w:tc>
      </w:tr>
    </w:tbl>
    <w:p>
      <w:pPr>
        <w:spacing w:after="120"/>
      </w:pPr>
      <w:r>
        <w:t xml:space="preserve"/>
      </w:r>
    </w:p>
    <w:p>
      <w:pPr>
        <w:pStyle w:val="Heading1"/>
      </w:pPr>
      <w:r>
        <w:t xml:space="preserve">11. Risques et atténuations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Risque</w:t>
            </w:r>
          </w:p>
        </w:tc>
        <w:tc>
          <w:tcPr>
            <w:tcW w:type="dxa" w:w="5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Atténuation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Chiffres pilote non audités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Étude d’ingénierie + devis fournisseurs avant engagement ; capital tranché par jalons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Marque « ecogrid » (Atlas Copco, classes 7/9/37/42)</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Recherche de similarité par conseil en PI avant dépôt ; déposer « ECOGRID RESORT » verbal + figuratif, classes tourisme ; ne pas revendiquer « ECOGRID » seul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Aides fermées (ES, IT) / instables (FR)</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Spécialiste subventions dédié ; modèle robuste sans subvention (aides = accélérateur, pas condition)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Dépendance API fabricants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Architecture multi-marques dès la conception (FoxESS, SolarEdge, Huawei, SMA, Victron…)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Rampe commerciale ambitieuse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 distribution COREPROMA réduit le coût d’acquisition ; rampe ajustable dans le modèle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Capital intensif (Modèle 2)</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SPV par site, dette verte, co-investisseurs ; le pilote valide avant l’échelle</w:t>
            </w:r>
          </w:p>
        </w:tc>
      </w:tr>
    </w:tbl>
    <w:p>
      <w:pPr>
        <w:spacing w:after="120"/>
      </w:pPr>
      <w:r>
        <w:t xml:space="preserve"/>
      </w:r>
    </w:p>
    <w:p>
      <w:pPr>
        <w:spacing w:after="120"/>
      </w:pPr>
      <w:r>
        <w:rPr>
          <w:i/>
          <w:iCs/>
          <w:color w:val="666666"/>
          <w:sz w:val="18"/>
          <w:szCs w:val="18"/>
        </w:rPr>
        <w:t xml:space="preserve">Document de travail confidentiel — juin 2026. Les projections reposent sur des hypothèses non auditées ; elles ne constituent ni une offre ni une promesse de rendement.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ECOGRID RESORT™ — Business Plan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2026-06-10T16:28:59.059Z</dcterms:created>
  <dcterms:modified xsi:type="dcterms:W3CDTF">2026-06-10T16:28:59.059Z</dcterms:modified>
</cp:coreProperties>
</file>

<file path=docProps/custom.xml><?xml version="1.0" encoding="utf-8"?>
<Properties xmlns="http://schemas.openxmlformats.org/officeDocument/2006/custom-properties" xmlns:vt="http://schemas.openxmlformats.org/officeDocument/2006/docPropsVTypes"/>
</file>