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0"/>
        <w:ind w:hanging="0" w:left="0" w:right="0"/>
        <w:jc w:val="left"/>
        <w:rPr/>
      </w:pPr>
      <w:r>
        <w:rPr/>
        <w:t>COREPROMA</w:t>
      </w:r>
    </w:p>
    <w:p>
      <w:pPr>
        <w:pStyle w:val="BodyText"/>
        <w:bidi w:val="0"/>
        <w:spacing w:before="0" w:after="0"/>
        <w:jc w:val="left"/>
        <w:rPr/>
      </w:pPr>
      <w:r>
        <w:rPr/>
        <w:t>SOLAR FARM PROJECT PLATFORM</w:t>
      </w:r>
    </w:p>
    <w:p>
      <w:pPr>
        <w:pStyle w:val="BodyText"/>
        <w:bidi w:val="0"/>
        <w:spacing w:before="0" w:after="0"/>
        <w:jc w:val="left"/>
        <w:rPr/>
      </w:pPr>
      <w:r>
        <w:rPr/>
        <w:t>Board note · the Ethical Estimation Engine</w:t>
      </w:r>
    </w:p>
    <w:p>
      <w:pPr>
        <w:pStyle w:val="BodyText"/>
        <w:bidi w:val="0"/>
        <w:spacing w:before="0" w:after="0"/>
        <w:jc w:val="left"/>
        <w:rPr/>
      </w:pPr>
      <w:r>
        <w:rPr/>
        <w:t>Prepared for Ethical Power · 9 August 2026 · commercial in confidence</w:t>
      </w:r>
    </w:p>
    <w:p>
      <w:pPr>
        <w:pStyle w:val="BodyText"/>
        <w:bidi w:val="0"/>
        <w:ind w:hanging="0" w:left="0" w:right="0"/>
        <w:jc w:val="left"/>
        <w:rPr/>
      </w:pPr>
      <w:r>
        <w:rPr/>
        <w:t xml:space="preserve">01 </w:t>
      </w:r>
    </w:p>
    <w:p>
      <w:pPr>
        <w:pStyle w:val="Heading2"/>
        <w:bidi w:val="0"/>
        <w:jc w:val="left"/>
        <w:rPr/>
      </w:pPr>
      <w:r>
        <w:rPr/>
        <w:t>What gets built, and when</w:t>
      </w:r>
    </w:p>
    <w:p>
      <w:pPr>
        <w:pStyle w:val="BodyText"/>
        <w:bidi w:val="0"/>
        <w:jc w:val="left"/>
        <w:rPr/>
      </w:pPr>
      <w:r>
        <w:rPr/>
        <w:t xml:space="preserve">Two phases </w:t>
      </w:r>
    </w:p>
    <w:p>
      <w:pPr>
        <w:pStyle w:val="Heading3"/>
        <w:bidi w:val="0"/>
        <w:jc w:val="left"/>
        <w:rPr/>
      </w:pPr>
      <w:r>
        <w:rPr/>
        <w:t>Phase 1 · live mid-December 2026</w:t>
      </w:r>
    </w:p>
    <w:p>
      <w:pPr>
        <w:pStyle w:val="BodyText"/>
        <w:bidi w:val="0"/>
        <w:jc w:val="left"/>
        <w:rPr/>
      </w:pPr>
      <w:r>
        <w:rPr/>
        <w:t>The estimating core, plus the workspace that runs delivery. Signature is needed by end August to hold the date.</w:t>
      </w:r>
    </w:p>
    <w:p>
      <w:pPr>
        <w:pStyle w:val="BodyText"/>
        <w:numPr>
          <w:ilvl w:val="0"/>
          <w:numId w:val="1"/>
        </w:numPr>
        <w:tabs>
          <w:tab w:val="clear" w:pos="1134"/>
          <w:tab w:val="left" w:pos="709" w:leader="none"/>
        </w:tabs>
        <w:bidi w:val="0"/>
        <w:spacing w:before="0" w:after="0"/>
        <w:ind w:hanging="283" w:left="709"/>
        <w:jc w:val="left"/>
        <w:rPr/>
      </w:pPr>
      <w:r>
        <w:rPr>
          <w:b/>
        </w:rPr>
        <w:t>Creation wizard</w:t>
      </w:r>
      <w:r>
        <w:rPr/>
        <w:t xml:space="preserve"> · ten guided steps, free-issue scope, terrain upload, quantities derived from capacity </w:t>
      </w:r>
    </w:p>
    <w:p>
      <w:pPr>
        <w:pStyle w:val="BodyText"/>
        <w:numPr>
          <w:ilvl w:val="0"/>
          <w:numId w:val="1"/>
        </w:numPr>
        <w:tabs>
          <w:tab w:val="clear" w:pos="1134"/>
          <w:tab w:val="left" w:pos="709" w:leader="none"/>
        </w:tabs>
        <w:bidi w:val="0"/>
        <w:spacing w:before="0" w:after="0"/>
        <w:ind w:hanging="283" w:left="709"/>
        <w:jc w:val="left"/>
        <w:rPr/>
      </w:pPr>
      <w:r>
        <w:rPr>
          <w:b/>
        </w:rPr>
        <w:t>Validation</w:t>
      </w:r>
      <w:r>
        <w:rPr/>
        <w:t xml:space="preserve"> · the draft becomes a locked, auditable project record with sign-off </w:t>
      </w:r>
    </w:p>
    <w:p>
      <w:pPr>
        <w:pStyle w:val="BodyText"/>
        <w:numPr>
          <w:ilvl w:val="0"/>
          <w:numId w:val="1"/>
        </w:numPr>
        <w:tabs>
          <w:tab w:val="clear" w:pos="1134"/>
          <w:tab w:val="left" w:pos="709" w:leader="none"/>
        </w:tabs>
        <w:bidi w:val="0"/>
        <w:spacing w:before="0" w:after="0"/>
        <w:ind w:hanging="283" w:left="709"/>
        <w:jc w:val="left"/>
        <w:rPr/>
      </w:pPr>
      <w:r>
        <w:rPr>
          <w:b/>
        </w:rPr>
        <w:t>Risk register</w:t>
      </w:r>
      <w:r>
        <w:rPr/>
        <w:t xml:space="preserve"> · every risk priced as a named £ provision that lands in the budget as a visible line </w:t>
      </w:r>
    </w:p>
    <w:p>
      <w:pPr>
        <w:pStyle w:val="BodyText"/>
        <w:numPr>
          <w:ilvl w:val="0"/>
          <w:numId w:val="1"/>
        </w:numPr>
        <w:tabs>
          <w:tab w:val="clear" w:pos="1134"/>
          <w:tab w:val="left" w:pos="709" w:leader="none"/>
        </w:tabs>
        <w:bidi w:val="0"/>
        <w:spacing w:before="0" w:after="0"/>
        <w:ind w:hanging="283" w:left="709"/>
        <w:jc w:val="left"/>
        <w:rPr/>
      </w:pPr>
      <w:r>
        <w:rPr>
          <w:b/>
        </w:rPr>
        <w:t>Cost calculator</w:t>
      </w:r>
      <w:r>
        <w:rPr/>
        <w:t xml:space="preserve"> · bill of materials across 17 packages, BOQ to Excel and PDF, sensitivity table, investor one-pager </w:t>
      </w:r>
    </w:p>
    <w:p>
      <w:pPr>
        <w:pStyle w:val="BodyText"/>
        <w:numPr>
          <w:ilvl w:val="0"/>
          <w:numId w:val="1"/>
        </w:numPr>
        <w:tabs>
          <w:tab w:val="clear" w:pos="1134"/>
          <w:tab w:val="left" w:pos="709" w:leader="none"/>
        </w:tabs>
        <w:bidi w:val="0"/>
        <w:ind w:hanging="283" w:left="709"/>
        <w:jc w:val="left"/>
        <w:rPr/>
      </w:pPr>
      <w:r>
        <w:rPr>
          <w:b/>
        </w:rPr>
        <w:t>Delivery &amp; governance workspace</w:t>
      </w:r>
      <w:r>
        <w:rPr/>
        <w:t xml:space="preserve"> · phases, tasks and provision tracking, on Coreproma's existing Jobs Tracker rather than newly built </w:t>
      </w:r>
    </w:p>
    <w:p>
      <w:pPr>
        <w:pStyle w:val="Heading3"/>
        <w:bidi w:val="0"/>
        <w:jc w:val="left"/>
        <w:rPr/>
      </w:pPr>
      <w:r>
        <w:rPr/>
        <w:t>Phase 2 · Q1 2027</w:t>
      </w:r>
    </w:p>
    <w:p>
      <w:pPr>
        <w:pStyle w:val="BodyText"/>
        <w:bidi w:val="0"/>
        <w:jc w:val="left"/>
        <w:rPr/>
      </w:pPr>
      <w:r>
        <w:rPr/>
        <w:t>Procurement and intelligence, once the core is live and real tenders have run through it.</w:t>
      </w:r>
    </w:p>
    <w:p>
      <w:pPr>
        <w:pStyle w:val="BodyText"/>
        <w:numPr>
          <w:ilvl w:val="0"/>
          <w:numId w:val="2"/>
        </w:numPr>
        <w:tabs>
          <w:tab w:val="clear" w:pos="1134"/>
          <w:tab w:val="left" w:pos="709" w:leader="none"/>
        </w:tabs>
        <w:bidi w:val="0"/>
        <w:spacing w:before="0" w:after="0"/>
        <w:ind w:hanging="283" w:left="709"/>
        <w:jc w:val="left"/>
        <w:rPr/>
      </w:pPr>
      <w:r>
        <w:rPr>
          <w:b/>
        </w:rPr>
        <w:t>Supplier &amp; third-party management</w:t>
      </w:r>
      <w:r>
        <w:rPr/>
        <w:t xml:space="preserve"> · offers against the bill of materials scored on price, lead time and ESG, plus supplier onboarding, pre-qualification and compliance documents </w:t>
      </w:r>
    </w:p>
    <w:p>
      <w:pPr>
        <w:pStyle w:val="BodyText"/>
        <w:numPr>
          <w:ilvl w:val="0"/>
          <w:numId w:val="2"/>
        </w:numPr>
        <w:tabs>
          <w:tab w:val="clear" w:pos="1134"/>
          <w:tab w:val="left" w:pos="709" w:leader="none"/>
        </w:tabs>
        <w:bidi w:val="0"/>
        <w:spacing w:before="0" w:after="0"/>
        <w:ind w:hanging="283" w:left="709"/>
        <w:jc w:val="left"/>
        <w:rPr/>
      </w:pPr>
      <w:r>
        <w:rPr>
          <w:b/>
        </w:rPr>
        <w:t>Full management &amp; investor reporting</w:t>
      </w:r>
      <w:r>
        <w:rPr/>
        <w:t xml:space="preserve"> · live risk and cost exposure, scheduled weekly and monthly reports </w:t>
      </w:r>
    </w:p>
    <w:p>
      <w:pPr>
        <w:pStyle w:val="BodyText"/>
        <w:numPr>
          <w:ilvl w:val="0"/>
          <w:numId w:val="2"/>
        </w:numPr>
        <w:tabs>
          <w:tab w:val="clear" w:pos="1134"/>
          <w:tab w:val="left" w:pos="709" w:leader="none"/>
        </w:tabs>
        <w:bidi w:val="0"/>
        <w:ind w:hanging="283" w:left="709"/>
        <w:jc w:val="left"/>
        <w:rPr/>
      </w:pPr>
      <w:r>
        <w:rPr>
          <w:b/>
        </w:rPr>
        <w:t>Rate intelligence</w:t>
      </w:r>
      <w:r>
        <w:rPr/>
        <w:t xml:space="preserve"> · supplier quotes and commodity indices keeping the rate library current </w:t>
      </w:r>
    </w:p>
    <w:p>
      <w:pPr>
        <w:pStyle w:val="BodyText"/>
        <w:bidi w:val="0"/>
        <w:jc w:val="left"/>
        <w:rPr/>
      </w:pPr>
      <w:r>
        <w:rPr/>
        <w:t xml:space="preserve">02 </w:t>
      </w:r>
    </w:p>
    <w:p>
      <w:pPr>
        <w:pStyle w:val="Heading2"/>
        <w:bidi w:val="0"/>
        <w:jc w:val="left"/>
        <w:rPr/>
      </w:pPr>
      <w:r>
        <w:rPr/>
        <w:t>Possible additional modules</w:t>
      </w:r>
    </w:p>
    <w:p>
      <w:pPr>
        <w:pStyle w:val="BodyText"/>
        <w:bidi w:val="0"/>
        <w:spacing w:before="0" w:after="0"/>
        <w:jc w:val="left"/>
        <w:rPr/>
      </w:pPr>
      <w:r>
        <w:rPr/>
        <w:t xml:space="preserve">Indicative · not priced </w:t>
      </w:r>
    </w:p>
    <w:p>
      <w:pPr>
        <w:pStyle w:val="BodyText"/>
        <w:bidi w:val="0"/>
        <w:spacing w:before="0" w:after="0"/>
        <w:jc w:val="left"/>
        <w:rPr/>
      </w:pPr>
      <w:r>
        <w:rPr>
          <w:b/>
        </w:rPr>
        <w:t>Investor portal</w:t>
      </w:r>
      <w:r>
        <w:rPr/>
        <w:t>Permissioned access for third-party investors on a project, including the French project, to the documents behind an investment decision and the reports produced as work proceeds. Mostly a controlled external view of what the platform already produces, plus a document register with an access log.</w:t>
      </w:r>
    </w:p>
    <w:p>
      <w:pPr>
        <w:pStyle w:val="BodyText"/>
        <w:bidi w:val="0"/>
        <w:spacing w:before="0" w:after="0"/>
        <w:jc w:val="left"/>
        <w:rPr/>
      </w:pPr>
      <w:r>
        <w:rPr>
          <w:b/>
        </w:rPr>
        <w:t>Site capture</w:t>
      </w:r>
      <w:r>
        <w:rPr/>
        <w:t>Drone mission planning on Coreproma's WaypointsCreator, with imagery and terrain landing on the project record and feeding the wizard. Planning software only: flight operations, CAA authorisation and insurance stay with whoever flies.</w:t>
      </w:r>
    </w:p>
    <w:p>
      <w:pPr>
        <w:pStyle w:val="BodyText"/>
        <w:bidi w:val="0"/>
        <w:jc w:val="left"/>
        <w:rPr/>
      </w:pPr>
      <w:r>
        <w:rPr/>
        <w:t xml:space="preserve">03 </w:t>
      </w:r>
    </w:p>
    <w:p>
      <w:pPr>
        <w:pStyle w:val="Heading2"/>
        <w:bidi w:val="0"/>
        <w:jc w:val="left"/>
        <w:rPr/>
      </w:pPr>
      <w:r>
        <w:rPr/>
        <w:t>Shared ownership, capped development</w:t>
      </w:r>
    </w:p>
    <w:p>
      <w:pPr>
        <w:pStyle w:val="BodyText"/>
        <w:bidi w:val="0"/>
        <w:spacing w:before="0" w:after="0"/>
        <w:jc w:val="left"/>
        <w:rPr/>
      </w:pPr>
      <w:r>
        <w:rPr/>
        <w:t xml:space="preserve">The proposed structure </w:t>
      </w:r>
    </w:p>
    <w:p>
      <w:pPr>
        <w:pStyle w:val="BodyText"/>
        <w:bidi w:val="0"/>
        <w:spacing w:before="0" w:after="0"/>
        <w:jc w:val="left"/>
        <w:rPr/>
      </w:pPr>
      <w:r>
        <w:rPr/>
        <w:t>£250,000</w:t>
      </w:r>
    </w:p>
    <w:p>
      <w:pPr>
        <w:pStyle w:val="BodyText"/>
        <w:bidi w:val="0"/>
        <w:jc w:val="left"/>
        <w:rPr/>
      </w:pPr>
      <w:r>
        <w:rPr/>
        <w:t>Hard cap on Phase 1 development, including six months of Azure hosting from go-live</w:t>
      </w:r>
    </w:p>
    <w:p>
      <w:pPr>
        <w:pStyle w:val="BodyText"/>
        <w:numPr>
          <w:ilvl w:val="0"/>
          <w:numId w:val="3"/>
        </w:numPr>
        <w:tabs>
          <w:tab w:val="clear" w:pos="1134"/>
          <w:tab w:val="left" w:pos="709" w:leader="none"/>
        </w:tabs>
        <w:bidi w:val="0"/>
        <w:spacing w:before="0" w:after="0"/>
        <w:ind w:hanging="283" w:left="709"/>
        <w:jc w:val="left"/>
        <w:rPr/>
      </w:pPr>
      <w:r>
        <w:rPr/>
        <w:t xml:space="preserve">Conditional on a </w:t>
      </w:r>
      <w:r>
        <w:rPr>
          <w:b/>
        </w:rPr>
        <w:t>new jointly-held structure owning the platform IP</w:t>
      </w:r>
      <w:r>
        <w:rPr/>
        <w:t xml:space="preserve">. Comparable builds of this scope are normally </w:t>
      </w:r>
      <w:r>
        <w:rPr>
          <w:b/>
        </w:rPr>
        <w:t>open-ended</w:t>
      </w:r>
      <w:r>
        <w:rPr/>
        <w:t xml:space="preserve">, with no ceiling on the final cost; this one has a ceiling, and Coreproma carries everything above it </w:t>
      </w:r>
    </w:p>
    <w:p>
      <w:pPr>
        <w:pStyle w:val="BodyText"/>
        <w:numPr>
          <w:ilvl w:val="0"/>
          <w:numId w:val="3"/>
        </w:numPr>
        <w:tabs>
          <w:tab w:val="clear" w:pos="1134"/>
          <w:tab w:val="left" w:pos="709" w:leader="none"/>
        </w:tabs>
        <w:bidi w:val="0"/>
        <w:spacing w:before="0" w:after="0"/>
        <w:ind w:hanging="283" w:left="709"/>
        <w:jc w:val="left"/>
        <w:rPr/>
      </w:pPr>
      <w:r>
        <w:rPr/>
        <w:t xml:space="preserve">Ethical Power gains cost certainty and a share of the platform, instead of exclusive ownership of the code </w:t>
      </w:r>
    </w:p>
    <w:p>
      <w:pPr>
        <w:pStyle w:val="BodyText"/>
        <w:numPr>
          <w:ilvl w:val="0"/>
          <w:numId w:val="3"/>
        </w:numPr>
        <w:tabs>
          <w:tab w:val="clear" w:pos="1134"/>
          <w:tab w:val="left" w:pos="709" w:leader="none"/>
        </w:tabs>
        <w:bidi w:val="0"/>
        <w:spacing w:before="0" w:after="0"/>
        <w:ind w:hanging="283" w:left="709"/>
        <w:jc w:val="left"/>
        <w:rPr/>
      </w:pPr>
      <w:r>
        <w:rPr/>
        <w:t xml:space="preserve">Jobs Tracker seats are a separate monthly subscription, </w:t>
      </w:r>
      <w:r>
        <w:rPr>
          <w:b/>
        </w:rPr>
        <w:t>outside the cap</w:t>
      </w:r>
      <w:r>
        <w:rPr/>
        <w:t xml:space="preserve">; Azure is billed at cost after the first six months </w:t>
      </w:r>
    </w:p>
    <w:p>
      <w:pPr>
        <w:pStyle w:val="BodyText"/>
        <w:numPr>
          <w:ilvl w:val="0"/>
          <w:numId w:val="3"/>
        </w:numPr>
        <w:tabs>
          <w:tab w:val="clear" w:pos="1134"/>
          <w:tab w:val="left" w:pos="709" w:leader="none"/>
        </w:tabs>
        <w:bidi w:val="0"/>
        <w:ind w:hanging="283" w:left="709"/>
        <w:jc w:val="left"/>
        <w:rPr/>
      </w:pPr>
      <w:r>
        <w:rPr/>
        <w:t xml:space="preserve">The same capped approach is offered for the EcoGrid Resort software, scope to be defined separately </w:t>
      </w:r>
    </w:p>
    <w:p>
      <w:pPr>
        <w:pStyle w:val="BodyText"/>
        <w:bidi w:val="0"/>
        <w:spacing w:before="0" w:after="0"/>
        <w:jc w:val="left"/>
        <w:rPr/>
      </w:pPr>
      <w:r>
        <w:rPr>
          <w:b/>
        </w:rPr>
        <w:t>£60,000</w:t>
      </w:r>
      <w:r>
        <w:rPr/>
        <w:t>Induction fee on signature</w:t>
      </w:r>
    </w:p>
    <w:p>
      <w:pPr>
        <w:pStyle w:val="BodyText"/>
        <w:bidi w:val="0"/>
        <w:spacing w:before="0" w:after="0"/>
        <w:jc w:val="left"/>
        <w:rPr/>
      </w:pPr>
      <w:r>
        <w:rPr>
          <w:b/>
        </w:rPr>
        <w:t>£133,000</w:t>
      </w:r>
      <w:r>
        <w:rPr/>
        <w:t>On delivery of the first module, mid-December</w:t>
      </w:r>
    </w:p>
    <w:p>
      <w:pPr>
        <w:pStyle w:val="BodyText"/>
        <w:bidi w:val="0"/>
        <w:spacing w:before="0" w:after="0"/>
        <w:jc w:val="left"/>
        <w:rPr/>
      </w:pPr>
      <w:r>
        <w:rPr>
          <w:b/>
        </w:rPr>
        <w:t>£57,000</w:t>
      </w:r>
      <w:r>
        <w:rPr/>
        <w:t>Q1 2027, with supplier and rate intelligence</w:t>
      </w:r>
    </w:p>
    <w:p>
      <w:pPr>
        <w:pStyle w:val="BodyText"/>
        <w:bidi w:val="0"/>
        <w:spacing w:before="227" w:after="283"/>
        <w:ind w:hanging="0" w:left="0" w:right="0"/>
        <w:jc w:val="left"/>
        <w:rPr/>
      </w:pPr>
      <w:r>
        <w:rPr/>
        <w:t>⚑</w:t>
      </w:r>
      <w:r>
        <w:rPr/>
        <w:t>The cap holds against the scope described above, with changes beyond it handled by change control. The terms of the new structure, shareholdings, governance, commercialisation rights and exit, are to be negotiated in parallel with the build contract.</w:t>
      </w:r>
    </w:p>
    <w:p>
      <w:pPr>
        <w:pStyle w:val="BodyText"/>
        <w:bidi w:val="0"/>
        <w:spacing w:before="0" w:after="0"/>
        <w:jc w:val="left"/>
        <w:rPr/>
      </w:pPr>
      <w:r>
        <w:rPr/>
        <w:t>COREPROMA · Solar Farm Project Platform · Commercial in confidence · 9 August 2026</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Hanken Grotesk">
    <w:altName w:val="sans-serif"/>
    <w:charset w:val="00"/>
    <w:family w:val="auto"/>
    <w:pitch w:val="default"/>
  </w:font>
  <w:font w:name="Noto Sans">
    <w:charset w:val="00"/>
    <w:family w:val="auto"/>
    <w:pitch w:val="variable"/>
  </w:font>
  <w:font w:name="OpenSymbol">
    <w:altName w:val="Arial Unicode MS"/>
    <w:charset w:val="02"/>
    <w:family w:val="auto"/>
    <w:pitch w:val="default"/>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pPr>
    <w:rPr>
      <w:rFonts w:ascii="Hanken Grotesk;sans-serif" w:hAnsi="Hanken Grotesk;sans-serif" w:eastAsia="Hanken Grotesk;sans-serif" w:cs="Hanken Grotesk;sans-serif"/>
      <w:color w:val="auto"/>
      <w:sz w:val="24"/>
      <w:szCs w:val="24"/>
      <w:lang w:val="en-US" w:eastAsia="zh-CN" w:bidi="hi-IN"/>
    </w:rPr>
  </w:style>
  <w:style w:type="paragraph" w:styleId="Heading1">
    <w:name w:val="Heading 1"/>
    <w:basedOn w:val="Heading"/>
    <w:next w:val="BodyText"/>
    <w:qFormat/>
    <w:pPr/>
    <w:rPr>
      <w:rFonts w:ascii="Noto Sans" w:hAnsi="Noto Sans"/>
      <w:b/>
      <w:bCs/>
      <w:sz w:val="48"/>
      <w:szCs w:val="44"/>
    </w:rPr>
  </w:style>
  <w:style w:type="paragraph" w:styleId="Heading2">
    <w:name w:val="Heading 2"/>
    <w:basedOn w:val="Heading"/>
    <w:next w:val="BodyText"/>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FreeSans"/>
      <w:b/>
      <w:bCs/>
      <w:sz w:val="28"/>
      <w:szCs w:val="28"/>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COREPROMA · Board Note · Ethical Estimation Engine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viewport">
    <vt:lpwstr>width=device-width, initial-scale=1.0</vt:lpwstr>
  </property>
</Properties>
</file>