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B2A4A"/>
          <w:sz w:val="72"/>
          <w:szCs w:val="72"/>
        </w:rPr>
        <w:t xml:space="preserve">ECO</w:t>
      </w:r>
      <w:r>
        <w:rPr>
          <w:rFonts w:ascii="Arial" w:cs="Arial" w:eastAsia="Arial" w:hAnsi="Arial"/>
          <w:b/>
          <w:bCs/>
          <w:color w:val="2E8B45"/>
          <w:sz w:val="72"/>
          <w:szCs w:val="72"/>
        </w:rPr>
        <w:t xml:space="preserve">GRID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B2A4A"/>
          <w:spacing w:val="40"/>
          <w:sz w:val="32"/>
          <w:szCs w:val="32"/>
        </w:rPr>
        <w:t xml:space="preserve">RESORT™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B5B"/>
          <w:sz w:val="56"/>
          <w:szCs w:val="56"/>
        </w:rPr>
        <w:t xml:space="preserve">BUSINESS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B6E82"/>
          <w:sz w:val="24"/>
          <w:szCs w:val="24"/>
        </w:rPr>
        <w:t xml:space="preserve">The Smart Grid designed for campsites and holiday resorts</w:t>
      </w:r>
    </w:p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1C2B36"/>
          <w:sz w:val="26"/>
          <w:szCs w:val="26"/>
        </w:rPr>
        <w:t xml:space="preserve">Performance ENR</w:t>
      </w:r>
    </w:p>
    <w:p>
      <w:pPr>
        <w:spacing w:after="60"/>
        <w:jc w:val="center"/>
      </w:pPr>
      <w:r>
        <w:rPr>
          <w:rFonts w:ascii="Arial" w:cs="Arial" w:eastAsia="Arial" w:hAnsi="Arial"/>
          <w:color w:val="5B6B75"/>
          <w:sz w:val="22"/>
          <w:szCs w:val="22"/>
        </w:rPr>
        <w:t xml:space="preserve">July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B45"/>
          <w:spacing w:val="3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ECOGRID RESORT™ is a technology platform developed by Performance ENR to support the energy transition of campsites, holiday villages and resorts. The goal is to transform every establishment into an intelligent energy micro-grid capable of producing, storing, controlling and optimizing its energy.</w:t>
      </w:r>
    </w:p>
    <w:p>
      <w:pPr>
        <w:spacing w:after="160"/>
      </w:pPr>
      <w:r>
        <w:t xml:space="preserve">The solution combines engineering, integration, works, the proprietary ECOGRID OS™ software, supervision, maintenance and continuous optimization. It addresses the current fragmentation of energy equipment: solar PV, batteries, EV charging stations, building management systems (BMS), pools, pumps, air conditioning and meters still too often operate in silos.</w:t>
      </w:r>
    </w:p>
    <w:p>
      <w:pPr>
        <w:pStyle w:val="Heading2"/>
      </w:pPr>
      <w:r>
        <w:t xml:space="preserve">Three revenue engines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 1 – Integration &amp; Smart Grid Works: €300k excl. VAT per site, 35% target gross margin, activity concentrated in Q1 and Q4.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 2 – ECOGRID OS™: annual license of €3,000 excl. VAT per site, high-margin recurring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 3 – Operations &amp; Maintenance: annual contract of €1,000 excl. VAT per site, supervision, after-sales service and continuous optimization.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2160"/>
        <w:gridCol w:w="2160"/>
        <w:gridCol w:w="2160"/>
      </w:tblGrid>
      <w:tr>
        <w:trPr>
          <w:tblHeader/>
        </w:trP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sites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sites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€4.56M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€1.62M</w:t>
            </w:r>
          </w:p>
        </w:tc>
      </w:tr>
      <w:t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40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€12.22M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€4.35M</w:t>
            </w:r>
          </w:p>
        </w:tc>
      </w:tr>
      <w:t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80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€24.54M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€8.78M</w:t>
            </w:r>
          </w:p>
        </w:tc>
      </w:tr>
      <w:t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150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285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€46.14M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€16.55M</w:t>
            </w:r>
          </w:p>
        </w:tc>
      </w:tr>
      <w:tr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19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250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535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€77.14M</w:t>
            </w:r>
          </w:p>
        </w:tc>
        <w:tc>
          <w:tcPr>
            <w:tcW w:type="dxa" w:w="21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€27.75M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ambition is to make Performance ENR not merely a Smart Grid integrator, but a European Energy Tech player specialized in outdoor hospitality.</w:t>
      </w:r>
    </w:p>
    <w:p>
      <w:r>
        <w:br w:type="page"/>
      </w:r>
    </w:p>
    <w:p>
      <w:pPr>
        <w:pStyle w:val="Heading1"/>
      </w:pPr>
      <w:r>
        <w:t xml:space="preserve">The Problem</w:t>
      </w:r>
    </w:p>
    <w:p>
      <w:pPr>
        <w:spacing w:after="160"/>
      </w:pPr>
      <w:r>
        <w:t xml:space="preserve">Campsites are moving upmarket: air-conditioned mobile homes, swimming pools, restaurants, spas, EV charging stations, connected equipment and digital services are sharply increasing consumption. Energy is becoming a factor of competitiveness rather than a simple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Electricity bills rising sharply.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of EV charging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Heavy consumption from pools, restaurants and accommodation.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Increasing environmental and regulatory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multiplication of energy equipment that's hard to orchestrate – PV inverters, batteries, EV chargers, BMS, pool/heating supervision, smart meters – all working in silos.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 is controlled separately through manufacturer portals; data is scattered; self-consumption remains limited; maintenance remains mostly reactive.</w:t>
      </w:r>
    </w:p>
    <w:p>
      <w:pPr>
        <w:spacing w:after="160"/>
      </w:pPr>
      <w:r>
        <w:t xml:space="preserve">This fragmentation creates an opportunity: moving from an equipment-based logic to an energy operating system logic.</w:t>
      </w:r>
    </w:p>
    <w:p>
      <w:r>
        <w:br w:type="page"/>
      </w:r>
    </w:p>
    <w:p>
      <w:pPr>
        <w:pStyle w:val="Heading1"/>
      </w:pPr>
      <w:r>
        <w:t xml:space="preserve">The Solution &amp; ECOGRID OS™</w:t>
      </w:r>
    </w:p>
    <w:p>
      <w:pPr>
        <w:spacing w:after="160"/>
      </w:pPr>
      <w:r>
        <w:t xml:space="preserve">ECOGRID RESORT™ is a turnkey solution that turns an establishment into an intelligent energy micro-grid. Five equipment blocks feed into ECOGRID OS™: solar panels, battery storage, EV charging stations, networks &amp; facility equipment, and smart meters.</w:t>
      </w:r>
    </w:p>
    <w:p>
      <w:pPr>
        <w:pStyle w:val="Heading2"/>
      </w:pPr>
      <w:r>
        <w:t xml:space="preserve">Four pillars of the 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– rooftop and carport solar PV, local installations and self-consumption.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– batteries controlled according to production, consumption, weather and priorities.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 intelligently – pools, pumps, HVAC, hot water, lighting, EV charging.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Optimize – algorithms, alerts, predictive maintenance, ESG reporting and energy arbitrage.</w:t>
      </w:r>
    </w:p>
    <w:p>
      <w:pPr>
        <w:pStyle w:val="Heading2"/>
      </w:pPr>
      <w:r>
        <w:t xml:space="preserve">ECOGRID OS™ – the energy operating system</w:t>
      </w:r>
    </w:p>
    <w:p>
      <w:pPr>
        <w:spacing w:after="160"/>
      </w:pPr>
      <w:r>
        <w:t xml:space="preserve">ECOGRID OS™ is Performance ENR's proprietary supervision and optimization platform (web + mobile). It supervises, controls and optimizes all of a site's energy infrastructure from a single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supervision: production, consumption, batteries, charging stations, alarms.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control of batteries, chargers, pumps, HVAC, hot water and lighting.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Self-consumption optimization: storage, arbitrage, usage priorities.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Predictive maintenance: detecting drift before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and ESG reporting; multi-site management for campsite groups.</w:t>
      </w:r>
    </w:p>
    <w:p>
      <w:pPr>
        <w:spacing w:after="160"/>
      </w:pPr>
      <w:r>
        <w:t xml:space="preserve">The open architecture targets integration with leading manufacturers: Huawei, SMA, Sungrow, GoodWe, Fronius, SolarEdge, Schneider, ABB, Socomec, Siemens and other compatible manufacturers.</w:t>
      </w:r>
    </w:p>
    <w:p>
      <w:r>
        <w:br w:type="page"/>
      </w:r>
    </w:p>
    <w:p>
      <w:pPr>
        <w:pStyle w:val="Heading1"/>
      </w:pPr>
      <w:r>
        <w:t xml:space="preserve">Market Opportunity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Approximate number of campsites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France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8,100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Italy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2,300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Spain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1,200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Europe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22,800 to 23,200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France is the leading European market, followed by Italy and Spain. High-end, multi-service, energy-intensive establishments form the core target of ECOGRID RESORT™.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European market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23,000 sites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 target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535 sites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 penetration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2.3% of the European market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Rising energy costs.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of solar PV and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Massive arrival of EV charging stations.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Digitalization of buildings and equipment.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Absence of a vertical leader dedicated to outdoor hospitality.</w:t>
      </w:r>
    </w:p>
    <w:p>
      <w:r>
        <w:br w:type="page"/>
      </w:r>
    </w:p>
    <w:p>
      <w:pPr>
        <w:pStyle w:val="Heading1"/>
      </w:pPr>
      <w:r>
        <w:t xml:space="preserve">Business Model – Three Revenue Engines</w:t>
      </w:r>
    </w:p>
    <w:p>
      <w:pPr>
        <w:spacing w:after="160"/>
      </w:pPr>
      <w:r>
        <w:t xml:space="preserve">The model rests on three complementary engines that do not share the same seasonality, the same margin, nor the same valuation logic.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2688"/>
        <w:gridCol w:w="4256"/>
      </w:tblGrid>
      <w:tr>
        <w:trPr>
          <w:tblHeader/>
        </w:trPr>
        <w:tc>
          <w:tcPr>
            <w:tcW w:type="dxa" w:w="31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268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425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Margin / strategic role</w:t>
            </w:r>
          </w:p>
        </w:tc>
      </w:tr>
      <w:tr>
        <w:tc>
          <w:tcPr>
            <w:tcW w:type="dxa" w:w="31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Integration &amp; Smart Grid Works</w:t>
            </w:r>
          </w:p>
        </w:tc>
        <w:tc>
          <w:tcPr>
            <w:tcW w:type="dxa" w:w="268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€300,000 excl. VAT / site</w:t>
            </w:r>
          </w:p>
        </w:tc>
        <w:tc>
          <w:tcPr>
            <w:tcW w:type="dxa" w:w="425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35% gross margin; finances growth</w:t>
            </w:r>
          </w:p>
        </w:tc>
      </w:tr>
      <w:tr>
        <w:tc>
          <w:tcPr>
            <w:tcW w:type="dxa" w:w="31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ECOGRID OS™</w:t>
            </w:r>
          </w:p>
        </w:tc>
        <w:tc>
          <w:tcPr>
            <w:tcW w:type="dxa" w:w="268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€3,000 excl. VAT / site / year</w:t>
            </w:r>
          </w:p>
        </w:tc>
        <w:tc>
          <w:tcPr>
            <w:tcW w:type="dxa" w:w="425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SaaS, recurring, high margin</w:t>
            </w:r>
          </w:p>
        </w:tc>
      </w:tr>
      <w:tr>
        <w:tc>
          <w:tcPr>
            <w:tcW w:type="dxa" w:w="31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Operations &amp; Maintenance</w:t>
            </w:r>
          </w:p>
        </w:tc>
        <w:tc>
          <w:tcPr>
            <w:tcW w:type="dxa" w:w="268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€1,000 excl. VAT / site / year</w:t>
            </w:r>
          </w:p>
        </w:tc>
        <w:tc>
          <w:tcPr>
            <w:tcW w:type="dxa" w:w="425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Recurring revenue, loyalty, after-sales service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Seasonality by activity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Works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Software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Combined recurring revenue (software + maintenance) totals €4,000 per site per year.</w:t>
      </w:r>
    </w:p>
    <w:p>
      <w:r>
        <w:br w:type="page"/>
      </w:r>
    </w:p>
    <w:p>
      <w:pPr>
        <w:pStyle w:val="Heading1"/>
      </w:pPr>
      <w:r>
        <w:t xml:space="preserve">Turnkey Offer – Seven Steps</w:t>
      </w:r>
    </w:p>
    <w:p>
      <w:pPr>
        <w:spacing w:after="160"/>
      </w:pPr>
      <w:r>
        <w:t xml:space="preserve">Performance ENR replaces the coordination of multiple parties with a single point of contact responsible for the design, execution and follow-up of the project: “A single point of contact, from study to operation.”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Energy audit – site &amp; needs analysis.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Technical studies – sizing &amp; design.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Works execution – installation by specialized teams.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Commissioning – testing &amp; training.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ECOGRID OS™ supervision – 24/7 real-time control.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Preventive maintenance – regular servicing.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Continuous optimization – ongoing performance gains.</w:t>
      </w:r>
    </w:p>
    <w:p>
      <w:r>
        <w:br w:type="page"/>
      </w:r>
    </w:p>
    <w:p>
      <w:pPr>
        <w:pStyle w:val="Heading1"/>
      </w:pPr>
      <w:r>
        <w:t xml:space="preserve">Case Study – Camping Riva Bella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Number of pitches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199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Annual energy spend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€80,000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Smart Grid budget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€250,000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Role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Official technical &amp; commercial demonstrator (2027)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Riva Bella serves as the official demonstrator. It will validate the Smart Grid's operation under real conditions, test ECOGRID OS™, produce measurable indicators and provide a commercial showcase.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energy expenses.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Maximize self-consumption.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technical equipment.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commercial 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methods for future deployments.</w:t>
      </w:r>
    </w:p>
    <w:p>
      <w:pPr>
        <w:spacing w:after="120"/>
      </w:pPr>
    </w:p>
    <w:p>
      <w:pPr>
        <w:pStyle w:val="Heading2"/>
      </w:pPr>
      <w:r>
        <w:t xml:space="preserve">Illustrative example (marketing collateral) – a 350-pitch campsite</w:t>
      </w:r>
    </w:p>
    <w:p>
      <w:pPr>
        <w:spacing w:after="160"/>
      </w:pPr>
      <w:r>
        <w:t xml:space="preserve">Note: this example is separate from, and should not be confused with, the consolidated Business Plan financials (which use a €300k average contract value per project). It illustrates the type of outcome achievable on a large site.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Energy bill before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€420,000 / year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Energy bill after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€310,000 / year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Annual gain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€110,000 (–26%)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Payback (ROI)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 to 5 years</w:t>
            </w:r>
          </w:p>
        </w:tc>
      </w:tr>
    </w:tbl>
    <w:p>
      <w:pPr>
        <w:spacing w:after="160"/>
      </w:pPr>
      <w:r>
        <w:rPr>
          <w:i/>
          <w:iCs/>
          <w:color w:val="5B6B75"/>
          <w:sz w:val="18"/>
          <w:szCs w:val="18"/>
        </w:rPr>
        <w:t xml:space="preserve">Indicative example based on average data; each site is unique. Additional benefits include increased asset value of the site and improved guest comfort and satisfaction.</w:t>
      </w:r>
    </w:p>
    <w:p>
      <w:r>
        <w:br w:type="page"/>
      </w:r>
    </w:p>
    <w:p>
      <w:pPr>
        <w:pStyle w:val="Heading1"/>
      </w:pPr>
      <w:r>
        <w:t xml:space="preserve">5-Year Financial Plan</w:t>
      </w:r>
    </w:p>
    <w:p>
      <w:pPr>
        <w:pStyle w:val="Heading2"/>
      </w:pPr>
      <w:r>
        <w:t xml:space="preserve">Growth plan – sites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sites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sites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80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285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535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Revenue build-up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2213"/>
        <w:gridCol w:w="1967"/>
        <w:gridCol w:w="1967"/>
        <w:gridCol w:w="2213"/>
      </w:tblGrid>
      <w:tr>
        <w:trPr>
          <w:tblHeader/>
        </w:trP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Works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</w:tr>
      <w:t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€4.50M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€45k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€15k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€4.56M</w:t>
            </w:r>
          </w:p>
        </w:tc>
      </w:tr>
      <w:t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€12.00M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€165k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€55k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€12.22M</w:t>
            </w:r>
          </w:p>
        </w:tc>
      </w:tr>
      <w:t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€24.00M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€405k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€135k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€24.54M</w:t>
            </w:r>
          </w:p>
        </w:tc>
      </w:tr>
      <w:t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€45.00M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€855k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€285k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€46.14M</w:t>
            </w:r>
          </w:p>
        </w:tc>
      </w:tr>
      <w:tr>
        <w:tc>
          <w:tcPr>
            <w:tcW w:type="dxa" w:w="172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€75.00M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€1,605k</w:t>
            </w:r>
          </w:p>
        </w:tc>
        <w:tc>
          <w:tcPr>
            <w:tcW w:type="dxa" w:w="1967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€535k</w:t>
            </w:r>
          </w:p>
        </w:tc>
        <w:tc>
          <w:tcPr>
            <w:tcW w:type="dxa" w:w="221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€77.14M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Gross margin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€4.56M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€1.62M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€12.22M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€4.35M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€24.54M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€8.78M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€46.14M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€16.55M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€77.14M</w:t>
            </w:r>
          </w:p>
        </w:tc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€27.75M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Recurring revenue – software + maintenance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Recurring revenue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€0.06M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€0.22M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€0.54M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€1.14M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€2.14M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Headcount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2031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Engineering / design office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11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17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Developers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0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Sales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Field service &amp; supervision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Administration / finance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Total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9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16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29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44</w:t>
            </w:r>
          </w:p>
        </w:tc>
        <w:tc>
          <w:tcPr>
            <w:tcW w:type="dxa" w:w="133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Structure costs / overhead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Structure costs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€1.10M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€1.50M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€2.40M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€3.80M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€5.80M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Seasonality &amp; Working Capital</w:t>
      </w:r>
    </w:p>
    <w:p>
      <w:pPr>
        <w:spacing w:after="160"/>
      </w:pPr>
      <w:r>
        <w:t xml:space="preserve">Works revenue seasonality: Q1 45% / Q2 5% / Q3 5% / Q4 45%. Software and maintenance revenue are spread evenly at 25% per quarter across all four quarters.</w:t>
      </w:r>
    </w:p>
    <w:p>
      <w:pPr>
        <w:spacing w:after="160"/>
      </w:pPr>
      <w:r>
        <w:t xml:space="preserve">Working capital (BFR) is driven by project rhythm – client deposits, supplier orders, equipment purchases and installation phases – and is higher in Q1/Q4. Performance ENR maintains a cash reserve equal to approximately 6 months of fixed costs. Invoicing schedule: 30% on order, 40% during works, 30% on delivery/acceptance.</w:t>
      </w:r>
    </w:p>
    <w:p>
      <w:pPr>
        <w:pStyle w:val="Heading2"/>
      </w:pPr>
      <w:r>
        <w:t xml:space="preserve">Quarterly detail – 2027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P&amp;L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1534"/>
        <w:gridCol w:w="1534"/>
        <w:gridCol w:w="1534"/>
        <w:gridCol w:w="1534"/>
        <w:gridCol w:w="1753"/>
      </w:tblGrid>
      <w:tr>
        <w:trPr>
          <w:tblHeader/>
        </w:trP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Works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2,025,000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225,000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225,000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2,025,000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4,500,000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Software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11,250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45,000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Maintenance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3,750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2,040,000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240,000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240,000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2,040,000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4,560,000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Cost of sales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1,316,250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146,250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146,250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1,316,250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2,925,000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723,750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93,750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93,750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723,750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1,635,000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sz w:val="19"/>
          <w:szCs w:val="19"/>
        </w:rPr>
        <w:t xml:space="preserve">Cashflow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Receipts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1,865,000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315,000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265,000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2,175,000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Payments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1,615,000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500,000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510,000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1,605,000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Net flow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+250,000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-185,000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-245,000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+570,000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sz w:val="19"/>
          <w:szCs w:val="19"/>
        </w:rPr>
        <w:t xml:space="preserve">Working capital / BFR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Receivables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320,000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280,000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650,000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Inventory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160,000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170,000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380,000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Payables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-420,000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-140,000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-150,000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-450,000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BFR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480,000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340,000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300,000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580,000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Quarterly detail – 2028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P&amp;L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1534"/>
        <w:gridCol w:w="1534"/>
        <w:gridCol w:w="1534"/>
        <w:gridCol w:w="1534"/>
        <w:gridCol w:w="1753"/>
      </w:tblGrid>
      <w:tr>
        <w:trPr>
          <w:tblHeader/>
        </w:trP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Works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5,400,000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600,000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600,000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5,400,000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12,000,000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Software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41,250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41,250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165,000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Maintenance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13,750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13,750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55,000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5,455,000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655,000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655,000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5,455,000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12,220,000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Cost of sales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3,510,000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390,000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390,000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3,510,000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7,800,000</w:t>
            </w:r>
          </w:p>
        </w:tc>
      </w:tr>
      <w:tr>
        <w:tc>
          <w:tcPr>
            <w:tcW w:type="dxa" w:w="219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1,945,000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265,000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265,000</w:t>
            </w:r>
          </w:p>
        </w:tc>
        <w:tc>
          <w:tcPr>
            <w:tcW w:type="dxa" w:w="153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1,945,000</w:t>
            </w:r>
          </w:p>
        </w:tc>
        <w:tc>
          <w:tcPr>
            <w:tcW w:type="dxa" w:w="175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4,420,000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sz w:val="19"/>
          <w:szCs w:val="19"/>
        </w:rPr>
        <w:t xml:space="preserve">Cashflow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Receipts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5,055,000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705,000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605,000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5,875,000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Payments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3,950,000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965,000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985,000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3,990,000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Net flow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+1,105,000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-260,000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-380,000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+1,885,000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sz w:val="19"/>
          <w:szCs w:val="19"/>
        </w:rPr>
        <w:t xml:space="preserve">Working capital / BFR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Receivables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1,250,000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620,000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580,000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1,450,000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Inventory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720,000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260,000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280,000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760,000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Payables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-910,000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-240,000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-250,000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-960,000</w:t>
            </w:r>
          </w:p>
        </w:tc>
      </w:tr>
      <w:tr>
        <w:tc>
          <w:tcPr>
            <w:tcW w:type="dxa" w:w="274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BFR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1,060,000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640,000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610,000</w:t>
            </w:r>
          </w:p>
        </w:tc>
        <w:tc>
          <w:tcPr>
            <w:tcW w:type="dxa" w:w="1833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1,250,000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B6B75"/>
          <w:sz w:val="18"/>
          <w:szCs w:val="18"/>
        </w:rPr>
        <w:t xml:space="preserve">Assumptions used: 15 sites (2027), 40 new sites (2028), €300k/site works revenue, €3,000/year/site license, €1,000/year/site maintenance, 35% gross margin on works, seasonality of 45% Q1 / 5% Q2 / 5% Q3 / 45% Q4.</w:t>
      </w:r>
    </w:p>
    <w:p>
      <w:r>
        <w:br w:type="page"/>
      </w:r>
    </w:p>
    <w:p>
      <w:pPr>
        <w:pStyle w:val="Heading1"/>
      </w:pPr>
      <w:r>
        <w:t xml:space="preserve">Fundraising Strategy &amp; Use of Funds</w:t>
      </w:r>
    </w:p>
    <w:p>
      <w:pPr>
        <w:spacing w:after="160"/>
      </w:pPr>
      <w:r>
        <w:t xml:space="preserve">The fundraising is structured in three phases and aims to accelerate the creation of a European technology player, not to cover operating losses. It finances ECOGRID OS™, the teams, commercial development, demonstrators and seasonal working capital.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641"/>
        <w:gridCol w:w="1875"/>
        <w:gridCol w:w="3985"/>
      </w:tblGrid>
      <w:tr>
        <w:trPr>
          <w:tblHeader/>
        </w:trPr>
        <w:tc>
          <w:tcPr>
            <w:tcW w:type="dxa" w:w="257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4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187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98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Uses</w:t>
            </w:r>
          </w:p>
        </w:tc>
      </w:tr>
      <w:tr>
        <w:tc>
          <w:tcPr>
            <w:tcW w:type="dxa" w:w="257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Phase 1 – Seed</w:t>
            </w:r>
          </w:p>
        </w:tc>
        <w:tc>
          <w:tcPr>
            <w:tcW w:type="dxa" w:w="164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187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€2–3M</w:t>
            </w:r>
          </w:p>
        </w:tc>
        <w:tc>
          <w:tcPr>
            <w:tcW w:type="dxa" w:w="398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ECOGRID OS™ V1 development, founding team recruitment, Riva Bella demonstrator, first commercial development, working capital</w:t>
            </w:r>
          </w:p>
        </w:tc>
      </w:tr>
      <w:tr>
        <w:tc>
          <w:tcPr>
            <w:tcW w:type="dxa" w:w="257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Phase 2 – Acceleration</w:t>
            </w:r>
          </w:p>
        </w:tc>
        <w:tc>
          <w:tcPr>
            <w:tcW w:type="dxa" w:w="164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2028–2029</w:t>
            </w:r>
          </w:p>
        </w:tc>
        <w:tc>
          <w:tcPr>
            <w:tcW w:type="dxa" w:w="187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€5–8M (indicative)</w:t>
            </w:r>
          </w:p>
        </w:tc>
        <w:tc>
          <w:tcPr>
            <w:tcW w:type="dxa" w:w="398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Regional agency openings, engineering reinforcement, developer hires, V2/V3 development, European expansion prep</w:t>
            </w:r>
          </w:p>
        </w:tc>
      </w:tr>
      <w:tr>
        <w:tc>
          <w:tcPr>
            <w:tcW w:type="dxa" w:w="2579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Phase 3 – European expansion</w:t>
            </w:r>
          </w:p>
        </w:tc>
        <w:tc>
          <w:tcPr>
            <w:tcW w:type="dxa" w:w="1641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2030–2031</w:t>
            </w:r>
          </w:p>
        </w:tc>
        <w:tc>
          <w:tcPr>
            <w:tcW w:type="dxa" w:w="187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Options being studied</w:t>
            </w:r>
          </w:p>
        </w:tc>
        <w:tc>
          <w:tcPr>
            <w:tcW w:type="dxa" w:w="3985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Growth debt, infrastructure funds, private equity funds, industrial partnership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Use of funds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rPr>
          <w:tblHeader/>
        </w:trP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Estimated share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Software development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Recruitment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Commercial development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Working capital (BFR)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IT infrastructure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Communication &amp; marketing</w:t>
            </w:r>
          </w:p>
        </w:tc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5%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Phase 2 may be financed by a new raise, bank debt, or self-financing from project margins. The strategy limits dilution via progressive recurring revenue growth, bank financing and self-financing from gross margin.</w:t>
      </w:r>
    </w:p>
    <w:p>
      <w:r>
        <w:br w:type="page"/>
      </w:r>
    </w:p>
    <w:p>
      <w:pPr>
        <w:pStyle w:val="Heading1"/>
      </w:pPr>
      <w:r>
        <w:t xml:space="preserve">Risk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 measure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Commercial pace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Dedicated sales force, pipeline, multi-site contracts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Software development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External partner then in-house development, version-based roadmap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Manufacturer dependency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Open, multi-manufacturer architecture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Works in Q1/Q4, smoothed recurring revenue, cash reserve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Working capital (BFR)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Staged invoicing, monthly monitoring, supplier terms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Headcount growth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Progressive recruitment, standardized methods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MFA, encryption, backups, audits</w:t>
            </w:r>
          </w:p>
        </w:tc>
      </w:tr>
      <w:tr>
        <w:tc>
          <w:tcPr>
            <w:tcW w:type="dxa" w:w="403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Competition</w:t>
            </w:r>
          </w:p>
        </w:tc>
        <w:tc>
          <w:tcPr>
            <w:tcW w:type="dxa" w:w="6048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Campsite specialization, integrated offer, proprietary software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Risk governance relies on commercial, operational and financial KPIs monitored on a monthly basis.</w:t>
      </w:r>
    </w:p>
    <w:p>
      <w:r>
        <w:br w:type="page"/>
      </w:r>
    </w:p>
    <w:p>
      <w:pPr>
        <w:pStyle w:val="Heading1"/>
      </w:pPr>
      <w:r>
        <w:t xml:space="preserve">Strategic Roadmap 2027-2031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4704"/>
        <w:gridCol w:w="3024"/>
      </w:tblGrid>
      <w:tr>
        <w:trPr>
          <w:tblHeader/>
        </w:trP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Major milestone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Financial objective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Riva Bella validation and commercial launch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15 sites; revenue €4.56M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Industrialization of deployments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55 cumulative sites; revenue €12.22M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National structuring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135 sites; revenue €24.54M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Southern Europe deployment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285 sites; revenue €46.14M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470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European reference</w:t>
            </w:r>
          </w:p>
        </w:tc>
        <w:tc>
          <w:tcPr>
            <w:tcW w:type="dxa" w:w="3024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535 sites; revenue €77.14M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Product roadmap – ECOGRID OS™ 2027-2035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352"/>
        <w:gridCol w:w="5376"/>
      </w:tblGrid>
      <w:tr>
        <w:trPr>
          <w:tblHeader/>
        </w:trP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objective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2027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V1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Real-time supervision and commercial launch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2028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V2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Multi-site, APIs, connected maintenance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2029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V3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Energy automation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2030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V4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Artificial intelligence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2031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V5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European platform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2032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V6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Smart Energy Platform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2033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V7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Energy aggregation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2034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V8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Digital Twin</w:t>
            </w:r>
          </w:p>
        </w:tc>
      </w:tr>
      <w:tr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2035</w:t>
            </w:r>
          </w:p>
        </w:tc>
        <w:tc>
          <w:tcPr>
            <w:tcW w:type="dxa" w:w="2352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V9</w:t>
            </w:r>
          </w:p>
        </w:tc>
        <w:tc>
          <w:tcPr>
            <w:tcW w:type="dxa" w:w="5376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Energy Operating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2031 Indicators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Connected sites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535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Annual revenue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€77.14M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Recurring revenue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€2.14M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€27.75M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Headcount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European market share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≈ 2.3%</w:t>
            </w:r>
          </w:p>
        </w:tc>
      </w:tr>
      <w:tr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Presence</w:t>
            </w:r>
          </w:p>
        </w:tc>
        <w:tc>
          <w:tcPr>
            <w:tcW w:type="dxa" w:w="504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France, Italy, Spain (Southern Europe)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ESG Impact</w:t>
      </w:r>
    </w:p>
    <w:p>
      <w:pPr>
        <w:spacing w:after="160"/>
      </w:pPr>
      <w:r>
        <w:t xml:space="preserve">ECOGRID RESORT™ creates economic, environmental and societal value. The platform increases self-consumption, optimizes batteries, reduces peaks, integrates EV charging stations and produces ESG indicators.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ESG pillar</w:t>
            </w:r>
          </w:p>
        </w:tc>
        <w:tc>
          <w:tcPr>
            <w:tcW w:type="dxa" w:w="67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163B5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Indicators tracked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7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MWh of solar produced, self-consumption rate, CO2 avoided, EV chargers managed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Social</w:t>
            </w:r>
          </w:p>
        </w:tc>
        <w:tc>
          <w:tcPr>
            <w:tcW w:type="dxa" w:w="67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5F7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Jobs created, training, client satisfaction, safety</w:t>
            </w:r>
          </w:p>
        </w:tc>
      </w:tr>
      <w:tr>
        <w:tc>
          <w:tcPr>
            <w:tcW w:type="dxa" w:w="336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C2B36"/>
                <w:sz w:val="19"/>
                <w:szCs w:val="19"/>
              </w:rPr>
              <w:t xml:space="preserve">Governance</w:t>
            </w:r>
          </w:p>
        </w:tc>
        <w:tc>
          <w:tcPr>
            <w:tcW w:type="dxa" w:w="6720"/>
            <w:tcBorders>
              <w:top w:val="single" w:color="D7DEE2" w:sz="2"/>
              <w:left w:val="single" w:color="D7DEE2" w:sz="2"/>
              <w:bottom w:val="single" w:color="D7DEE2" w:sz="2"/>
              <w:right w:val="single" w:color="D7DEE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1C2B36"/>
                <w:sz w:val="19"/>
                <w:szCs w:val="19"/>
              </w:rPr>
              <w:t xml:space="preserve">Platform uptime, cybersecurity incidents, compliance, reporting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This approach contributes to United Nations Sustainable Development Goals 7, 9, 11, 12, 13 and 17.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t xml:space="preserve">Investing in Performance ENR means supporting the birth of a technology platform at the intersection of renewable energy, SaaS and energy services. The model combines project profitability, software recurrence and platform potential.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large European market that remains under-structured.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Vertical specialization in outdoor hospitality.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35% target gross margin on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 software and maintenance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roadmap toward AI, Digital Twin and energy aggregation.</w:t>
      </w:r>
    </w:p>
    <w:p>
      <w:pPr>
        <w:spacing w:after="160"/>
      </w:pPr>
      <w:r>
        <w:t xml:space="preserve">ECOGRID RESORT™ is not a simple industrial project: it is an energy transformation platform designed to sustainably support campsites, holiday villages and resorts in their transition toward smarter, more autonomous and higher-performing infrastructure.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5"/>
        <w:sz w:val="15"/>
        <w:szCs w:val="15"/>
      </w:rPr>
      <w:t xml:space="preserve">Page </w:t>
    </w:r>
    <w:r>
      <w:rPr>
        <w:color w:val="5B6B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5"/>
        <w:sz w:val="15"/>
        <w:szCs w:val="15"/>
      </w:rPr>
      <w:t xml:space="preserve">ECOGRID RESORT™  –  Business Plan  –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b/>
        <w:bCs/>
        <w:color w:val="2E8B4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2E8B4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45" w:sz="8" w:space="6"/>
      </w:pBdr>
      <w:spacing w:after="220" w:before="300"/>
      <w:outlineLvl w:val="0"/>
    </w:pPr>
    <w:rPr>
      <w:rFonts w:ascii="Arial" w:cs="Arial" w:eastAsia="Arial" w:hAnsi="Arial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B6E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2026-07-05T09:25:46.220Z</dcterms:created>
  <dcterms:modified xsi:type="dcterms:W3CDTF">2026-07-05T09:25:46.220Z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