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16305A"/>
          <w:sz w:val="52"/>
          <w:szCs w:val="52"/>
        </w:rPr>
        <w:t xml:space="preserve">COREPROMA</w:t>
      </w:r>
      <w:r>
        <w:rPr>
          <w:rFonts w:ascii="Calibri" w:cs="Calibri" w:eastAsia="Calibri" w:hAnsi="Calibri"/>
        </w:rPr>
        <w:t xml:space="preserve">  </w:t>
      </w:r>
      <w:r>
        <w:rPr>
          <w:rFonts w:ascii="Calibri" w:cs="Calibri" w:eastAsia="Calibri" w:hAnsi="Calibri"/>
          <w:b/>
          <w:bCs/>
          <w:color w:val="C9A227"/>
          <w:sz w:val="40"/>
          <w:szCs w:val="40"/>
        </w:rPr>
        <w:t xml:space="preserve">/</w:t>
      </w:r>
    </w:p>
    <w:p>
      <w:pPr>
        <w:pBdr>
          <w:bottom w:val="single" w:color="C9A227" w:sz="18" w:space="6"/>
        </w:pBdr>
        <w:spacing w:after="40"/>
      </w:pPr>
      <w:r>
        <w:rPr>
          <w:rFonts w:ascii="Calibri" w:cs="Calibri" w:eastAsia="Calibri" w:hAnsi="Calibri"/>
          <w:b/>
          <w:bCs/>
          <w:color w:val="5A6472"/>
          <w:spacing w:val="30"/>
          <w:sz w:val="20"/>
          <w:szCs w:val="20"/>
        </w:rPr>
        <w:t xml:space="preserve">SOLAR FARM PROJECT PLATFORM</w:t>
      </w:r>
    </w:p>
    <w:p>
      <w:pPr>
        <w:spacing w:after="400"/>
      </w:pPr>
    </w:p>
    <w:p>
      <w:pPr>
        <w:spacing w:after="60"/>
      </w:pPr>
      <w:r>
        <w:rPr>
          <w:rFonts w:ascii="Calibri" w:cs="Calibri" w:eastAsia="Calibri" w:hAnsi="Calibri"/>
          <w:b/>
          <w:bCs/>
          <w:color w:val="16305A"/>
          <w:sz w:val="44"/>
          <w:szCs w:val="44"/>
        </w:rPr>
        <w:t xml:space="preserve">Proposal &amp; Quotation</w:t>
      </w:r>
    </w:p>
    <w:p>
      <w:pPr>
        <w:spacing w:after="40"/>
      </w:pPr>
      <w:r>
        <w:rPr>
          <w:rFonts w:ascii="Calibri" w:cs="Calibri" w:eastAsia="Calibri" w:hAnsi="Calibri"/>
          <w:color w:val="1A1A1A"/>
          <w:sz w:val="26"/>
          <w:szCs w:val="26"/>
        </w:rPr>
        <w:t xml:space="preserve">Design, Build, Hosting &amp; Support of the </w:t>
      </w:r>
      <w:r>
        <w:rPr>
          <w:rFonts w:ascii="Calibri" w:cs="Calibri" w:eastAsia="Calibri" w:hAnsi="Calibri"/>
          <w:b/>
          <w:bCs/>
          <w:color w:val="8E1B2E"/>
          <w:sz w:val="26"/>
          <w:szCs w:val="26"/>
        </w:rPr>
        <w:t xml:space="preserve">Ethical Estimation Engine</w:t>
      </w:r>
    </w:p>
    <w:p>
      <w:pPr>
        <w:spacing w:after="300"/>
      </w:pPr>
      <w:r>
        <w:rPr>
          <w:rFonts w:ascii="Calibri" w:cs="Calibri" w:eastAsia="Calibri" w:hAnsi="Calibri"/>
          <w:i/>
          <w:iCs/>
          <w:color w:val="5A6472"/>
          <w:sz w:val="22"/>
          <w:szCs w:val="22"/>
        </w:rPr>
        <w:t xml:space="preserve">The COREPROMA Solar Farm Project Workflow (modules B1–B7)</w:t>
      </w:r>
    </w:p>
    <w:tbl>
      <w:tblPr>
        <w:tblW w:type="dxa" w:w="9600"/>
        <w:tblBorders>
          <w:top w:val="single" w:color="C9CED6" w:sz="2"/>
          <w:left w:val="none"/>
          <w:bottom w:val="single" w:color="C9CED6" w:sz="2"/>
          <w:right w:val="none"/>
          <w:insideH w:val="single" w:color="D8DCE3" w:sz="2"/>
          <w:insideV w:val="single" w:color="E4E8ED" w:sz="2"/>
        </w:tblBorders>
      </w:tblPr>
      <w:tblGrid>
        <w:gridCol w:w="2600"/>
        <w:gridCol w:w="7000"/>
      </w:tblGrid>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Prepared for</w:t>
            </w:r>
          </w:p>
        </w:tc>
        <w:tc>
          <w:tcPr>
            <w:tcW w:type="dxa" w:w="7000"/>
            <w:shd w:fill="FFFFFF"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Ethical Power</w:t>
            </w:r>
          </w:p>
        </w:tc>
      </w:tr>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Prepared by</w:t>
            </w:r>
          </w:p>
        </w:tc>
        <w:tc>
          <w:tcPr>
            <w:tcW w:type="dxa" w:w="7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Coreproma</w:t>
            </w:r>
          </w:p>
        </w:tc>
      </w:tr>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Document</w:t>
            </w:r>
          </w:p>
        </w:tc>
        <w:tc>
          <w:tcPr>
            <w:tcW w:type="dxa" w:w="7000"/>
            <w:shd w:fill="FFFFFF"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Development proposal, delivery plan &amp; commercial quotation</w:t>
            </w:r>
          </w:p>
        </w:tc>
      </w:tr>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Version</w:t>
            </w:r>
          </w:p>
        </w:tc>
        <w:tc>
          <w:tcPr>
            <w:tcW w:type="dxa" w:w="7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v0.1 — DRAFT for internal review</w:t>
            </w:r>
          </w:p>
        </w:tc>
      </w:tr>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Date</w:t>
            </w:r>
          </w:p>
        </w:tc>
        <w:tc>
          <w:tcPr>
            <w:tcW w:type="dxa" w:w="7000"/>
            <w:shd w:fill="FFFFFF"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2 August 2026</w:t>
            </w:r>
          </w:p>
        </w:tc>
      </w:tr>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Target go-live (core engine)</w:t>
            </w:r>
          </w:p>
        </w:tc>
        <w:tc>
          <w:tcPr>
            <w:tcW w:type="dxa" w:w="7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Mid-November 2026</w:t>
            </w:r>
          </w:p>
        </w:tc>
      </w:tr>
      <w:tr>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Status</w:t>
            </w:r>
          </w:p>
        </w:tc>
        <w:tc>
          <w:tcPr>
            <w:tcW w:type="dxa" w:w="7000"/>
            <w:shd w:fill="FFFFFF"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Commercial in confidence</w:t>
            </w:r>
          </w:p>
        </w:tc>
      </w:tr>
    </w:tbl>
    <w:p>
      <w:pPr>
        <w:spacing w:after="240"/>
      </w:pPr>
    </w:p>
    <w:tbl>
      <w:tblPr>
        <w:tblW w:type="dxa" w:w="9600"/>
        <w:tblBorders>
          <w:top w:val="single" w:color="FBF4DD" w:sz="2"/>
          <w:left w:val="none"/>
          <w:bottom w:val="single" w:color="FBF4DD" w:sz="2"/>
          <w:right w:val="none"/>
          <w:insideH w:val="none"/>
          <w:insideV w:val="none"/>
        </w:tblBorders>
      </w:tblPr>
      <w:tblGrid>
        <w:gridCol w:w="9600"/>
      </w:tblGrid>
      <w:tr>
        <w:tc>
          <w:tcPr>
            <w:tcW w:type="dxa" w:w="9600"/>
            <w:tcBorders>
              <w:left w:val="single" w:color="C9A227" w:sz="24"/>
            </w:tcBorders>
            <w:shd w:fill="FBF4DD" w:color="auto" w:val="clear"/>
            <w:tcMar>
              <w:top w:type="dxa" w:w="120"/>
              <w:left w:type="dxa" w:w="160"/>
              <w:bottom w:type="dxa" w:w="120"/>
              <w:right w:type="dxa" w:w="160"/>
            </w:tcMar>
          </w:tcPr>
          <w:p>
            <w:pPr>
              <w:spacing w:after="40"/>
            </w:pPr>
            <w:r>
              <w:rPr>
                <w:rFonts w:ascii="Calibri" w:cs="Calibri" w:eastAsia="Calibri" w:hAnsi="Calibri"/>
                <w:b/>
                <w:bCs/>
                <w:color w:val="16305A"/>
                <w:sz w:val="19"/>
                <w:szCs w:val="19"/>
              </w:rPr>
              <w:t xml:space="preserve">How to read the prices in this document</w:t>
            </w:r>
          </w:p>
          <w:p>
            <w:pPr>
              <w:spacing w:after="40" w:line="264"/>
            </w:pPr>
            <w:r>
              <w:rPr>
                <w:rFonts w:ascii="Calibri" w:cs="Calibri" w:eastAsia="Calibri" w:hAnsi="Calibri"/>
                <w:color w:val="1A1A1A"/>
                <w:sz w:val="18"/>
                <w:szCs w:val="18"/>
              </w:rPr>
              <w:t xml:space="preserve">Every monetary figure in this proposal is shown as [TBC]. This is deliberate. The effort (in person-days) is Coreproma’s genuine estimate; the day-rate and resulting price are commercial figures to be inserted by Coreproma before issue. Do not send this document to Ethical Power with placeholders in place.</w:t>
            </w:r>
          </w:p>
          <w:p>
            <w:pPr>
              <w:spacing w:after="40" w:line="264"/>
            </w:pPr>
            <w:r>
              <w:rPr>
                <w:rFonts w:ascii="Calibri" w:cs="Calibri" w:eastAsia="Calibri" w:hAnsi="Calibri"/>
                <w:color w:val="1A1A1A"/>
                <w:sz w:val="18"/>
                <w:szCs w:val="18"/>
              </w:rPr>
              <w:t xml:space="preserve">Azure consumption, third-party licences (e.g. PVcase, Google Maps Platform) and the grid-connection cost are pass-through / excluded items — see Section 11.</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1  </w:t>
      </w:r>
      <w:r>
        <w:rPr>
          <w:rFonts w:ascii="Calibri" w:cs="Calibri" w:eastAsia="Calibri" w:hAnsi="Calibri"/>
          <w:b/>
          <w:bCs/>
          <w:color w:val="16305A"/>
          <w:sz w:val="26"/>
          <w:szCs w:val="26"/>
        </w:rPr>
        <w:t xml:space="preserve">Executive summary</w:t>
      </w:r>
    </w:p>
    <w:p>
      <w:pPr>
        <w:spacing w:after="120" w:line="276"/>
      </w:pPr>
      <w:r>
        <w:rPr>
          <w:rFonts w:ascii="Calibri" w:cs="Calibri" w:eastAsia="Calibri" w:hAnsi="Calibri"/>
        </w:rPr>
        <w:t xml:space="preserve">Coreproma proposes to design, build, host and support </w:t>
      </w:r>
      <w:r>
        <w:rPr>
          <w:rFonts w:ascii="Calibri" w:cs="Calibri" w:eastAsia="Calibri" w:hAnsi="Calibri"/>
          <w:b/>
          <w:bCs/>
        </w:rPr>
        <w:t xml:space="preserve">COREPROMA</w:t>
      </w:r>
      <w:r>
        <w:rPr>
          <w:rFonts w:ascii="Calibri" w:cs="Calibri" w:eastAsia="Calibri" w:hAnsi="Calibri"/>
        </w:rPr>
        <w:t xml:space="preserve"> — the digital platform Ethical Power refers to as the “Ethical Estimation Engine”. It replaces the manual, document-driven tendering process (evidenced by the Hessay solar farm tender pack) with a single governed workflow that captures a project, quantifies its risks as named budget provisions, generates a defensible bill-of-materials and cost estimate, runs procurement through a supplier portal, and reports live risk and cost exposure to management and investors.</w:t>
      </w:r>
    </w:p>
    <w:p>
      <w:pPr>
        <w:spacing w:after="120" w:line="276"/>
      </w:pPr>
      <w:r>
        <w:rPr>
          <w:rFonts w:ascii="Calibri" w:cs="Calibri" w:eastAsia="Calibri" w:hAnsi="Calibri"/>
        </w:rPr>
        <w:t xml:space="preserve">The scope follows the eight modules of the COREPROMA workflow (B1–B7). Delivery is </w:t>
      </w:r>
      <w:r>
        <w:rPr>
          <w:rFonts w:ascii="Calibri" w:cs="Calibri" w:eastAsia="Calibri" w:hAnsi="Calibri"/>
          <w:b/>
          <w:bCs/>
        </w:rPr>
        <w:t xml:space="preserve">phased</w:t>
      </w:r>
      <w:r>
        <w:rPr>
          <w:rFonts w:ascii="Calibri" w:cs="Calibri" w:eastAsia="Calibri" w:hAnsi="Calibri"/>
        </w:rPr>
        <w:t xml:space="preserve">. A working </w:t>
      </w:r>
      <w:r>
        <w:rPr>
          <w:rFonts w:ascii="Calibri" w:cs="Calibri" w:eastAsia="Calibri" w:hAnsi="Calibri"/>
          <w:b/>
          <w:bCs/>
        </w:rPr>
        <w:t xml:space="preserve">estimating core</w:t>
      </w:r>
      <w:r>
        <w:rPr>
          <w:rFonts w:ascii="Calibri" w:cs="Calibri" w:eastAsia="Calibri" w:hAnsi="Calibri"/>
        </w:rPr>
        <w:t xml:space="preserve"> — project creation wizard, risk register, and cost/BOM calculator, with export of tender outputs — goes live in </w:t>
      </w:r>
      <w:r>
        <w:rPr>
          <w:rFonts w:ascii="Calibri" w:cs="Calibri" w:eastAsia="Calibri" w:hAnsi="Calibri"/>
          <w:b/>
          <w:bCs/>
        </w:rPr>
        <w:t xml:space="preserve">mid-November 2026</w:t>
      </w:r>
      <w:r>
        <w:rPr>
          <w:rFonts w:ascii="Calibri" w:cs="Calibri" w:eastAsia="Calibri" w:hAnsi="Calibri"/>
        </w:rPr>
        <w:t xml:space="preserve">. The supplier portal, governance workflow and investor reporting follow in a second phase.</w:t>
      </w:r>
    </w:p>
    <w:p>
      <w:pPr>
        <w:spacing w:after="80" w:before="200"/>
      </w:pPr>
      <w:r>
        <w:rPr>
          <w:rFonts w:ascii="Calibri" w:cs="Calibri" w:eastAsia="Calibri" w:hAnsi="Calibri"/>
          <w:b/>
          <w:bCs/>
          <w:color w:val="1F3A63"/>
          <w:sz w:val="22"/>
          <w:szCs w:val="22"/>
        </w:rPr>
        <w:t xml:space="preserve">The honest version — read this before the detail</w:t>
      </w:r>
    </w:p>
    <w:tbl>
      <w:tblPr>
        <w:tblW w:type="dxa" w:w="9600"/>
        <w:tblBorders>
          <w:top w:val="single" w:color="F7E9EB" w:sz="2"/>
          <w:left w:val="none"/>
          <w:bottom w:val="single" w:color="F7E9EB" w:sz="2"/>
          <w:right w:val="none"/>
          <w:insideH w:val="none"/>
          <w:insideV w:val="none"/>
        </w:tblBorders>
      </w:tblPr>
      <w:tblGrid>
        <w:gridCol w:w="9600"/>
      </w:tblGrid>
      <w:tr>
        <w:tc>
          <w:tcPr>
            <w:tcW w:type="dxa" w:w="9600"/>
            <w:tcBorders>
              <w:left w:val="single" w:color="8E1B2E" w:sz="24"/>
            </w:tcBorders>
            <w:shd w:fill="F7E9EB" w:color="auto" w:val="clear"/>
            <w:tcMar>
              <w:top w:type="dxa" w:w="120"/>
              <w:left w:type="dxa" w:w="160"/>
              <w:bottom w:type="dxa" w:w="120"/>
              <w:right w:type="dxa" w:w="160"/>
            </w:tcMar>
          </w:tcPr>
          <w:p>
            <w:pPr>
              <w:spacing w:after="40"/>
            </w:pPr>
            <w:r>
              <w:rPr>
                <w:rFonts w:ascii="Calibri" w:cs="Calibri" w:eastAsia="Calibri" w:hAnsi="Calibri"/>
                <w:b/>
                <w:bCs/>
                <w:color w:val="8E1B2E"/>
                <w:sz w:val="19"/>
                <w:szCs w:val="19"/>
              </w:rPr>
              <w:t xml:space="preserve">Three things that decide whether this succeeds</w:t>
            </w:r>
          </w:p>
        </w:tc>
      </w:tr>
    </w:tbl>
    <w:p>
      <w:pPr>
        <w:pStyle w:val="ListParagraph"/>
        <w:numPr>
          <w:ilvl w:val="0"/>
          <w:numId w:val="2"/>
        </w:numPr>
        <w:spacing w:after="60"/>
      </w:pPr>
      <w:r>
        <w:rPr>
          <w:rFonts w:ascii="Calibri" w:cs="Calibri" w:eastAsia="Calibri" w:hAnsi="Calibri"/>
          <w:b/>
          <w:bCs/>
        </w:rPr>
        <w:t xml:space="preserve">The mid-November date is achievable only if phased and resourced. </w:t>
      </w:r>
      <w:r>
        <w:rPr>
          <w:rFonts w:ascii="Calibri" w:cs="Calibri" w:eastAsia="Calibri" w:hAnsi="Calibri"/>
        </w:rPr>
        <w:t xml:space="preserve">From today (2 Aug) to mid-November is ~15 weeks. The full B1–B7 platform is not a 15-week single-developer build. The plan below delivers the estimating core (B1–B3 + essential B7 output) to a mid-November go-live with a dedicated team of 2–3, and explicitly defers B4/B5/B6/full B7 to Phase 2. Promising the whole platform by mid-November would be dishonest and would be missed.</w:t>
      </w:r>
    </w:p>
    <w:p>
      <w:pPr>
        <w:pStyle w:val="ListParagraph"/>
        <w:numPr>
          <w:ilvl w:val="0"/>
          <w:numId w:val="2"/>
        </w:numPr>
        <w:spacing w:after="60"/>
      </w:pPr>
      <w:r>
        <w:rPr>
          <w:rFonts w:ascii="Calibri" w:cs="Calibri" w:eastAsia="Calibri" w:hAnsi="Calibri"/>
          <w:b/>
          <w:bCs/>
        </w:rPr>
        <w:t xml:space="preserve">The engine is only as good as the rate data Ethical Power supplies. </w:t>
      </w:r>
      <w:r>
        <w:rPr>
          <w:rFonts w:ascii="Calibri" w:cs="Calibri" w:eastAsia="Calibri" w:hAnsi="Calibri"/>
        </w:rPr>
        <w:t xml:space="preserve">Coreproma builds the calculation engine; it cannot invent the unit rates. Ethical Power’s QS / procurement team must hand over the rate library figures early in the project. Until they do, the tool produces structure, not defensible numbers — the rate-library design itself states that “placeholder” rates must never yield a green confidence score.</w:t>
      </w:r>
    </w:p>
    <w:p>
      <w:pPr>
        <w:pStyle w:val="ListParagraph"/>
        <w:numPr>
          <w:ilvl w:val="0"/>
          <w:numId w:val="2"/>
        </w:numPr>
        <w:spacing w:after="60"/>
      </w:pPr>
      <w:r>
        <w:rPr>
          <w:rFonts w:ascii="Calibri" w:cs="Calibri" w:eastAsia="Calibri" w:hAnsi="Calibri"/>
          <w:b/>
          <w:bCs/>
        </w:rPr>
        <w:t xml:space="preserve">Grid-connection cost is excluded by design. </w:t>
      </w:r>
      <w:r>
        <w:rPr>
          <w:rFonts w:ascii="Calibri" w:cs="Calibri" w:eastAsia="Calibri" w:hAnsi="Calibri"/>
        </w:rPr>
        <w:t xml:space="preserve">Consistent with the wizard specification, the DNO grid-connection cost (potentially £200k–£10M+) is never modelled by the engine; it is obtained from the DNO. This is a feature, not a gap — modelling it would produce dangerous mispricing.</w:t>
      </w:r>
    </w:p>
    <w:p>
      <w:pPr>
        <w:spacing w:after="80" w:before="200"/>
      </w:pPr>
      <w:r>
        <w:rPr>
          <w:rFonts w:ascii="Calibri" w:cs="Calibri" w:eastAsia="Calibri" w:hAnsi="Calibri"/>
          <w:b/>
          <w:bCs/>
          <w:color w:val="1F3A63"/>
          <w:sz w:val="22"/>
          <w:szCs w:val="22"/>
        </w:rPr>
        <w:t xml:space="preserve">What Ethical Power is buying</w:t>
      </w:r>
    </w:p>
    <w:tbl>
      <w:tblPr>
        <w:tblW w:type="dxa" w:w="9600"/>
        <w:tblBorders>
          <w:top w:val="single" w:color="C9CED6" w:sz="2"/>
          <w:left w:val="none"/>
          <w:bottom w:val="single" w:color="C9CED6" w:sz="2"/>
          <w:right w:val="none"/>
          <w:insideH w:val="single" w:color="D8DCE3" w:sz="2"/>
          <w:insideV w:val="single" w:color="E4E8ED" w:sz="2"/>
        </w:tblBorders>
      </w:tblPr>
      <w:tblGrid>
        <w:gridCol w:w="3400"/>
        <w:gridCol w:w="6200"/>
      </w:tblGrid>
      <w:tr>
        <w:trPr>
          <w:tblHeader/>
        </w:trPr>
        <w:tc>
          <w:tcPr>
            <w:tcW w:type="dxa" w:w="3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Element</w:t>
            </w:r>
          </w:p>
        </w:tc>
        <w:tc>
          <w:tcPr>
            <w:tcW w:type="dxa" w:w="62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Summary</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Development (Phase 1)</w:t>
            </w:r>
          </w:p>
        </w:tc>
        <w:tc>
          <w:tcPr>
            <w:tcW w:type="dxa" w:w="6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Estimating core: creation wizard (B1), validation (B2), risk register &amp; provisions (B2b), product/stock cost calculator (B3), and tender output exports. Live mid-November 2026.</w:t>
            </w:r>
          </w:p>
        </w:tc>
      </w:tr>
      <w:tr>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Development (Phase 2)</w:t>
            </w:r>
          </w:p>
        </w:tc>
        <w:tc>
          <w:tcPr>
            <w:tcW w:type="dxa" w:w="6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Supplier portal (B4), project &amp; phases hub (B5), governance tasks (B6), full management &amp; investor reporting (B7). Delivered after go-live.</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Hosting</w:t>
            </w:r>
          </w:p>
        </w:tc>
        <w:tc>
          <w:tcPr>
            <w:tcW w:type="dxa" w:w="6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Coreproma-managed Microsoft Azure environment (App Service, Azure Database for PostgreSQL, Storage Account + Queues for background tasks). Azure consumption re-billed monthly.</w:t>
            </w:r>
          </w:p>
        </w:tc>
      </w:tr>
      <w:tr>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Identity &amp; access</w:t>
            </w:r>
          </w:p>
        </w:tc>
        <w:tc>
          <w:tcPr>
            <w:tcW w:type="dxa" w:w="6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Sign-in through Ethical Power’s Azure / Entra ID (corporate SSO), custom domain (DNS) and managed TLS/SSL, with MFA via Microsoft Authenticator (recommended: enforced).</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Updates &amp; enhancements</w:t>
            </w:r>
          </w:p>
        </w:tc>
        <w:tc>
          <w:tcPr>
            <w:tcW w:type="dxa" w:w="6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Change-controlled backlog after go-live, delivered under the support contract or as chargeable change requests / a retainer.</w:t>
            </w:r>
          </w:p>
        </w:tc>
      </w:tr>
      <w:tr>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Support</w:t>
            </w:r>
          </w:p>
        </w:tc>
        <w:tc>
          <w:tcPr>
            <w:tcW w:type="dxa" w:w="6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Ongoing support &amp; maintenance contract with defined SLAs, monitoring, patching, backups and minor updates.</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Intellectual property</w:t>
            </w:r>
          </w:p>
        </w:tc>
        <w:tc>
          <w:tcPr>
            <w:tcW w:type="dxa" w:w="6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Two clear alternatives presented for Ethical Power to choose: Coreproma retains IP and licenses it, or Ethical Power owns it outright (Section 9).</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2  </w:t>
      </w:r>
      <w:r>
        <w:rPr>
          <w:rFonts w:ascii="Calibri" w:cs="Calibri" w:eastAsia="Calibri" w:hAnsi="Calibri"/>
          <w:b/>
          <w:bCs/>
          <w:color w:val="16305A"/>
          <w:sz w:val="26"/>
          <w:szCs w:val="26"/>
        </w:rPr>
        <w:t xml:space="preserve">Scope of development — the build (B1–B7)</w:t>
      </w:r>
    </w:p>
    <w:p>
      <w:pPr>
        <w:spacing w:after="120" w:line="276"/>
      </w:pPr>
      <w:r>
        <w:rPr>
          <w:rFonts w:ascii="Calibri" w:cs="Calibri" w:eastAsia="Calibri" w:hAnsi="Calibri"/>
        </w:rPr>
        <w:t xml:space="preserve">The platform mirrors the COREPROMA workflow infographic. Each module is described below with its purpose, the key features to be built, and an indicative build effort in person-days. Effort is Coreproma’s estimate; the rate and cost are [TBC].</w:t>
      </w:r>
    </w:p>
    <w:p>
      <w:pPr>
        <w:spacing w:after="40" w:before="220"/>
      </w:pPr>
      <w:r>
        <w:rPr>
          <w:rFonts w:ascii="Calibri" w:cs="Calibri" w:eastAsia="Calibri" w:hAnsi="Calibri"/>
          <w:b/>
          <w:bCs/>
          <w:color w:val="C9A227"/>
          <w:sz w:val="24"/>
          <w:szCs w:val="24"/>
        </w:rPr>
        <w:t xml:space="preserve">B1  </w:t>
      </w:r>
      <w:r>
        <w:rPr>
          <w:rFonts w:ascii="Calibri" w:cs="Calibri" w:eastAsia="Calibri" w:hAnsi="Calibri"/>
          <w:b/>
          <w:bCs/>
          <w:color w:val="16305A"/>
          <w:sz w:val="24"/>
          <w:szCs w:val="24"/>
        </w:rPr>
        <w:t xml:space="preserve">Solar Farm Creation Wizard</w:t>
      </w:r>
    </w:p>
    <w:p>
      <w:pPr>
        <w:pBdr>
          <w:left w:val="single" w:color="C9A227" w:sz="24"/>
        </w:pBdr>
        <w:shd w:fill="1F3A63" w:color="auto" w:val="clear"/>
        <w:spacing w:after="80"/>
      </w:pPr>
      <w:r>
        <w:rPr>
          <w:rFonts w:ascii="Calibri" w:cs="Calibri" w:eastAsia="Calibri" w:hAnsi="Calibri"/>
          <w:b/>
          <w:bCs/>
          <w:color w:val="FFFFFF"/>
          <w:sz w:val="15"/>
          <w:szCs w:val="15"/>
        </w:rPr>
        <w:t xml:space="preserve">PROJECT INITIATION &amp; DATA CAPTURE</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A guided, 10-step linear wizard that captures every technical, regulatory, environmental and financial input for a project, aimed at a commercial / BD user rather than an engineer. Session state persists so users can move back and forth; a live cost-summary panel and confidence indicator update from Step 4 onward.</w:t>
      </w:r>
    </w:p>
    <w:p>
      <w:pPr>
        <w:pStyle w:val="ListParagraph"/>
        <w:numPr>
          <w:ilvl w:val="0"/>
          <w:numId w:val="2"/>
        </w:numPr>
        <w:spacing w:after="60"/>
      </w:pPr>
      <w:r>
        <w:rPr>
          <w:rFonts w:ascii="Calibri" w:cs="Calibri" w:eastAsia="Calibri" w:hAnsi="Calibri"/>
        </w:rPr>
        <w:t xml:space="preserve">Ten validated steps: Project Identity &amp; free-issue scope; Site Conditions &amp; Terrain; Access &amp; Logistics; Layout Parameters; Infrastructure Scope; Pre-Construction &amp; Surveys; Programme; Cost Build-Up; Risk &amp; Confidence; Output.</w:t>
      </w:r>
    </w:p>
    <w:p>
      <w:pPr>
        <w:pStyle w:val="ListParagraph"/>
        <w:numPr>
          <w:ilvl w:val="0"/>
          <w:numId w:val="2"/>
        </w:numPr>
        <w:spacing w:after="60"/>
      </w:pPr>
      <w:r>
        <w:rPr>
          <w:rFonts w:ascii="Calibri" w:cs="Calibri" w:eastAsia="Calibri" w:hAnsi="Calibri"/>
        </w:rPr>
        <w:t xml:space="preserve">Free-issue capture as a first-class input (what the client supplies vs what the EPC installs) — this can halve apparent EPC cost and must be captured before any figure is calculated.</w:t>
      </w:r>
    </w:p>
    <w:p>
      <w:pPr>
        <w:pStyle w:val="ListParagraph"/>
        <w:numPr>
          <w:ilvl w:val="0"/>
          <w:numId w:val="2"/>
        </w:numPr>
        <w:spacing w:after="60"/>
      </w:pPr>
      <w:r>
        <w:rPr>
          <w:rFonts w:ascii="Calibri" w:cs="Calibri" w:eastAsia="Calibri" w:hAnsi="Calibri"/>
        </w:rPr>
        <w:t xml:space="preserve">GIS / terrain integration: upload a GEOALT terrain file (X,Y,Z), parsed by a background service into site area, elevation range, slope distribution and terrain class, with an interactive 3D viewer (Three.js). Google Maps terrain/context integration.</w:t>
      </w:r>
    </w:p>
    <w:p>
      <w:pPr>
        <w:pStyle w:val="ListParagraph"/>
        <w:numPr>
          <w:ilvl w:val="0"/>
          <w:numId w:val="2"/>
        </w:numPr>
        <w:spacing w:after="60"/>
      </w:pPr>
      <w:r>
        <w:rPr>
          <w:rFonts w:ascii="Calibri" w:cs="Calibri" w:eastAsia="Calibri" w:hAnsi="Calibri"/>
        </w:rPr>
        <w:t xml:space="preserve">Scaling engine: derives module, string, inverter and MVS-station counts from capacity and layout parameters (the Hessay ratios) — with optional PVcase import (CSV/DXF) to replace derived quantities with design data.</w:t>
      </w:r>
    </w:p>
    <w:p>
      <w:pPr>
        <w:pStyle w:val="ListParagraph"/>
        <w:numPr>
          <w:ilvl w:val="0"/>
          <w:numId w:val="2"/>
        </w:numPr>
        <w:spacing w:after="60"/>
      </w:pPr>
      <w:r>
        <w:rPr>
          <w:rFonts w:ascii="Calibri" w:cs="Calibri" w:eastAsia="Calibri" w:hAnsi="Calibri"/>
        </w:rPr>
        <w:t xml:space="preserve">Live cost-summary side panel, per-step confidence flags (amber/red), save-draft, and locked outputs with revisioning.</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38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1</w:t>
      </w:r>
    </w:p>
    <w:p>
      <w:pPr>
        <w:spacing w:after="40" w:before="220"/>
      </w:pPr>
      <w:r>
        <w:rPr>
          <w:rFonts w:ascii="Calibri" w:cs="Calibri" w:eastAsia="Calibri" w:hAnsi="Calibri"/>
          <w:b/>
          <w:bCs/>
          <w:color w:val="C9A227"/>
          <w:sz w:val="24"/>
          <w:szCs w:val="24"/>
        </w:rPr>
        <w:t xml:space="preserve">B2  </w:t>
      </w:r>
      <w:r>
        <w:rPr>
          <w:rFonts w:ascii="Calibri" w:cs="Calibri" w:eastAsia="Calibri" w:hAnsi="Calibri"/>
          <w:b/>
          <w:bCs/>
          <w:color w:val="16305A"/>
          <w:sz w:val="24"/>
          <w:szCs w:val="24"/>
        </w:rPr>
        <w:t xml:space="preserve">Project Validation</w:t>
      </w:r>
    </w:p>
    <w:p>
      <w:pPr>
        <w:pBdr>
          <w:left w:val="single" w:color="C9A227" w:sz="24"/>
        </w:pBdr>
        <w:shd w:fill="1F3A63" w:color="auto" w:val="clear"/>
        <w:spacing w:after="80"/>
      </w:pPr>
      <w:r>
        <w:rPr>
          <w:rFonts w:ascii="Calibri" w:cs="Calibri" w:eastAsia="Calibri" w:hAnsi="Calibri"/>
          <w:b/>
          <w:bCs/>
          <w:color w:val="FFFFFF"/>
          <w:sz w:val="15"/>
          <w:szCs w:val="15"/>
        </w:rPr>
        <w:t xml:space="preserve">FEASIBILITY &amp; COMPLIANCE CHECK</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Converts the wizard output into a formal, governed project record and runs an automated feasibility check — site suitability, regulatory compliance, budget envelope and technical sign-off — before a project can progress.</w:t>
      </w:r>
    </w:p>
    <w:p>
      <w:pPr>
        <w:pStyle w:val="ListParagraph"/>
        <w:numPr>
          <w:ilvl w:val="0"/>
          <w:numId w:val="2"/>
        </w:numPr>
        <w:spacing w:after="60"/>
      </w:pPr>
      <w:r>
        <w:rPr>
          <w:rFonts w:ascii="Calibri" w:cs="Calibri" w:eastAsia="Calibri" w:hAnsi="Calibri"/>
        </w:rPr>
        <w:t xml:space="preserve">Promotion of a draft into a locked project record with an auditable revision history.</w:t>
      </w:r>
    </w:p>
    <w:p>
      <w:pPr>
        <w:pStyle w:val="ListParagraph"/>
        <w:numPr>
          <w:ilvl w:val="0"/>
          <w:numId w:val="2"/>
        </w:numPr>
        <w:spacing w:after="60"/>
      </w:pPr>
      <w:r>
        <w:rPr>
          <w:rFonts w:ascii="Calibri" w:cs="Calibri" w:eastAsia="Calibri" w:hAnsi="Calibri"/>
        </w:rPr>
        <w:t xml:space="preserve">Automated feasibility and compliance checks with a mandatory acknowledgement gate (free-issue agreed, exclusions accepted, budget-estimate caveat, surveys planned).</w:t>
      </w:r>
    </w:p>
    <w:p>
      <w:pPr>
        <w:pStyle w:val="ListParagraph"/>
        <w:numPr>
          <w:ilvl w:val="0"/>
          <w:numId w:val="2"/>
        </w:numPr>
        <w:spacing w:after="60"/>
      </w:pPr>
      <w:r>
        <w:rPr>
          <w:rFonts w:ascii="Calibri" w:cs="Calibri" w:eastAsia="Calibri" w:hAnsi="Calibri"/>
        </w:rPr>
        <w:t xml:space="preserve">Technical sign-off routing to the responsible role.</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6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1</w:t>
      </w:r>
    </w:p>
    <w:p>
      <w:pPr>
        <w:spacing w:after="40" w:before="220"/>
      </w:pPr>
      <w:r>
        <w:rPr>
          <w:rFonts w:ascii="Calibri" w:cs="Calibri" w:eastAsia="Calibri" w:hAnsi="Calibri"/>
          <w:b/>
          <w:bCs/>
          <w:color w:val="C9A227"/>
          <w:sz w:val="24"/>
          <w:szCs w:val="24"/>
        </w:rPr>
        <w:t xml:space="preserve">B2b  </w:t>
      </w:r>
      <w:r>
        <w:rPr>
          <w:rFonts w:ascii="Calibri" w:cs="Calibri" w:eastAsia="Calibri" w:hAnsi="Calibri"/>
          <w:b/>
          <w:bCs/>
          <w:color w:val="16305A"/>
          <w:sz w:val="24"/>
          <w:szCs w:val="24"/>
        </w:rPr>
        <w:t xml:space="preserve">Risk Register &amp; Provisions</w:t>
      </w:r>
    </w:p>
    <w:p>
      <w:pPr>
        <w:pBdr>
          <w:left w:val="single" w:color="C9A227" w:sz="24"/>
        </w:pBdr>
        <w:shd w:fill="1F3A63" w:color="auto" w:val="clear"/>
        <w:spacing w:after="80"/>
      </w:pPr>
      <w:r>
        <w:rPr>
          <w:rFonts w:ascii="Calibri" w:cs="Calibri" w:eastAsia="Calibri" w:hAnsi="Calibri"/>
          <w:b/>
          <w:bCs/>
          <w:color w:val="FFFFFF"/>
          <w:sz w:val="15"/>
          <w:szCs w:val="15"/>
        </w:rPr>
        <w:t xml:space="preserve">RISK QUANTIFICATION &amp; BUDGET LINK</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The differentiator of the platform: every risk is captured and priced as a named £ provision, not a blanket percentage contingency, and each provision flows straight into the budget as a visible line.</w:t>
      </w:r>
    </w:p>
    <w:p>
      <w:pPr>
        <w:pStyle w:val="ListParagraph"/>
        <w:numPr>
          <w:ilvl w:val="0"/>
          <w:numId w:val="2"/>
        </w:numPr>
        <w:spacing w:after="60"/>
      </w:pPr>
      <w:r>
        <w:rPr>
          <w:rFonts w:ascii="Calibri" w:cs="Calibri" w:eastAsia="Calibri" w:hAnsi="Calibri"/>
        </w:rPr>
        <w:t xml:space="preserve">Per-risk capture: category, status (Known / Potential / Information gap), likelihood (High / Medium / Low), named £ provision and basis of estimate.</w:t>
      </w:r>
    </w:p>
    <w:p>
      <w:pPr>
        <w:pStyle w:val="ListParagraph"/>
        <w:numPr>
          <w:ilvl w:val="0"/>
          <w:numId w:val="2"/>
        </w:numPr>
        <w:spacing w:after="60"/>
      </w:pPr>
      <w:r>
        <w:rPr>
          <w:rFonts w:ascii="Calibri" w:cs="Calibri" w:eastAsia="Calibri" w:hAnsi="Calibri"/>
        </w:rPr>
        <w:t xml:space="preserve">Risk categories: ground &amp; geotechnical; information gaps (surveys); grid connection; planning &amp; permitting; access, logistics &amp; environment.</w:t>
      </w:r>
    </w:p>
    <w:p>
      <w:pPr>
        <w:pStyle w:val="ListParagraph"/>
        <w:numPr>
          <w:ilvl w:val="0"/>
          <w:numId w:val="2"/>
        </w:numPr>
        <w:spacing w:after="60"/>
      </w:pPr>
      <w:r>
        <w:rPr>
          <w:rFonts w:ascii="Calibri" w:cs="Calibri" w:eastAsia="Calibri" w:hAnsi="Calibri"/>
        </w:rPr>
        <w:t xml:space="preserve">Direct link from each provision to a named budget line in B3, so clients see exactly what is costed and why.</w:t>
      </w:r>
    </w:p>
    <w:p>
      <w:pPr>
        <w:pStyle w:val="ListParagraph"/>
        <w:numPr>
          <w:ilvl w:val="0"/>
          <w:numId w:val="2"/>
        </w:numPr>
        <w:spacing w:after="60"/>
      </w:pPr>
      <w:r>
        <w:rPr>
          <w:rFonts w:ascii="Calibri" w:cs="Calibri" w:eastAsia="Calibri" w:hAnsi="Calibri"/>
        </w:rPr>
        <w:t xml:space="preserve">Confidence score dial with rule-based deductions (e.g. grid connection excluded, high-severity risk uncosted, free-issue unconfirmed).</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10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1</w:t>
      </w:r>
    </w:p>
    <w:p>
      <w:pPr>
        <w:spacing w:after="40" w:before="220"/>
      </w:pPr>
      <w:r>
        <w:rPr>
          <w:rFonts w:ascii="Calibri" w:cs="Calibri" w:eastAsia="Calibri" w:hAnsi="Calibri"/>
          <w:b/>
          <w:bCs/>
          <w:color w:val="C9A227"/>
          <w:sz w:val="24"/>
          <w:szCs w:val="24"/>
        </w:rPr>
        <w:t xml:space="preserve">B3  </w:t>
      </w:r>
      <w:r>
        <w:rPr>
          <w:rFonts w:ascii="Calibri" w:cs="Calibri" w:eastAsia="Calibri" w:hAnsi="Calibri"/>
          <w:b/>
          <w:bCs/>
          <w:color w:val="16305A"/>
          <w:sz w:val="24"/>
          <w:szCs w:val="24"/>
        </w:rPr>
        <w:t xml:space="preserve">Product &amp; Stock Calculator</w:t>
      </w:r>
    </w:p>
    <w:p>
      <w:pPr>
        <w:pBdr>
          <w:left w:val="single" w:color="C9A227" w:sz="24"/>
        </w:pBdr>
        <w:shd w:fill="1F3A63" w:color="auto" w:val="clear"/>
        <w:spacing w:after="80"/>
      </w:pPr>
      <w:r>
        <w:rPr>
          <w:rFonts w:ascii="Calibri" w:cs="Calibri" w:eastAsia="Calibri" w:hAnsi="Calibri"/>
          <w:b/>
          <w:bCs/>
          <w:color w:val="FFFFFF"/>
          <w:sz w:val="15"/>
          <w:szCs w:val="15"/>
        </w:rPr>
        <w:t xml:space="preserve">MATERIALS, 3RD-PARTY &amp; RISK BUDGET</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The core calculation engine. It auto-generates a full bill-of-materials — panels, piles, cabling, inverters, mounting — with the risk provisions included as named budget lines, then applies the rate library to produce a defensible budget estimate.</w:t>
      </w:r>
    </w:p>
    <w:p>
      <w:pPr>
        <w:pStyle w:val="ListParagraph"/>
        <w:numPr>
          <w:ilvl w:val="0"/>
          <w:numId w:val="2"/>
        </w:numPr>
        <w:spacing w:after="60"/>
      </w:pPr>
      <w:r>
        <w:rPr>
          <w:rFonts w:ascii="Calibri" w:cs="Calibri" w:eastAsia="Calibri" w:hAnsi="Calibri"/>
        </w:rPr>
        <w:t xml:space="preserve">Line-by-line cost build-up across ~17 packages (surveys, preliminaries, civils, fencing, piling/mounting, DC/LV/HV electrical, substations, CCTV, monitoring, compliance, QC, decommissioning, risk, contingency, margin).</w:t>
      </w:r>
    </w:p>
    <w:p>
      <w:pPr>
        <w:pStyle w:val="ListParagraph"/>
        <w:numPr>
          <w:ilvl w:val="0"/>
          <w:numId w:val="2"/>
        </w:numPr>
        <w:spacing w:after="60"/>
      </w:pPr>
      <w:r>
        <w:rPr>
          <w:rFonts w:ascii="Calibri" w:cs="Calibri" w:eastAsia="Calibri" w:hAnsi="Calibri"/>
        </w:rPr>
        <w:t xml:space="preserve">Rate library administration: point-in-time rates (historic estimates stay reproducible), territory-specific rates, confidence flags, and a supplier table — with role-based ownership (QS, Procurement, Technical Director).</w:t>
      </w:r>
    </w:p>
    <w:p>
      <w:pPr>
        <w:pStyle w:val="ListParagraph"/>
        <w:numPr>
          <w:ilvl w:val="0"/>
          <w:numId w:val="2"/>
        </w:numPr>
        <w:spacing w:after="60"/>
      </w:pPr>
      <w:r>
        <w:rPr>
          <w:rFonts w:ascii="Calibri" w:cs="Calibri" w:eastAsia="Calibri" w:hAnsi="Calibri"/>
        </w:rPr>
        <w:t xml:space="preserve">Free-issue deduction logic: supply cost zeroed where the client free-issues, installation cost retained, both shown transparently.</w:t>
      </w:r>
    </w:p>
    <w:p>
      <w:pPr>
        <w:pStyle w:val="ListParagraph"/>
        <w:numPr>
          <w:ilvl w:val="0"/>
          <w:numId w:val="2"/>
        </w:numPr>
        <w:spacing w:after="60"/>
      </w:pPr>
      <w:r>
        <w:rPr>
          <w:rFonts w:ascii="Calibri" w:cs="Calibri" w:eastAsia="Calibri" w:hAnsi="Calibri"/>
        </w:rPr>
        <w:t xml:space="preserve">Location, CBR/ground, access and programme multipliers; inflation/indexation; configurable contingency and margin.</w:t>
      </w:r>
    </w:p>
    <w:p>
      <w:pPr>
        <w:pStyle w:val="ListParagraph"/>
        <w:numPr>
          <w:ilvl w:val="0"/>
          <w:numId w:val="2"/>
        </w:numPr>
        <w:spacing w:after="60"/>
      </w:pPr>
      <w:r>
        <w:rPr>
          <w:rFonts w:ascii="Calibri" w:cs="Calibri" w:eastAsia="Calibri" w:hAnsi="Calibri"/>
        </w:rPr>
        <w:t xml:space="preserve">Outputs: 1-page budget summary, full BOQ (Excel/PDF), assumptions &amp; exclusions register, sensitivity table, comparable-project reference, and an investor-ready 1-pager.</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26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1</w:t>
      </w:r>
    </w:p>
    <w:p>
      <w:pPr>
        <w:spacing w:after="120" w:line="276"/>
      </w:pPr>
      <w:r>
        <w:rPr>
          <w:rFonts w:ascii="Calibri" w:cs="Calibri" w:eastAsia="Calibri" w:hAnsi="Calibri"/>
        </w:rPr>
        <w:t xml:space="preserve">B3 outputs &amp; export engine (BOQ to Excel/PDF, summaries, sensitivity, investor 1-pager): </w:t>
      </w:r>
      <w:r>
        <w:rPr>
          <w:rFonts w:ascii="Calibri" w:cs="Calibri" w:eastAsia="Calibri" w:hAnsi="Calibri"/>
          <w:b/>
          <w:bCs/>
          <w:color w:val="8E1B2E"/>
        </w:rPr>
        <w:t xml:space="preserve">12 person-days</w:t>
      </w:r>
      <w:r>
        <w:rPr>
          <w:rFonts w:ascii="Calibri" w:cs="Calibri" w:eastAsia="Calibri" w:hAnsi="Calibri"/>
        </w:rPr>
        <w:t xml:space="preserve">  ·  Phase 1.</w:t>
      </w:r>
    </w:p>
    <w:p>
      <w:pPr>
        <w:spacing w:after="40" w:before="220"/>
      </w:pPr>
      <w:r>
        <w:rPr>
          <w:rFonts w:ascii="Calibri" w:cs="Calibri" w:eastAsia="Calibri" w:hAnsi="Calibri"/>
          <w:b/>
          <w:bCs/>
          <w:color w:val="C9A227"/>
          <w:sz w:val="24"/>
          <w:szCs w:val="24"/>
        </w:rPr>
        <w:t xml:space="preserve">B5  </w:t>
      </w:r>
      <w:r>
        <w:rPr>
          <w:rFonts w:ascii="Calibri" w:cs="Calibri" w:eastAsia="Calibri" w:hAnsi="Calibri"/>
          <w:b/>
          <w:bCs/>
          <w:color w:val="16305A"/>
          <w:sz w:val="24"/>
          <w:szCs w:val="24"/>
        </w:rPr>
        <w:t xml:space="preserve">Project &amp; Phases Setup</w:t>
      </w:r>
    </w:p>
    <w:p>
      <w:pPr>
        <w:pBdr>
          <w:left w:val="single" w:color="C9A227" w:sz="24"/>
        </w:pBdr>
        <w:shd w:fill="1F3A63" w:color="auto" w:val="clear"/>
        <w:spacing w:after="80"/>
      </w:pPr>
      <w:r>
        <w:rPr>
          <w:rFonts w:ascii="Calibri" w:cs="Calibri" w:eastAsia="Calibri" w:hAnsi="Calibri"/>
          <w:b/>
          <w:bCs/>
          <w:color w:val="FFFFFF"/>
          <w:sz w:val="15"/>
          <w:szCs w:val="15"/>
        </w:rPr>
        <w:t xml:space="preserve">CENTRAL HUB</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The central delivery hub. Once a project is validated, it holds the phased plan — milestones, tasks, assignments and dependencies — and is the point every other module reports into.</w:t>
      </w:r>
    </w:p>
    <w:p>
      <w:pPr>
        <w:pStyle w:val="ListParagraph"/>
        <w:numPr>
          <w:ilvl w:val="0"/>
          <w:numId w:val="2"/>
        </w:numPr>
        <w:spacing w:after="60"/>
      </w:pPr>
      <w:r>
        <w:rPr>
          <w:rFonts w:ascii="Calibri" w:cs="Calibri" w:eastAsia="Calibri" w:hAnsi="Calibri"/>
        </w:rPr>
        <w:t xml:space="preserve">Phased programme with milestones, tasks, owners and dependencies.</w:t>
      </w:r>
    </w:p>
    <w:p>
      <w:pPr>
        <w:pStyle w:val="ListParagraph"/>
        <w:numPr>
          <w:ilvl w:val="0"/>
          <w:numId w:val="2"/>
        </w:numPr>
        <w:spacing w:after="60"/>
      </w:pPr>
      <w:r>
        <w:rPr>
          <w:rFonts w:ascii="Calibri" w:cs="Calibri" w:eastAsia="Calibri" w:hAnsi="Calibri"/>
        </w:rPr>
        <w:t xml:space="preserve">Central navigation hub linking governance (B6), procurement (B4) and reporting (B7).</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12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2</w:t>
      </w:r>
    </w:p>
    <w:p>
      <w:pPr>
        <w:spacing w:after="40" w:before="220"/>
      </w:pPr>
      <w:r>
        <w:rPr>
          <w:rFonts w:ascii="Calibri" w:cs="Calibri" w:eastAsia="Calibri" w:hAnsi="Calibri"/>
          <w:b/>
          <w:bCs/>
          <w:color w:val="C9A227"/>
          <w:sz w:val="24"/>
          <w:szCs w:val="24"/>
        </w:rPr>
        <w:t xml:space="preserve">B6  </w:t>
      </w:r>
      <w:r>
        <w:rPr>
          <w:rFonts w:ascii="Calibri" w:cs="Calibri" w:eastAsia="Calibri" w:hAnsi="Calibri"/>
          <w:b/>
          <w:bCs/>
          <w:color w:val="16305A"/>
          <w:sz w:val="24"/>
          <w:szCs w:val="24"/>
        </w:rPr>
        <w:t xml:space="preserve">Governance Tasks</w:t>
      </w:r>
    </w:p>
    <w:p>
      <w:pPr>
        <w:pBdr>
          <w:left w:val="single" w:color="C9A227" w:sz="24"/>
        </w:pBdr>
        <w:shd w:fill="1F3A63" w:color="auto" w:val="clear"/>
        <w:spacing w:after="80"/>
      </w:pPr>
      <w:r>
        <w:rPr>
          <w:rFonts w:ascii="Calibri" w:cs="Calibri" w:eastAsia="Calibri" w:hAnsi="Calibri"/>
          <w:b/>
          <w:bCs/>
          <w:color w:val="FFFFFF"/>
          <w:sz w:val="15"/>
          <w:szCs w:val="15"/>
        </w:rPr>
        <w:t xml:space="preserve">RISK STATUS DURING DELIVERY</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Tracks risk status during execution and confirms whether each named provision was spent or released — closing the loop between the estimate and what actually happened.</w:t>
      </w:r>
    </w:p>
    <w:p>
      <w:pPr>
        <w:pStyle w:val="ListParagraph"/>
        <w:numPr>
          <w:ilvl w:val="0"/>
          <w:numId w:val="2"/>
        </w:numPr>
        <w:spacing w:after="60"/>
      </w:pPr>
      <w:r>
        <w:rPr>
          <w:rFonts w:ascii="Calibri" w:cs="Calibri" w:eastAsia="Calibri" w:hAnsi="Calibri"/>
        </w:rPr>
        <w:t xml:space="preserve">Live tracking of provision status (held / spent / released) against the B2b register.</w:t>
      </w:r>
    </w:p>
    <w:p>
      <w:pPr>
        <w:pStyle w:val="ListParagraph"/>
        <w:numPr>
          <w:ilvl w:val="0"/>
          <w:numId w:val="2"/>
        </w:numPr>
        <w:spacing w:after="60"/>
      </w:pPr>
      <w:r>
        <w:rPr>
          <w:rFonts w:ascii="Calibri" w:cs="Calibri" w:eastAsia="Calibri" w:hAnsi="Calibri"/>
        </w:rPr>
        <w:t xml:space="preserve">Ongoing governance responsibilities and task assignment during delivery.</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8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2</w:t>
      </w:r>
    </w:p>
    <w:p>
      <w:pPr>
        <w:spacing w:after="40" w:before="220"/>
      </w:pPr>
      <w:r>
        <w:rPr>
          <w:rFonts w:ascii="Calibri" w:cs="Calibri" w:eastAsia="Calibri" w:hAnsi="Calibri"/>
          <w:b/>
          <w:bCs/>
          <w:color w:val="C9A227"/>
          <w:sz w:val="24"/>
          <w:szCs w:val="24"/>
        </w:rPr>
        <w:t xml:space="preserve">B4  </w:t>
      </w:r>
      <w:r>
        <w:rPr>
          <w:rFonts w:ascii="Calibri" w:cs="Calibri" w:eastAsia="Calibri" w:hAnsi="Calibri"/>
          <w:b/>
          <w:bCs/>
          <w:color w:val="16305A"/>
          <w:sz w:val="24"/>
          <w:szCs w:val="24"/>
        </w:rPr>
        <w:t xml:space="preserve">Supplier Portal</w:t>
      </w:r>
    </w:p>
    <w:p>
      <w:pPr>
        <w:pBdr>
          <w:left w:val="single" w:color="C9A227" w:sz="24"/>
        </w:pBdr>
        <w:shd w:fill="1F3A63" w:color="auto" w:val="clear"/>
        <w:spacing w:after="80"/>
      </w:pPr>
      <w:r>
        <w:rPr>
          <w:rFonts w:ascii="Calibri" w:cs="Calibri" w:eastAsia="Calibri" w:hAnsi="Calibri"/>
          <w:b/>
          <w:bCs/>
          <w:color w:val="FFFFFF"/>
          <w:sz w:val="15"/>
          <w:szCs w:val="15"/>
        </w:rPr>
        <w:t xml:space="preserve">PROCUREMENT (B5 ↔ B4)</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A portal where pre-qualified suppliers submit offers against the project’s bill-of-materials, validated on price, lead time and ESG.</w:t>
      </w:r>
    </w:p>
    <w:p>
      <w:pPr>
        <w:pStyle w:val="ListParagraph"/>
        <w:numPr>
          <w:ilvl w:val="0"/>
          <w:numId w:val="2"/>
        </w:numPr>
        <w:spacing w:after="60"/>
      </w:pPr>
      <w:r>
        <w:rPr>
          <w:rFonts w:ascii="Calibri" w:cs="Calibri" w:eastAsia="Calibri" w:hAnsi="Calibri"/>
        </w:rPr>
        <w:t xml:space="preserve">Pre-qualified supplier onboarding and secure external access.</w:t>
      </w:r>
    </w:p>
    <w:p>
      <w:pPr>
        <w:pStyle w:val="ListParagraph"/>
        <w:numPr>
          <w:ilvl w:val="0"/>
          <w:numId w:val="2"/>
        </w:numPr>
        <w:spacing w:after="60"/>
      </w:pPr>
      <w:r>
        <w:rPr>
          <w:rFonts w:ascii="Calibri" w:cs="Calibri" w:eastAsia="Calibri" w:hAnsi="Calibri"/>
        </w:rPr>
        <w:t xml:space="preserve">Offer submission against BOM lines; validation and scoring on price, lead time and ESG criteria.</w:t>
      </w:r>
    </w:p>
    <w:p>
      <w:pPr>
        <w:pStyle w:val="ListParagraph"/>
        <w:numPr>
          <w:ilvl w:val="0"/>
          <w:numId w:val="2"/>
        </w:numPr>
        <w:spacing w:after="60"/>
      </w:pPr>
      <w:r>
        <w:rPr>
          <w:rFonts w:ascii="Calibri" w:cs="Calibri" w:eastAsia="Calibri" w:hAnsi="Calibri"/>
        </w:rPr>
        <w:t xml:space="preserve">Feed of accepted supplier prices back into the rate library / project budget.</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20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2</w:t>
      </w:r>
    </w:p>
    <w:p>
      <w:pPr>
        <w:spacing w:after="40" w:before="220"/>
      </w:pPr>
      <w:r>
        <w:rPr>
          <w:rFonts w:ascii="Calibri" w:cs="Calibri" w:eastAsia="Calibri" w:hAnsi="Calibri"/>
          <w:b/>
          <w:bCs/>
          <w:color w:val="C9A227"/>
          <w:sz w:val="24"/>
          <w:szCs w:val="24"/>
        </w:rPr>
        <w:t xml:space="preserve">B7  </w:t>
      </w:r>
      <w:r>
        <w:rPr>
          <w:rFonts w:ascii="Calibri" w:cs="Calibri" w:eastAsia="Calibri" w:hAnsi="Calibri"/>
          <w:b/>
          <w:bCs/>
          <w:color w:val="16305A"/>
          <w:sz w:val="24"/>
          <w:szCs w:val="24"/>
        </w:rPr>
        <w:t xml:space="preserve">Reports</w:t>
      </w:r>
    </w:p>
    <w:p>
      <w:pPr>
        <w:pBdr>
          <w:left w:val="single" w:color="C9A227" w:sz="24"/>
        </w:pBdr>
        <w:shd w:fill="1F3A63" w:color="auto" w:val="clear"/>
        <w:spacing w:after="80"/>
      </w:pPr>
      <w:r>
        <w:rPr>
          <w:rFonts w:ascii="Calibri" w:cs="Calibri" w:eastAsia="Calibri" w:hAnsi="Calibri"/>
          <w:b/>
          <w:bCs/>
          <w:color w:val="FFFFFF"/>
          <w:sz w:val="15"/>
          <w:szCs w:val="15"/>
        </w:rPr>
        <w:t xml:space="preserve">MANAGEMENT INSIGHTS &amp; RISK TRANSPARENCY</w:t>
      </w:r>
    </w:p>
    <w:p>
      <w:pPr>
        <w:spacing w:after="120" w:line="276"/>
      </w:pPr>
      <w:r>
        <w:rPr>
          <w:rFonts w:ascii="Calibri" w:cs="Calibri" w:eastAsia="Calibri" w:hAnsi="Calibri"/>
          <w:b/>
          <w:bCs/>
          <w:color w:val="1F3A63"/>
        </w:rPr>
        <w:t xml:space="preserve">Purpose. </w:t>
      </w:r>
      <w:r>
        <w:rPr>
          <w:rFonts w:ascii="Calibri" w:cs="Calibri" w:eastAsia="Calibri" w:hAnsi="Calibri"/>
        </w:rPr>
        <w:t xml:space="preserve">Live reporting of risk-register status — which provisions are spent, which resolved, and remaining exposure — with weekly and monthly reports for management and investors.</w:t>
      </w:r>
    </w:p>
    <w:p>
      <w:pPr>
        <w:pStyle w:val="ListParagraph"/>
        <w:numPr>
          <w:ilvl w:val="0"/>
          <w:numId w:val="2"/>
        </w:numPr>
        <w:spacing w:after="60"/>
      </w:pPr>
      <w:r>
        <w:rPr>
          <w:rFonts w:ascii="Calibri" w:cs="Calibri" w:eastAsia="Calibri" w:hAnsi="Calibri"/>
        </w:rPr>
        <w:t xml:space="preserve">Live risk &amp; cost exposure dashboard.</w:t>
      </w:r>
    </w:p>
    <w:p>
      <w:pPr>
        <w:pStyle w:val="ListParagraph"/>
        <w:numPr>
          <w:ilvl w:val="0"/>
          <w:numId w:val="2"/>
        </w:numPr>
        <w:spacing w:after="60"/>
      </w:pPr>
      <w:r>
        <w:rPr>
          <w:rFonts w:ascii="Calibri" w:cs="Calibri" w:eastAsia="Calibri" w:hAnsi="Calibri"/>
        </w:rPr>
        <w:t xml:space="preserve">Scheduled weekly / monthly management and investor reports.</w:t>
      </w:r>
    </w:p>
    <w:p>
      <w:pPr>
        <w:pStyle w:val="ListParagraph"/>
        <w:numPr>
          <w:ilvl w:val="0"/>
          <w:numId w:val="2"/>
        </w:numPr>
        <w:spacing w:after="60"/>
      </w:pPr>
      <w:r>
        <w:rPr>
          <w:rFonts w:ascii="Calibri" w:cs="Calibri" w:eastAsia="Calibri" w:hAnsi="Calibri"/>
        </w:rPr>
        <w:t xml:space="preserve">Essential estimate/summary export delivered in Phase 1; full dashboards and scheduled reporting in Phase 2.</w:t>
      </w:r>
    </w:p>
    <w:p>
      <w:pPr>
        <w:spacing w:after="120" w:line="276"/>
      </w:pPr>
      <w:r>
        <w:rPr>
          <w:rFonts w:ascii="Calibri" w:cs="Calibri" w:eastAsia="Calibri" w:hAnsi="Calibri"/>
          <w:b/>
          <w:bCs/>
        </w:rPr>
        <w:t xml:space="preserve">Indicative effort: </w:t>
      </w:r>
      <w:r>
        <w:rPr>
          <w:rFonts w:ascii="Calibri" w:cs="Calibri" w:eastAsia="Calibri" w:hAnsi="Calibri"/>
          <w:b/>
          <w:bCs/>
          <w:color w:val="8E1B2E"/>
        </w:rPr>
        <w:t xml:space="preserve">18 person-days</w:t>
      </w:r>
      <w:r>
        <w:rPr>
          <w:rFonts w:ascii="Calibri" w:cs="Calibri" w:eastAsia="Calibri" w:hAnsi="Calibri"/>
        </w:rPr>
        <w:t xml:space="preserve">   ·   </w:t>
      </w:r>
      <w:r>
        <w:rPr>
          <w:rFonts w:ascii="Calibri" w:cs="Calibri" w:eastAsia="Calibri" w:hAnsi="Calibri"/>
          <w:b/>
          <w:bCs/>
        </w:rPr>
        <w:t xml:space="preserve">Delivery: </w:t>
      </w:r>
      <w:r>
        <w:rPr>
          <w:rFonts w:ascii="Calibri" w:cs="Calibri" w:eastAsia="Calibri" w:hAnsi="Calibri"/>
        </w:rPr>
        <w:t xml:space="preserve">Phase 1 (essential) / Phase 2 (full)</w:t>
      </w:r>
    </w:p>
    <w:p>
      <w:pPr>
        <w:spacing w:after="80" w:before="200"/>
      </w:pPr>
      <w:r>
        <w:rPr>
          <w:rFonts w:ascii="Calibri" w:cs="Calibri" w:eastAsia="Calibri" w:hAnsi="Calibri"/>
          <w:b/>
          <w:bCs/>
          <w:color w:val="1F3A63"/>
          <w:sz w:val="22"/>
          <w:szCs w:val="22"/>
        </w:rPr>
        <w:t xml:space="preserve">Cross-cutting foundations (built once, used everywhere)</w:t>
      </w:r>
    </w:p>
    <w:tbl>
      <w:tblPr>
        <w:tblW w:type="dxa" w:w="9600"/>
        <w:tblBorders>
          <w:top w:val="single" w:color="C9CED6" w:sz="2"/>
          <w:left w:val="none"/>
          <w:bottom w:val="single" w:color="C9CED6" w:sz="2"/>
          <w:right w:val="none"/>
          <w:insideH w:val="single" w:color="D8DCE3" w:sz="2"/>
          <w:insideV w:val="single" w:color="E4E8ED" w:sz="2"/>
        </w:tblBorders>
      </w:tblPr>
      <w:tblGrid>
        <w:gridCol w:w="3400"/>
        <w:gridCol w:w="4400"/>
        <w:gridCol w:w="1800"/>
      </w:tblGrid>
      <w:tr>
        <w:trPr>
          <w:tblHeader/>
        </w:trPr>
        <w:tc>
          <w:tcPr>
            <w:tcW w:type="dxa" w:w="3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Foundation</w:t>
            </w:r>
          </w:p>
        </w:tc>
        <w:tc>
          <w:tcPr>
            <w:tcW w:type="dxa" w:w="4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What it covers</w:t>
            </w:r>
          </w:p>
        </w:tc>
        <w:tc>
          <w:tcPr>
            <w:tcW w:type="dxa" w:w="18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Effort (p-days)</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Platform &amp; DevOps</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Azure infrastructure, database schema, application skeleton, CI/CD pipelines, environments (Dev/Test/Prod).</w:t>
            </w:r>
          </w:p>
        </w:tc>
        <w:tc>
          <w:tcPr>
            <w:tcW w:type="dxa" w:w="18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15</w:t>
            </w:r>
          </w:p>
        </w:tc>
      </w:tr>
      <w:tr>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Identity &amp; security</w:t>
            </w:r>
          </w:p>
        </w:tc>
        <w:tc>
          <w:tcPr>
            <w:tcW w:type="dxa" w:w="4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Entra ID SSO, MFA, role-based access control (BD, QS, Procurement, Technical Director, Admin), audit logging.</w:t>
            </w:r>
          </w:p>
        </w:tc>
        <w:tc>
          <w:tcPr>
            <w:tcW w:type="dxa" w:w="18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10</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Discovery &amp; design</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Requirements sign-off, UX/flows, output templates, rate-library data handover plan.</w:t>
            </w:r>
          </w:p>
        </w:tc>
        <w:tc>
          <w:tcPr>
            <w:tcW w:type="dxa" w:w="18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8</w:t>
            </w:r>
          </w:p>
        </w:tc>
      </w:tr>
      <w:tr>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QA &amp; UAT (Phase 1)</w:t>
            </w:r>
          </w:p>
        </w:tc>
        <w:tc>
          <w:tcPr>
            <w:tcW w:type="dxa" w:w="4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System testing, UAT support using Hessay as the reference test project.</w:t>
            </w:r>
          </w:p>
        </w:tc>
        <w:tc>
          <w:tcPr>
            <w:tcW w:type="dxa" w:w="18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14</w:t>
            </w:r>
          </w:p>
        </w:tc>
      </w:tr>
      <w:tr>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Go-live (Phase 1)</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Security review, data load, documentation, training, production cut-over.</w:t>
            </w:r>
          </w:p>
        </w:tc>
        <w:tc>
          <w:tcPr>
            <w:tcW w:type="dxa" w:w="18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8</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3  </w:t>
      </w:r>
      <w:r>
        <w:rPr>
          <w:rFonts w:ascii="Calibri" w:cs="Calibri" w:eastAsia="Calibri" w:hAnsi="Calibri"/>
          <w:b/>
          <w:bCs/>
          <w:color w:val="16305A"/>
          <w:sz w:val="26"/>
          <w:szCs w:val="26"/>
        </w:rPr>
        <w:t xml:space="preserve">Development plan &amp; programme</w:t>
      </w:r>
    </w:p>
    <w:p>
      <w:pPr>
        <w:spacing w:after="120" w:line="276"/>
      </w:pPr>
      <w:r>
        <w:rPr>
          <w:rFonts w:ascii="Calibri" w:cs="Calibri" w:eastAsia="Calibri" w:hAnsi="Calibri"/>
        </w:rPr>
        <w:t xml:space="preserve">The plan below drives to a </w:t>
      </w:r>
      <w:r>
        <w:rPr>
          <w:rFonts w:ascii="Calibri" w:cs="Calibri" w:eastAsia="Calibri" w:hAnsi="Calibri"/>
          <w:b/>
          <w:bCs/>
        </w:rPr>
        <w:t xml:space="preserve">mid-November 2026 go-live of the estimating core</w:t>
      </w:r>
      <w:r>
        <w:rPr>
          <w:rFonts w:ascii="Calibri" w:cs="Calibri" w:eastAsia="Calibri" w:hAnsi="Calibri"/>
        </w:rPr>
        <w:t xml:space="preserve"> (B1–B3, plus essential B7 output). Phase 2 modules follow after go-live. The programme assumes work starts week commencing 4 August 2026.</w:t>
      </w:r>
    </w:p>
    <w:p>
      <w:pPr>
        <w:spacing w:after="80" w:before="200"/>
      </w:pPr>
      <w:r>
        <w:rPr>
          <w:rFonts w:ascii="Calibri" w:cs="Calibri" w:eastAsia="Calibri" w:hAnsi="Calibri"/>
          <w:b/>
          <w:bCs/>
          <w:color w:val="1F3A63"/>
          <w:sz w:val="22"/>
          <w:szCs w:val="22"/>
        </w:rPr>
        <w:t xml:space="preserve">Effort summary</w:t>
      </w:r>
    </w:p>
    <w:tbl>
      <w:tblPr>
        <w:tblW w:type="dxa" w:w="9600"/>
        <w:tblBorders>
          <w:top w:val="single" w:color="C9CED6" w:sz="2"/>
          <w:left w:val="none"/>
          <w:bottom w:val="single" w:color="C9CED6" w:sz="2"/>
          <w:right w:val="none"/>
          <w:insideH w:val="single" w:color="D8DCE3" w:sz="2"/>
          <w:insideV w:val="single" w:color="E4E8ED" w:sz="2"/>
        </w:tblBorders>
      </w:tblPr>
      <w:tblGrid>
        <w:gridCol w:w="4600"/>
        <w:gridCol w:w="2500"/>
        <w:gridCol w:w="2500"/>
      </w:tblGrid>
      <w:tr>
        <w:trPr>
          <w:tblHeader/>
        </w:trPr>
        <w:tc>
          <w:tcPr>
            <w:tcW w:type="dxa" w:w="4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Phase</w:t>
            </w:r>
          </w:p>
        </w:tc>
        <w:tc>
          <w:tcPr>
            <w:tcW w:type="dxa" w:w="25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Effort (person-days)</w:t>
            </w:r>
          </w:p>
        </w:tc>
        <w:tc>
          <w:tcPr>
            <w:tcW w:type="dxa" w:w="25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Timing</w:t>
            </w:r>
          </w:p>
        </w:tc>
      </w:tr>
      <w:tr>
        <w:tc>
          <w:tcPr>
            <w:tcW w:type="dxa" w:w="46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Phase 1 — Estimating core (to go-live)</w:t>
            </w:r>
          </w:p>
        </w:tc>
        <w:tc>
          <w:tcPr>
            <w:tcW w:type="dxa" w:w="2500"/>
            <w:tcMar>
              <w:top w:type="dxa" w:w="60"/>
              <w:left w:type="dxa" w:w="90"/>
              <w:bottom w:type="dxa" w:w="60"/>
              <w:right w:type="dxa" w:w="90"/>
            </w:tcMar>
            <w:vAlign w:val="center"/>
          </w:tcPr>
          <w:p>
            <w:pPr>
              <w:spacing w:after="20" w:line="240"/>
              <w:jc w:val="center"/>
            </w:pPr>
            <w:r>
              <w:rPr>
                <w:rFonts w:ascii="Calibri" w:cs="Calibri" w:eastAsia="Calibri" w:hAnsi="Calibri"/>
                <w:b/>
                <w:bCs/>
                <w:color w:val="1A1A1A"/>
                <w:sz w:val="18"/>
                <w:szCs w:val="18"/>
              </w:rPr>
              <w:t xml:space="preserve">≈ 151</w:t>
            </w:r>
          </w:p>
        </w:tc>
        <w:tc>
          <w:tcPr>
            <w:tcW w:type="dxa" w:w="25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Aug – mid-Nov 2026</w:t>
            </w:r>
          </w:p>
        </w:tc>
      </w:tr>
      <w:tr>
        <w:tc>
          <w:tcPr>
            <w:tcW w:type="dxa" w:w="46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Phase 2 — Delivery, procurement &amp; reporting</w:t>
            </w:r>
          </w:p>
        </w:tc>
        <w:tc>
          <w:tcPr>
            <w:tcW w:type="dxa" w:w="25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 62</w:t>
            </w:r>
          </w:p>
        </w:tc>
        <w:tc>
          <w:tcPr>
            <w:tcW w:type="dxa" w:w="25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Post go-live</w:t>
            </w:r>
          </w:p>
        </w:tc>
      </w:tr>
      <w:tr>
        <w:tc>
          <w:tcPr>
            <w:tcW w:type="dxa" w:w="46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Total (Phase 1 + Phase 2)</w:t>
            </w:r>
          </w:p>
        </w:tc>
        <w:tc>
          <w:tcPr>
            <w:tcW w:type="dxa" w:w="2500"/>
            <w:tcMar>
              <w:top w:type="dxa" w:w="60"/>
              <w:left w:type="dxa" w:w="90"/>
              <w:bottom w:type="dxa" w:w="60"/>
              <w:right w:type="dxa" w:w="90"/>
            </w:tcMar>
            <w:vAlign w:val="center"/>
          </w:tcPr>
          <w:p>
            <w:pPr>
              <w:spacing w:after="20" w:line="240"/>
              <w:jc w:val="center"/>
            </w:pPr>
            <w:r>
              <w:rPr>
                <w:rFonts w:ascii="Calibri" w:cs="Calibri" w:eastAsia="Calibri" w:hAnsi="Calibri"/>
                <w:b/>
                <w:bCs/>
                <w:color w:val="8E1B2E"/>
                <w:sz w:val="18"/>
                <w:szCs w:val="18"/>
              </w:rPr>
              <w:t xml:space="preserve">≈ 213</w:t>
            </w:r>
          </w:p>
        </w:tc>
        <w:tc>
          <w:tcPr>
            <w:tcW w:type="dxa" w:w="25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w:t>
            </w:r>
          </w:p>
        </w:tc>
      </w:tr>
    </w:tbl>
    <w:p>
      <w:pPr>
        <w:spacing w:after="120" w:line="276"/>
      </w:pPr>
      <w:r>
        <w:rPr>
          <w:rFonts w:ascii="Calibri" w:cs="Calibri" w:eastAsia="Calibri" w:hAnsi="Calibri"/>
        </w:rPr>
        <w:t xml:space="preserve">At ~151 person-days across ~14 working weeks, Phase 1 requires a dedicated team of </w:t>
      </w:r>
      <w:r>
        <w:rPr>
          <w:rFonts w:ascii="Calibri" w:cs="Calibri" w:eastAsia="Calibri" w:hAnsi="Calibri"/>
          <w:b/>
          <w:bCs/>
        </w:rPr>
        <w:t xml:space="preserve">2–3 people</w:t>
      </w:r>
      <w:r>
        <w:rPr>
          <w:rFonts w:ascii="Calibri" w:cs="Calibri" w:eastAsia="Calibri" w:hAnsi="Calibri"/>
        </w:rPr>
        <w:t xml:space="preserve"> (developers plus part-time QA/PM). A single developer cannot hit mid-November; that is the arithmetic, not pessimism.</w:t>
      </w:r>
    </w:p>
    <w:p>
      <w:pPr>
        <w:spacing w:after="80" w:before="200"/>
      </w:pPr>
      <w:r>
        <w:rPr>
          <w:rFonts w:ascii="Calibri" w:cs="Calibri" w:eastAsia="Calibri" w:hAnsi="Calibri"/>
          <w:b/>
          <w:bCs/>
          <w:color w:val="1F3A63"/>
          <w:sz w:val="22"/>
          <w:szCs w:val="22"/>
        </w:rPr>
        <w:t xml:space="preserve">Milestones</w:t>
      </w:r>
    </w:p>
    <w:tbl>
      <w:tblPr>
        <w:tblW w:type="dxa" w:w="9600"/>
        <w:tblBorders>
          <w:top w:val="single" w:color="C9CED6" w:sz="2"/>
          <w:left w:val="none"/>
          <w:bottom w:val="single" w:color="C9CED6" w:sz="2"/>
          <w:right w:val="none"/>
          <w:insideH w:val="single" w:color="D8DCE3" w:sz="2"/>
          <w:insideV w:val="single" w:color="E4E8ED" w:sz="2"/>
        </w:tblBorders>
      </w:tblPr>
      <w:tblGrid>
        <w:gridCol w:w="1400"/>
        <w:gridCol w:w="3200"/>
        <w:gridCol w:w="5000"/>
      </w:tblGrid>
      <w:tr>
        <w:trPr>
          <w:tblHeader/>
        </w:trPr>
        <w:tc>
          <w:tcPr>
            <w:tcW w:type="dxa" w:w="1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Milestone</w:t>
            </w:r>
          </w:p>
        </w:tc>
        <w:tc>
          <w:tcPr>
            <w:tcW w:type="dxa" w:w="32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Target</w:t>
            </w:r>
          </w:p>
        </w:tc>
        <w:tc>
          <w:tcPr>
            <w:tcW w:type="dxa" w:w="50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Definition of done</w:t>
            </w:r>
          </w:p>
        </w:tc>
      </w:tr>
      <w:tr>
        <w:tc>
          <w:tcPr>
            <w:tcW w:type="dxa" w:w="1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M1</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Mid-August</w:t>
            </w:r>
          </w:p>
        </w:tc>
        <w:tc>
          <w:tcPr>
            <w:tcW w:type="dxa" w:w="50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Discovery signed off; Azure environments live; Entra ID SSO + MFA working; database schema deployed.</w:t>
            </w:r>
          </w:p>
        </w:tc>
      </w:tr>
      <w:tr>
        <w:tc>
          <w:tcPr>
            <w:tcW w:type="dxa" w:w="1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M2</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Early September</w:t>
            </w:r>
          </w:p>
        </w:tc>
        <w:tc>
          <w:tcPr>
            <w:tcW w:type="dxa" w:w="5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B1 creation wizard capturing a project end-to-end (demoable), including terrain upload and scaling engine.</w:t>
            </w:r>
          </w:p>
        </w:tc>
      </w:tr>
      <w:tr>
        <w:tc>
          <w:tcPr>
            <w:tcW w:type="dxa" w:w="1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M3</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Mid-September</w:t>
            </w:r>
          </w:p>
        </w:tc>
        <w:tc>
          <w:tcPr>
            <w:tcW w:type="dxa" w:w="50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B2 validation + B2b risk register &amp; named provisions working.</w:t>
            </w:r>
          </w:p>
        </w:tc>
      </w:tr>
      <w:tr>
        <w:tc>
          <w:tcPr>
            <w:tcW w:type="dxa" w:w="1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M4</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Early October</w:t>
            </w:r>
          </w:p>
        </w:tc>
        <w:tc>
          <w:tcPr>
            <w:tcW w:type="dxa" w:w="5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B3 cost engine produces an end-to-end estimate from the rate library.</w:t>
            </w:r>
          </w:p>
        </w:tc>
      </w:tr>
      <w:tr>
        <w:tc>
          <w:tcPr>
            <w:tcW w:type="dxa" w:w="1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M5</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Mid-October</w:t>
            </w:r>
          </w:p>
        </w:tc>
        <w:tc>
          <w:tcPr>
            <w:tcW w:type="dxa" w:w="50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B3 outputs/exports complete (BOQ, summaries, sensitivity, investor 1-pager). Phase 1 feature-complete.</w:t>
            </w:r>
          </w:p>
        </w:tc>
      </w:tr>
      <w:tr>
        <w:tc>
          <w:tcPr>
            <w:tcW w:type="dxa" w:w="1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M6</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Late October</w:t>
            </w:r>
          </w:p>
        </w:tc>
        <w:tc>
          <w:tcPr>
            <w:tcW w:type="dxa" w:w="5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UAT with Ethical Power using the Hessay reference dataset.</w:t>
            </w:r>
          </w:p>
        </w:tc>
      </w:tr>
      <w:tr>
        <w:tc>
          <w:tcPr>
            <w:tcW w:type="dxa" w:w="1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M7</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 14 November</w:t>
            </w:r>
          </w:p>
        </w:tc>
        <w:tc>
          <w:tcPr>
            <w:tcW w:type="dxa" w:w="50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Production go-live of the estimating core.</w:t>
            </w:r>
          </w:p>
        </w:tc>
      </w:tr>
    </w:tbl>
    <w:p>
      <w:pPr>
        <w:spacing w:after="80" w:before="200"/>
      </w:pPr>
      <w:r>
        <w:rPr>
          <w:rFonts w:ascii="Calibri" w:cs="Calibri" w:eastAsia="Calibri" w:hAnsi="Calibri"/>
          <w:b/>
          <w:bCs/>
          <w:color w:val="1F3A63"/>
          <w:sz w:val="22"/>
          <w:szCs w:val="22"/>
        </w:rPr>
        <w:t xml:space="preserve">Indicative schedule</w:t>
      </w:r>
    </w:p>
    <w:tbl>
      <w:tblPr>
        <w:tblW w:type="dxa" w:w="9600"/>
        <w:tblBorders>
          <w:top w:val="single" w:color="C9CED6" w:sz="2"/>
          <w:left w:val="none"/>
          <w:bottom w:val="single" w:color="C9CED6" w:sz="2"/>
          <w:right w:val="none"/>
          <w:insideH w:val="single" w:color="D8DCE3" w:sz="2"/>
          <w:insideV w:val="single" w:color="E4E8ED" w:sz="2"/>
        </w:tblBorders>
      </w:tblPr>
      <w:tblGrid>
        <w:gridCol w:w="2400"/>
        <w:gridCol w:w="4400"/>
        <w:gridCol w:w="2800"/>
      </w:tblGrid>
      <w:tr>
        <w:trPr>
          <w:tblHeader/>
        </w:trPr>
        <w:tc>
          <w:tcPr>
            <w:tcW w:type="dxa" w:w="2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Window</w:t>
            </w:r>
          </w:p>
        </w:tc>
        <w:tc>
          <w:tcPr>
            <w:tcW w:type="dxa" w:w="4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Focus</w:t>
            </w:r>
          </w:p>
        </w:tc>
        <w:tc>
          <w:tcPr>
            <w:tcW w:type="dxa" w:w="28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Modules</w:t>
            </w:r>
          </w:p>
        </w:tc>
      </w:tr>
      <w:tr>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W/c 4 Aug</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Discovery, requirements &amp; rate-data handover; environment stand-up.</w:t>
            </w:r>
          </w:p>
        </w:tc>
        <w:tc>
          <w:tcPr>
            <w:tcW w:type="dxa" w:w="2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Foundation</w:t>
            </w:r>
          </w:p>
        </w:tc>
      </w:tr>
      <w:tr>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Aug</w:t>
            </w:r>
          </w:p>
        </w:tc>
        <w:tc>
          <w:tcPr>
            <w:tcW w:type="dxa" w:w="4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Azure infra, CI/CD, DB, auth (Entra + MFA), RBAC, app skeleton.</w:t>
            </w:r>
          </w:p>
        </w:tc>
        <w:tc>
          <w:tcPr>
            <w:tcW w:type="dxa" w:w="2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Foundation</w:t>
            </w:r>
          </w:p>
        </w:tc>
      </w:tr>
      <w:tr>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Late Aug – Sep</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Creation wizard, terrain/3D viewer, scaling engine, PVcase import.</w:t>
            </w:r>
          </w:p>
        </w:tc>
        <w:tc>
          <w:tcPr>
            <w:tcW w:type="dxa" w:w="2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B1</w:t>
            </w:r>
          </w:p>
        </w:tc>
      </w:tr>
      <w:tr>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Sep</w:t>
            </w:r>
          </w:p>
        </w:tc>
        <w:tc>
          <w:tcPr>
            <w:tcW w:type="dxa" w:w="4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Validation &amp; sign-off; risk register &amp; provisions.</w:t>
            </w:r>
          </w:p>
        </w:tc>
        <w:tc>
          <w:tcPr>
            <w:tcW w:type="dxa" w:w="2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B2, B2b</w:t>
            </w:r>
          </w:p>
        </w:tc>
      </w:tr>
      <w:tr>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Sep – Oct</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Cost engine, rate-library admin, free-issue logic, build-up.</w:t>
            </w:r>
          </w:p>
        </w:tc>
        <w:tc>
          <w:tcPr>
            <w:tcW w:type="dxa" w:w="2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B3</w:t>
            </w:r>
          </w:p>
        </w:tc>
      </w:tr>
      <w:tr>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Oct</w:t>
            </w:r>
          </w:p>
        </w:tc>
        <w:tc>
          <w:tcPr>
            <w:tcW w:type="dxa" w:w="4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Outputs/exports; essential reporting.</w:t>
            </w:r>
          </w:p>
        </w:tc>
        <w:tc>
          <w:tcPr>
            <w:tcW w:type="dxa" w:w="2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B3, B7 (essential)</w:t>
            </w:r>
          </w:p>
        </w:tc>
      </w:tr>
      <w:tr>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Late Oct</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System test + UAT (Hessay reference project).</w:t>
            </w:r>
          </w:p>
        </w:tc>
        <w:tc>
          <w:tcPr>
            <w:tcW w:type="dxa" w:w="2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All Phase 1</w:t>
            </w:r>
          </w:p>
        </w:tc>
      </w:tr>
      <w:tr>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Early Nov</w:t>
            </w:r>
          </w:p>
        </w:tc>
        <w:tc>
          <w:tcPr>
            <w:tcW w:type="dxa" w:w="4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Fixes, security review, performance, data load.</w:t>
            </w:r>
          </w:p>
        </w:tc>
        <w:tc>
          <w:tcPr>
            <w:tcW w:type="dxa" w:w="2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All Phase 1</w:t>
            </w:r>
          </w:p>
        </w:tc>
      </w:tr>
      <w:tr>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 14 Nov</w:t>
            </w:r>
          </w:p>
        </w:tc>
        <w:tc>
          <w:tcPr>
            <w:tcW w:type="dxa" w:w="4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Production go-live.</w:t>
            </w:r>
          </w:p>
        </w:tc>
        <w:tc>
          <w:tcPr>
            <w:tcW w:type="dxa" w:w="2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Go-live</w:t>
            </w:r>
          </w:p>
        </w:tc>
      </w:tr>
    </w:tbl>
    <w:p>
      <w:pPr>
        <w:spacing w:after="80" w:before="200"/>
      </w:pPr>
      <w:r>
        <w:rPr>
          <w:rFonts w:ascii="Calibri" w:cs="Calibri" w:eastAsia="Calibri" w:hAnsi="Calibri"/>
          <w:b/>
          <w:bCs/>
          <w:color w:val="1F3A63"/>
          <w:sz w:val="22"/>
          <w:szCs w:val="22"/>
        </w:rPr>
        <w:t xml:space="preserve">Assumptions &amp; dependencies that protect the date</w:t>
      </w:r>
    </w:p>
    <w:p>
      <w:pPr>
        <w:pStyle w:val="ListParagraph"/>
        <w:numPr>
          <w:ilvl w:val="0"/>
          <w:numId w:val="2"/>
        </w:numPr>
        <w:spacing w:after="60"/>
      </w:pPr>
      <w:r>
        <w:rPr>
          <w:rFonts w:ascii="Calibri" w:cs="Calibri" w:eastAsia="Calibri" w:hAnsi="Calibri"/>
          <w:b/>
          <w:bCs/>
        </w:rPr>
        <w:t xml:space="preserve">Dedicated team of 2–3</w:t>
      </w:r>
      <w:r>
        <w:rPr>
          <w:rFonts w:ascii="Calibri" w:cs="Calibri" w:eastAsia="Calibri" w:hAnsi="Calibri"/>
        </w:rPr>
        <w:t xml:space="preserve"> available for the full Phase 1 window.</w:t>
      </w:r>
    </w:p>
    <w:p>
      <w:pPr>
        <w:pStyle w:val="ListParagraph"/>
        <w:numPr>
          <w:ilvl w:val="0"/>
          <w:numId w:val="2"/>
        </w:numPr>
        <w:spacing w:after="60"/>
      </w:pPr>
      <w:r>
        <w:rPr>
          <w:rFonts w:ascii="Calibri" w:cs="Calibri" w:eastAsia="Calibri" w:hAnsi="Calibri"/>
          <w:b/>
          <w:bCs/>
        </w:rPr>
        <w:t xml:space="preserve">Rate library data</w:t>
      </w:r>
      <w:r>
        <w:rPr>
          <w:rFonts w:ascii="Calibri" w:cs="Calibri" w:eastAsia="Calibri" w:hAnsi="Calibri"/>
        </w:rPr>
        <w:t xml:space="preserve"> supplied by Ethical Power’s QS/procurement team by end of August. Late data pushes M4 and the go-live.</w:t>
      </w:r>
    </w:p>
    <w:p>
      <w:pPr>
        <w:pStyle w:val="ListParagraph"/>
        <w:numPr>
          <w:ilvl w:val="0"/>
          <w:numId w:val="2"/>
        </w:numPr>
        <w:spacing w:after="60"/>
      </w:pPr>
      <w:r>
        <w:rPr>
          <w:rFonts w:ascii="Calibri" w:cs="Calibri" w:eastAsia="Calibri" w:hAnsi="Calibri"/>
          <w:b/>
          <w:bCs/>
        </w:rPr>
        <w:t xml:space="preserve">Scope freeze for Phase 1</w:t>
      </w:r>
      <w:r>
        <w:rPr>
          <w:rFonts w:ascii="Calibri" w:cs="Calibri" w:eastAsia="Calibri" w:hAnsi="Calibri"/>
        </w:rPr>
        <w:t xml:space="preserve"> at the modules listed. Pulling B4/B5/B6 forward moves the date.</w:t>
      </w:r>
    </w:p>
    <w:p>
      <w:pPr>
        <w:pStyle w:val="ListParagraph"/>
        <w:numPr>
          <w:ilvl w:val="0"/>
          <w:numId w:val="2"/>
        </w:numPr>
        <w:spacing w:after="60"/>
      </w:pPr>
      <w:r>
        <w:rPr>
          <w:rFonts w:ascii="Calibri" w:cs="Calibri" w:eastAsia="Calibri" w:hAnsi="Calibri"/>
          <w:b/>
          <w:bCs/>
        </w:rPr>
        <w:t xml:space="preserve">Ethical Power provides</w:t>
      </w:r>
      <w:r>
        <w:rPr>
          <w:rFonts w:ascii="Calibri" w:cs="Calibri" w:eastAsia="Calibri" w:hAnsi="Calibri"/>
        </w:rPr>
        <w:t xml:space="preserve">: Entra tenant cooperation for app federation; a nominated product owner for weekly reviews/UAT; the Hessay dataset as the reference test project; and any third-party licences (PVcase, Google Maps Platform).</w:t>
      </w:r>
    </w:p>
    <w:p>
      <w:pPr>
        <w:pStyle w:val="ListParagraph"/>
        <w:numPr>
          <w:ilvl w:val="0"/>
          <w:numId w:val="2"/>
        </w:numPr>
        <w:spacing w:after="60"/>
      </w:pPr>
      <w:r>
        <w:rPr>
          <w:rFonts w:ascii="Calibri" w:cs="Calibri" w:eastAsia="Calibri" w:hAnsi="Calibri"/>
          <w:b/>
          <w:bCs/>
        </w:rPr>
        <w:t xml:space="preserve">Design decisions</w:t>
      </w:r>
      <w:r>
        <w:rPr>
          <w:rFonts w:ascii="Calibri" w:cs="Calibri" w:eastAsia="Calibri" w:hAnsi="Calibri"/>
        </w:rPr>
        <w:t xml:space="preserve"> (branding, output templates) confirmed during discovery (Sprint 0).</w:t>
      </w:r>
    </w:p>
    <w:p>
      <w:pPr>
        <w:spacing w:after="80" w:before="200"/>
      </w:pPr>
      <w:r>
        <w:rPr>
          <w:rFonts w:ascii="Calibri" w:cs="Calibri" w:eastAsia="Calibri" w:hAnsi="Calibri"/>
          <w:b/>
          <w:bCs/>
          <w:color w:val="1F3A63"/>
          <w:sz w:val="22"/>
          <w:szCs w:val="22"/>
        </w:rPr>
        <w:t xml:space="preserve">Risks to the date</w:t>
      </w:r>
    </w:p>
    <w:tbl>
      <w:tblPr>
        <w:tblW w:type="dxa" w:w="9600"/>
        <w:tblBorders>
          <w:top w:val="single" w:color="C9CED6" w:sz="2"/>
          <w:left w:val="none"/>
          <w:bottom w:val="single" w:color="C9CED6" w:sz="2"/>
          <w:right w:val="none"/>
          <w:insideH w:val="single" w:color="D8DCE3" w:sz="2"/>
          <w:insideV w:val="single" w:color="E4E8ED" w:sz="2"/>
        </w:tblBorders>
      </w:tblPr>
      <w:tblGrid>
        <w:gridCol w:w="4600"/>
        <w:gridCol w:w="1500"/>
        <w:gridCol w:w="3500"/>
      </w:tblGrid>
      <w:tr>
        <w:trPr>
          <w:tblHeader/>
        </w:trPr>
        <w:tc>
          <w:tcPr>
            <w:tcW w:type="dxa" w:w="4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Risk</w:t>
            </w:r>
          </w:p>
        </w:tc>
        <w:tc>
          <w:tcPr>
            <w:tcW w:type="dxa" w:w="15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Severity</w:t>
            </w:r>
          </w:p>
        </w:tc>
        <w:tc>
          <w:tcPr>
            <w:tcW w:type="dxa" w:w="35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Mitigation</w:t>
            </w:r>
          </w:p>
        </w:tc>
      </w:tr>
      <w:tr>
        <w:tc>
          <w:tcPr>
            <w:tcW w:type="dxa" w:w="46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Rate data supplied late</w:t>
            </w:r>
          </w:p>
        </w:tc>
        <w:tc>
          <w:tcPr>
            <w:tcW w:type="dxa" w:w="1500"/>
            <w:tcMar>
              <w:top w:type="dxa" w:w="60"/>
              <w:left w:type="dxa" w:w="90"/>
              <w:bottom w:type="dxa" w:w="60"/>
              <w:right w:type="dxa" w:w="90"/>
            </w:tcMar>
            <w:vAlign w:val="center"/>
          </w:tcPr>
          <w:p>
            <w:pPr>
              <w:spacing w:after="20" w:line="240"/>
              <w:jc w:val="center"/>
            </w:pPr>
            <w:r>
              <w:rPr>
                <w:rFonts w:ascii="Calibri" w:cs="Calibri" w:eastAsia="Calibri" w:hAnsi="Calibri"/>
                <w:b/>
                <w:bCs/>
                <w:color w:val="8E1B2E"/>
                <w:sz w:val="18"/>
                <w:szCs w:val="18"/>
              </w:rPr>
              <w:t xml:space="preserve">High</w:t>
            </w:r>
          </w:p>
        </w:tc>
        <w:tc>
          <w:tcPr>
            <w:tcW w:type="dxa" w:w="35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Fix a data-handover deadline in the contract; build against placeholder rates in parallel.</w:t>
            </w:r>
          </w:p>
        </w:tc>
      </w:tr>
      <w:tr>
        <w:tc>
          <w:tcPr>
            <w:tcW w:type="dxa" w:w="46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Scope creep (Phase 2 pulled into Phase 1)</w:t>
            </w:r>
          </w:p>
        </w:tc>
        <w:tc>
          <w:tcPr>
            <w:tcW w:type="dxa" w:w="15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bCs/>
                <w:color w:val="8E1B2E"/>
                <w:sz w:val="18"/>
                <w:szCs w:val="18"/>
              </w:rPr>
              <w:t xml:space="preserve">High</w:t>
            </w:r>
          </w:p>
        </w:tc>
        <w:tc>
          <w:tcPr>
            <w:tcW w:type="dxa" w:w="35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Written scope freeze; change control for anything outside B1–B3.</w:t>
            </w:r>
          </w:p>
        </w:tc>
      </w:tr>
      <w:tr>
        <w:tc>
          <w:tcPr>
            <w:tcW w:type="dxa" w:w="46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Terrain 3D / PVcase parsing complexity</w:t>
            </w:r>
          </w:p>
        </w:tc>
        <w:tc>
          <w:tcPr>
            <w:tcW w:type="dxa" w:w="1500"/>
            <w:tcMar>
              <w:top w:type="dxa" w:w="60"/>
              <w:left w:type="dxa" w:w="90"/>
              <w:bottom w:type="dxa" w:w="60"/>
              <w:right w:type="dxa" w:w="90"/>
            </w:tcMar>
            <w:vAlign w:val="center"/>
          </w:tcPr>
          <w:p>
            <w:pPr>
              <w:spacing w:after="20" w:line="240"/>
              <w:jc w:val="center"/>
            </w:pPr>
            <w:r>
              <w:rPr>
                <w:rFonts w:ascii="Calibri" w:cs="Calibri" w:eastAsia="Calibri" w:hAnsi="Calibri"/>
                <w:b/>
                <w:bCs/>
                <w:color w:val="B8860B"/>
                <w:sz w:val="18"/>
                <w:szCs w:val="18"/>
              </w:rPr>
              <w:t xml:space="preserve">Medium</w:t>
            </w:r>
          </w:p>
        </w:tc>
        <w:tc>
          <w:tcPr>
            <w:tcW w:type="dxa" w:w="35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Reuse existing 3D viewer; time-box; manual-entry fallback already in the design.</w:t>
            </w:r>
          </w:p>
        </w:tc>
      </w:tr>
      <w:tr>
        <w:tc>
          <w:tcPr>
            <w:tcW w:type="dxa" w:w="46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Third-party API licensing lead time</w:t>
            </w:r>
          </w:p>
        </w:tc>
        <w:tc>
          <w:tcPr>
            <w:tcW w:type="dxa" w:w="15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bCs/>
                <w:color w:val="B8860B"/>
                <w:sz w:val="18"/>
                <w:szCs w:val="18"/>
              </w:rPr>
              <w:t xml:space="preserve">Medium</w:t>
            </w:r>
          </w:p>
        </w:tc>
        <w:tc>
          <w:tcPr>
            <w:tcW w:type="dxa" w:w="35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Order PVcase / Google Maps Platform keys in Sprint 0.</w:t>
            </w:r>
          </w:p>
        </w:tc>
      </w:tr>
      <w:tr>
        <w:tc>
          <w:tcPr>
            <w:tcW w:type="dxa" w:w="46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Key-person illness (thin team)</w:t>
            </w:r>
          </w:p>
        </w:tc>
        <w:tc>
          <w:tcPr>
            <w:tcW w:type="dxa" w:w="1500"/>
            <w:tcMar>
              <w:top w:type="dxa" w:w="60"/>
              <w:left w:type="dxa" w:w="90"/>
              <w:bottom w:type="dxa" w:w="60"/>
              <w:right w:type="dxa" w:w="90"/>
            </w:tcMar>
            <w:vAlign w:val="center"/>
          </w:tcPr>
          <w:p>
            <w:pPr>
              <w:spacing w:after="20" w:line="240"/>
              <w:jc w:val="center"/>
            </w:pPr>
            <w:r>
              <w:rPr>
                <w:rFonts w:ascii="Calibri" w:cs="Calibri" w:eastAsia="Calibri" w:hAnsi="Calibri"/>
                <w:b/>
                <w:bCs/>
                <w:color w:val="B8860B"/>
                <w:sz w:val="18"/>
                <w:szCs w:val="18"/>
              </w:rPr>
              <w:t xml:space="preserve">Medium</w:t>
            </w:r>
          </w:p>
        </w:tc>
        <w:tc>
          <w:tcPr>
            <w:tcW w:type="dxa" w:w="35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Team of 2–3 rather than a lone developer; documented code and CI.</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4  </w:t>
      </w:r>
      <w:r>
        <w:rPr>
          <w:rFonts w:ascii="Calibri" w:cs="Calibri" w:eastAsia="Calibri" w:hAnsi="Calibri"/>
          <w:b/>
          <w:bCs/>
          <w:color w:val="16305A"/>
          <w:sz w:val="26"/>
          <w:szCs w:val="26"/>
        </w:rPr>
        <w:t xml:space="preserve">Infrastructure — Microsoft Azure hosting</w:t>
      </w:r>
    </w:p>
    <w:p>
      <w:pPr>
        <w:spacing w:after="120" w:line="276"/>
      </w:pPr>
      <w:r>
        <w:rPr>
          <w:rFonts w:ascii="Calibri" w:cs="Calibri" w:eastAsia="Calibri" w:hAnsi="Calibri"/>
        </w:rPr>
        <w:t xml:space="preserve">The platform is hosted in a </w:t>
      </w:r>
      <w:r>
        <w:rPr>
          <w:rFonts w:ascii="Calibri" w:cs="Calibri" w:eastAsia="Calibri" w:hAnsi="Calibri"/>
          <w:b/>
          <w:bCs/>
        </w:rPr>
        <w:t xml:space="preserve">Coreproma-managed Microsoft Azure subscription</w:t>
      </w:r>
      <w:r>
        <w:rPr>
          <w:rFonts w:ascii="Calibri" w:cs="Calibri" w:eastAsia="Calibri" w:hAnsi="Calibri"/>
        </w:rPr>
        <w:t xml:space="preserve">. Coreproma provisions, secures, monitors and operates the environment; Azure consumption is re-billed to Ethical Power (see Section 10). This keeps operational control with Coreproma while giving Ethical Power a clean, single monthly hosting cost.</w:t>
      </w:r>
    </w:p>
    <w:p>
      <w:pPr>
        <w:spacing w:after="80" w:before="200"/>
      </w:pPr>
      <w:r>
        <w:rPr>
          <w:rFonts w:ascii="Calibri" w:cs="Calibri" w:eastAsia="Calibri" w:hAnsi="Calibri"/>
          <w:b/>
          <w:bCs/>
          <w:color w:val="1F3A63"/>
          <w:sz w:val="22"/>
          <w:szCs w:val="22"/>
        </w:rPr>
        <w:t xml:space="preserve">Core Azure components</w:t>
      </w:r>
    </w:p>
    <w:tbl>
      <w:tblPr>
        <w:tblW w:type="dxa" w:w="9600"/>
        <w:tblBorders>
          <w:top w:val="single" w:color="C9CED6" w:sz="2"/>
          <w:left w:val="none"/>
          <w:bottom w:val="single" w:color="C9CED6" w:sz="2"/>
          <w:right w:val="none"/>
          <w:insideH w:val="single" w:color="D8DCE3" w:sz="2"/>
          <w:insideV w:val="single" w:color="E4E8ED" w:sz="2"/>
        </w:tblBorders>
      </w:tblPr>
      <w:tblGrid>
        <w:gridCol w:w="2900"/>
        <w:gridCol w:w="4900"/>
        <w:gridCol w:w="1800"/>
      </w:tblGrid>
      <w:tr>
        <w:trPr>
          <w:tblHeader/>
        </w:trPr>
        <w:tc>
          <w:tcPr>
            <w:tcW w:type="dxa" w:w="29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Component</w:t>
            </w:r>
          </w:p>
        </w:tc>
        <w:tc>
          <w:tcPr>
            <w:tcW w:type="dxa" w:w="49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Role in the platform</w:t>
            </w:r>
          </w:p>
        </w:tc>
        <w:tc>
          <w:tcPr>
            <w:tcW w:type="dxa" w:w="18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Azure service</w:t>
            </w:r>
          </w:p>
        </w:tc>
      </w:tr>
      <w:tr>
        <w:tc>
          <w:tcPr>
            <w:tcW w:type="dxa" w:w="2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Web &amp; API application</w:t>
            </w:r>
          </w:p>
        </w:tc>
        <w:tc>
          <w:tcPr>
            <w:tcW w:type="dxa" w:w="4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Hosts the wizard front-end and the application/API tier.</w:t>
            </w:r>
          </w:p>
        </w:tc>
        <w:tc>
          <w:tcPr>
            <w:tcW w:type="dxa" w:w="1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App Service (Linux), with staging slot</w:t>
            </w:r>
          </w:p>
        </w:tc>
      </w:tr>
      <w:tr>
        <w:tc>
          <w:tcPr>
            <w:tcW w:type="dxa" w:w="2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Relational database</w:t>
            </w:r>
          </w:p>
        </w:tc>
        <w:tc>
          <w:tcPr>
            <w:tcW w:type="dxa" w:w="4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Rate library, project records, risk register, revisions — the schema already designed for the platform.</w:t>
            </w:r>
          </w:p>
        </w:tc>
        <w:tc>
          <w:tcPr>
            <w:tcW w:type="dxa" w:w="1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Azure Database for PostgreSQL (Flexible Server)</w:t>
            </w:r>
          </w:p>
        </w:tc>
      </w:tr>
      <w:tr>
        <w:tc>
          <w:tcPr>
            <w:tcW w:type="dxa" w:w="2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File storage</w:t>
            </w:r>
          </w:p>
        </w:tc>
        <w:tc>
          <w:tcPr>
            <w:tcW w:type="dxa" w:w="4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Uploads (GEOALT, PVcase) and generated outputs (BOQ, PDF, Excel).</w:t>
            </w:r>
          </w:p>
        </w:tc>
        <w:tc>
          <w:tcPr>
            <w:tcW w:type="dxa" w:w="1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Storage Account — Blob</w:t>
            </w:r>
          </w:p>
        </w:tc>
      </w:tr>
      <w:tr>
        <w:tc>
          <w:tcPr>
            <w:tcW w:type="dxa" w:w="2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Background task queues</w:t>
            </w:r>
          </w:p>
        </w:tc>
        <w:tc>
          <w:tcPr>
            <w:tcW w:type="dxa" w:w="4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Asynchronous jobs: terrain parsing &amp; stats, PVcase import, BOQ/PDF/Excel generation, report compilation, notifications.</w:t>
            </w:r>
          </w:p>
        </w:tc>
        <w:tc>
          <w:tcPr>
            <w:tcW w:type="dxa" w:w="1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Storage Account — Queues + queue-triggered workers (Azure Functions / container job)</w:t>
            </w:r>
          </w:p>
        </w:tc>
      </w:tr>
      <w:tr>
        <w:tc>
          <w:tcPr>
            <w:tcW w:type="dxa" w:w="2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Secrets</w:t>
            </w:r>
          </w:p>
        </w:tc>
        <w:tc>
          <w:tcPr>
            <w:tcW w:type="dxa" w:w="4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Connection strings, API keys, certificates.</w:t>
            </w:r>
          </w:p>
        </w:tc>
        <w:tc>
          <w:tcPr>
            <w:tcW w:type="dxa" w:w="1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Azure Key Vault</w:t>
            </w:r>
          </w:p>
        </w:tc>
      </w:tr>
      <w:tr>
        <w:tc>
          <w:tcPr>
            <w:tcW w:type="dxa" w:w="2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Monitoring &amp; logs</w:t>
            </w:r>
          </w:p>
        </w:tc>
        <w:tc>
          <w:tcPr>
            <w:tcW w:type="dxa" w:w="4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Uptime, performance, error tracking, audit.</w:t>
            </w:r>
          </w:p>
        </w:tc>
        <w:tc>
          <w:tcPr>
            <w:tcW w:type="dxa" w:w="18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Application Insights + Log Analytics</w:t>
            </w:r>
          </w:p>
        </w:tc>
      </w:tr>
      <w:tr>
        <w:tc>
          <w:tcPr>
            <w:tcW w:type="dxa" w:w="2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Identity</w:t>
            </w:r>
          </w:p>
        </w:tc>
        <w:tc>
          <w:tcPr>
            <w:tcW w:type="dxa" w:w="4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Sign-in and access control (see Section 5).</w:t>
            </w:r>
          </w:p>
        </w:tc>
        <w:tc>
          <w:tcPr>
            <w:tcW w:type="dxa" w:w="18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Microsoft Entra ID</w:t>
            </w:r>
          </w:p>
        </w:tc>
      </w:tr>
    </w:tbl>
    <w:p>
      <w:pPr>
        <w:spacing w:after="80" w:before="200"/>
      </w:pPr>
      <w:r>
        <w:rPr>
          <w:rFonts w:ascii="Calibri" w:cs="Calibri" w:eastAsia="Calibri" w:hAnsi="Calibri"/>
          <w:b/>
          <w:bCs/>
          <w:color w:val="1F3A63"/>
          <w:sz w:val="22"/>
          <w:szCs w:val="22"/>
        </w:rPr>
        <w:t xml:space="preserve">Why storage-account queues matter here</w:t>
      </w:r>
    </w:p>
    <w:p>
      <w:pPr>
        <w:spacing w:after="120" w:line="276"/>
      </w:pPr>
      <w:r>
        <w:rPr>
          <w:rFonts w:ascii="Calibri" w:cs="Calibri" w:eastAsia="Calibri" w:hAnsi="Calibri"/>
        </w:rPr>
        <w:t xml:space="preserve">Several operations in the platform are too slow to run inside a web request — parsing a large GEOALT terrain file, importing a PVcase design, and generating a full BOQ as Excel and PDF. These are placed on a queue and handled by background workers, so the user interface stays responsive and heavy jobs are retried safely if they fail. This is the specific reason the design calls for Storage Account queues rather than doing everything in-process.</w:t>
      </w:r>
    </w:p>
    <w:p>
      <w:pPr>
        <w:spacing w:after="80" w:before="200"/>
      </w:pPr>
      <w:r>
        <w:rPr>
          <w:rFonts w:ascii="Calibri" w:cs="Calibri" w:eastAsia="Calibri" w:hAnsi="Calibri"/>
          <w:b/>
          <w:bCs/>
          <w:color w:val="1F3A63"/>
          <w:sz w:val="22"/>
          <w:szCs w:val="22"/>
        </w:rPr>
        <w:t xml:space="preserve">Environments, region, resilience</w:t>
      </w:r>
    </w:p>
    <w:p>
      <w:pPr>
        <w:pStyle w:val="ListParagraph"/>
        <w:numPr>
          <w:ilvl w:val="0"/>
          <w:numId w:val="2"/>
        </w:numPr>
        <w:spacing w:after="60"/>
      </w:pPr>
      <w:r>
        <w:rPr>
          <w:rFonts w:ascii="Calibri" w:cs="Calibri" w:eastAsia="Calibri" w:hAnsi="Calibri"/>
          <w:b/>
          <w:bCs/>
        </w:rPr>
        <w:t xml:space="preserve">Environments: </w:t>
      </w:r>
      <w:r>
        <w:rPr>
          <w:rFonts w:ascii="Calibri" w:cs="Calibri" w:eastAsia="Calibri" w:hAnsi="Calibri"/>
        </w:rPr>
        <w:t xml:space="preserve">Dev, Test/UAT and Production, isolated from one another.</w:t>
      </w:r>
    </w:p>
    <w:p>
      <w:pPr>
        <w:pStyle w:val="ListParagraph"/>
        <w:numPr>
          <w:ilvl w:val="0"/>
          <w:numId w:val="2"/>
        </w:numPr>
        <w:spacing w:after="60"/>
      </w:pPr>
      <w:r>
        <w:rPr>
          <w:rFonts w:ascii="Calibri" w:cs="Calibri" w:eastAsia="Calibri" w:hAnsi="Calibri"/>
          <w:b/>
          <w:bCs/>
        </w:rPr>
        <w:t xml:space="preserve">Region: </w:t>
      </w:r>
      <w:r>
        <w:rPr>
          <w:rFonts w:ascii="Calibri" w:cs="Calibri" w:eastAsia="Calibri" w:hAnsi="Calibri"/>
        </w:rPr>
        <w:t xml:space="preserve">UK South (data residency in the United Kingdom).</w:t>
      </w:r>
    </w:p>
    <w:p>
      <w:pPr>
        <w:pStyle w:val="ListParagraph"/>
        <w:numPr>
          <w:ilvl w:val="0"/>
          <w:numId w:val="2"/>
        </w:numPr>
        <w:spacing w:after="60"/>
      </w:pPr>
      <w:r>
        <w:rPr>
          <w:rFonts w:ascii="Calibri" w:cs="Calibri" w:eastAsia="Calibri" w:hAnsi="Calibri"/>
          <w:b/>
          <w:bCs/>
        </w:rPr>
        <w:t xml:space="preserve">Backups &amp; recovery: </w:t>
      </w:r>
      <w:r>
        <w:rPr>
          <w:rFonts w:ascii="Calibri" w:cs="Calibri" w:eastAsia="Calibri" w:hAnsi="Calibri"/>
        </w:rPr>
        <w:t xml:space="preserve">automated PostgreSQL backups with point-in-time restore; redundant storage; documented recovery procedure.</w:t>
      </w:r>
    </w:p>
    <w:p>
      <w:pPr>
        <w:pStyle w:val="ListParagraph"/>
        <w:numPr>
          <w:ilvl w:val="0"/>
          <w:numId w:val="2"/>
        </w:numPr>
        <w:spacing w:after="60"/>
      </w:pPr>
      <w:r>
        <w:rPr>
          <w:rFonts w:ascii="Calibri" w:cs="Calibri" w:eastAsia="Calibri" w:hAnsi="Calibri"/>
          <w:b/>
          <w:bCs/>
        </w:rPr>
        <w:t xml:space="preserve">Scaling: </w:t>
      </w:r>
      <w:r>
        <w:rPr>
          <w:rFonts w:ascii="Calibri" w:cs="Calibri" w:eastAsia="Calibri" w:hAnsi="Calibri"/>
        </w:rPr>
        <w:t xml:space="preserve">App Service plan sized for the expected user base, scalable up as usage grows.</w:t>
      </w:r>
    </w:p>
    <w:tbl>
      <w:tblPr>
        <w:tblW w:type="dxa" w:w="9600"/>
        <w:tblBorders>
          <w:top w:val="single" w:color="F2F4F7" w:sz="2"/>
          <w:left w:val="none"/>
          <w:bottom w:val="single" w:color="F2F4F7" w:sz="2"/>
          <w:right w:val="none"/>
          <w:insideH w:val="none"/>
          <w:insideV w:val="none"/>
        </w:tblBorders>
      </w:tblPr>
      <w:tblGrid>
        <w:gridCol w:w="9600"/>
      </w:tblGrid>
      <w:tr>
        <w:tc>
          <w:tcPr>
            <w:tcW w:type="dxa" w:w="9600"/>
            <w:tcBorders>
              <w:left w:val="single" w:color="16305A" w:sz="24"/>
            </w:tcBorders>
            <w:shd w:fill="F2F4F7" w:color="auto" w:val="clear"/>
            <w:tcMar>
              <w:top w:type="dxa" w:w="120"/>
              <w:left w:type="dxa" w:w="160"/>
              <w:bottom w:type="dxa" w:w="120"/>
              <w:right w:type="dxa" w:w="160"/>
            </w:tcMar>
          </w:tcPr>
          <w:p>
            <w:pPr>
              <w:spacing w:after="40"/>
            </w:pPr>
            <w:r>
              <w:rPr>
                <w:rFonts w:ascii="Calibri" w:cs="Calibri" w:eastAsia="Calibri" w:hAnsi="Calibri"/>
                <w:b/>
                <w:bCs/>
                <w:color w:val="16305A"/>
                <w:sz w:val="19"/>
                <w:szCs w:val="19"/>
              </w:rPr>
              <w:t xml:space="preserve">Hosting cost basis</w:t>
            </w:r>
          </w:p>
          <w:p>
            <w:pPr>
              <w:spacing w:after="40" w:line="264"/>
            </w:pPr>
            <w:r>
              <w:rPr>
                <w:rFonts w:ascii="Calibri" w:cs="Calibri" w:eastAsia="Calibri" w:hAnsi="Calibri"/>
                <w:color w:val="1A1A1A"/>
                <w:sz w:val="18"/>
                <w:szCs w:val="18"/>
              </w:rPr>
              <w:t xml:space="preserve">Azure consumption is a pass-through, billed monthly at cost plus a stated management percentage (or a fixed managed-hosting fee) — figure [TBC] in Section 10. A firm monthly range can be given once the App Service tier, database size and expected data volumes are confirmed at the end of discovery.</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5  </w:t>
      </w:r>
      <w:r>
        <w:rPr>
          <w:rFonts w:ascii="Calibri" w:cs="Calibri" w:eastAsia="Calibri" w:hAnsi="Calibri"/>
          <w:b/>
          <w:bCs/>
          <w:color w:val="16305A"/>
          <w:sz w:val="26"/>
          <w:szCs w:val="26"/>
        </w:rPr>
        <w:t xml:space="preserve">DNS, SSL &amp; identity access</w:t>
      </w:r>
    </w:p>
    <w:p>
      <w:pPr>
        <w:spacing w:after="120" w:line="276"/>
      </w:pPr>
      <w:r>
        <w:rPr>
          <w:rFonts w:ascii="Calibri" w:cs="Calibri" w:eastAsia="Calibri" w:hAnsi="Calibri"/>
        </w:rPr>
        <w:t xml:space="preserve">This section covers how users reach the application (DNS), how the connection is secured (SSL/TLS), and how people sign in through Azure identity (Entra ID). Because hosting is Coreproma-managed but access is through Ethical Power’s corporate identity, the three are configured to work together.</w:t>
      </w:r>
    </w:p>
    <w:p>
      <w:pPr>
        <w:spacing w:after="80" w:before="200"/>
      </w:pPr>
      <w:r>
        <w:rPr>
          <w:rFonts w:ascii="Calibri" w:cs="Calibri" w:eastAsia="Calibri" w:hAnsi="Calibri"/>
          <w:b/>
          <w:bCs/>
          <w:color w:val="1F3A63"/>
          <w:sz w:val="22"/>
          <w:szCs w:val="22"/>
        </w:rPr>
        <w:t xml:space="preserve">DNS — the application address</w:t>
      </w:r>
    </w:p>
    <w:p>
      <w:pPr>
        <w:pStyle w:val="ListParagraph"/>
        <w:numPr>
          <w:ilvl w:val="0"/>
          <w:numId w:val="2"/>
        </w:numPr>
        <w:spacing w:after="60"/>
      </w:pPr>
      <w:r>
        <w:rPr>
          <w:rFonts w:ascii="Calibri" w:cs="Calibri" w:eastAsia="Calibri" w:hAnsi="Calibri"/>
        </w:rPr>
        <w:t xml:space="preserve">A dedicated hostname is published for the application — for example </w:t>
      </w:r>
      <w:r>
        <w:rPr>
          <w:rFonts w:ascii="Calibri" w:cs="Calibri" w:eastAsia="Calibri" w:hAnsi="Calibri"/>
          <w:i/>
          <w:iCs/>
        </w:rPr>
        <w:t xml:space="preserve">app.coreproma.io</w:t>
      </w:r>
      <w:r>
        <w:rPr>
          <w:rFonts w:ascii="Calibri" w:cs="Calibri" w:eastAsia="Calibri" w:hAnsi="Calibri"/>
        </w:rPr>
        <w:t xml:space="preserve"> or a delegated Ethical Power subdomain such as </w:t>
      </w:r>
      <w:r>
        <w:rPr>
          <w:rFonts w:ascii="Calibri" w:cs="Calibri" w:eastAsia="Calibri" w:hAnsi="Calibri"/>
          <w:i/>
          <w:iCs/>
        </w:rPr>
        <w:t xml:space="preserve">coreproma.ethicalpower.com</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DNS records (CNAME/A plus a TXT verification record) point that hostname to the Azure App Service. If Ethical Power prefer their own subdomain, they add one CNAME delegation; Coreproma handles the rest.</w:t>
      </w:r>
    </w:p>
    <w:p>
      <w:pPr>
        <w:pStyle w:val="ListParagraph"/>
        <w:numPr>
          <w:ilvl w:val="0"/>
          <w:numId w:val="2"/>
        </w:numPr>
        <w:spacing w:after="60"/>
      </w:pPr>
      <w:r>
        <w:rPr>
          <w:rFonts w:ascii="Calibri" w:cs="Calibri" w:eastAsia="Calibri" w:hAnsi="Calibri"/>
        </w:rPr>
        <w:t xml:space="preserve">The published hostname is the anchor for everything else: </w:t>
      </w:r>
      <w:r>
        <w:rPr>
          <w:rFonts w:ascii="Calibri" w:cs="Calibri" w:eastAsia="Calibri" w:hAnsi="Calibri"/>
          <w:b/>
          <w:bCs/>
        </w:rPr>
        <w:t xml:space="preserve">it is the address the TLS certificate is issued for and the reply/redirect URL registered with Entra ID</w:t>
      </w:r>
      <w:r>
        <w:rPr>
          <w:rFonts w:ascii="Calibri" w:cs="Calibri" w:eastAsia="Calibri" w:hAnsi="Calibri"/>
        </w:rPr>
        <w:t xml:space="preserve">. In other words, DNS drives the install — the app’s public name is what the certificate and the identity configuration bind to.</w:t>
      </w:r>
    </w:p>
    <w:p>
      <w:pPr>
        <w:spacing w:after="80" w:before="200"/>
      </w:pPr>
      <w:r>
        <w:rPr>
          <w:rFonts w:ascii="Calibri" w:cs="Calibri" w:eastAsia="Calibri" w:hAnsi="Calibri"/>
          <w:b/>
          <w:bCs/>
          <w:color w:val="1F3A63"/>
          <w:sz w:val="22"/>
          <w:szCs w:val="22"/>
        </w:rPr>
        <w:t xml:space="preserve">SSL / TLS — securing the connection</w:t>
      </w:r>
    </w:p>
    <w:p>
      <w:pPr>
        <w:pStyle w:val="ListParagraph"/>
        <w:numPr>
          <w:ilvl w:val="0"/>
          <w:numId w:val="2"/>
        </w:numPr>
        <w:spacing w:after="60"/>
      </w:pPr>
      <w:r>
        <w:rPr>
          <w:rFonts w:ascii="Calibri" w:cs="Calibri" w:eastAsia="Calibri" w:hAnsi="Calibri"/>
        </w:rPr>
        <w:t xml:space="preserve">A managed TLS certificate is issued for the application hostname (App Service Managed Certificate with auto-renewal, or a commercial certificate if Ethical Power prefer).</w:t>
      </w:r>
    </w:p>
    <w:p>
      <w:pPr>
        <w:pStyle w:val="ListParagraph"/>
        <w:numPr>
          <w:ilvl w:val="0"/>
          <w:numId w:val="2"/>
        </w:numPr>
        <w:spacing w:after="60"/>
      </w:pPr>
      <w:r>
        <w:rPr>
          <w:rFonts w:ascii="Calibri" w:cs="Calibri" w:eastAsia="Calibri" w:hAnsi="Calibri"/>
        </w:rPr>
        <w:t xml:space="preserve">HTTPS is enforced (HTTP redirected to HTTPS), TLS 1.2+ only, with HSTS. No unencrypted access to the application.</w:t>
      </w:r>
    </w:p>
    <w:p>
      <w:pPr>
        <w:spacing w:after="80" w:before="200"/>
      </w:pPr>
      <w:r>
        <w:rPr>
          <w:rFonts w:ascii="Calibri" w:cs="Calibri" w:eastAsia="Calibri" w:hAnsi="Calibri"/>
          <w:b/>
          <w:bCs/>
          <w:color w:val="1F3A63"/>
          <w:sz w:val="22"/>
          <w:szCs w:val="22"/>
        </w:rPr>
        <w:t xml:space="preserve">Identity — sign-in through Azure / Entra ID</w:t>
      </w:r>
    </w:p>
    <w:p>
      <w:pPr>
        <w:spacing w:after="120" w:line="276"/>
      </w:pPr>
      <w:r>
        <w:rPr>
          <w:rFonts w:ascii="Calibri" w:cs="Calibri" w:eastAsia="Calibri" w:hAnsi="Calibri"/>
        </w:rPr>
        <w:t xml:space="preserve">Users authenticate with their existing </w:t>
      </w:r>
      <w:r>
        <w:rPr>
          <w:rFonts w:ascii="Calibri" w:cs="Calibri" w:eastAsia="Calibri" w:hAnsi="Calibri"/>
          <w:b/>
          <w:bCs/>
        </w:rPr>
        <w:t xml:space="preserve">Ethical Power corporate Microsoft accounts</w:t>
      </w:r>
      <w:r>
        <w:rPr>
          <w:rFonts w:ascii="Calibri" w:cs="Calibri" w:eastAsia="Calibri" w:hAnsi="Calibri"/>
        </w:rPr>
        <w:t xml:space="preserve"> through Microsoft Entra ID (formerly Azure AD). The application is registered as a multi-tenant / B2B application and surfaced as an enterprise application in Ethical Power’s Entra directory, so Ethical Power’s IT retains full control of who is granted access, and can revoke it centrally. There is no separate username/password store to manage or breach.</w:t>
      </w:r>
    </w:p>
    <w:tbl>
      <w:tblPr>
        <w:tblW w:type="dxa" w:w="9600"/>
        <w:tblBorders>
          <w:top w:val="single" w:color="C9CED6" w:sz="2"/>
          <w:left w:val="none"/>
          <w:bottom w:val="single" w:color="C9CED6" w:sz="2"/>
          <w:right w:val="none"/>
          <w:insideH w:val="single" w:color="D8DCE3" w:sz="2"/>
          <w:insideV w:val="single" w:color="E4E8ED" w:sz="2"/>
        </w:tblBorders>
      </w:tblPr>
      <w:tblGrid>
        <w:gridCol w:w="3200"/>
        <w:gridCol w:w="6400"/>
      </w:tblGrid>
      <w:tr>
        <w:trPr>
          <w:tblHeader/>
        </w:trPr>
        <w:tc>
          <w:tcPr>
            <w:tcW w:type="dxa" w:w="32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Aspect</w:t>
            </w:r>
          </w:p>
        </w:tc>
        <w:tc>
          <w:tcPr>
            <w:tcW w:type="dxa" w:w="6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How it works</w:t>
            </w:r>
          </w:p>
        </w:tc>
      </w:tr>
      <w:tr>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Who can sign in</w:t>
            </w:r>
          </w:p>
        </w:tc>
        <w:tc>
          <w:tcPr>
            <w:tcW w:type="dxa" w:w="6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Only users granted the enterprise application in Ethical Power’s Entra directory. Access is provisioned and de-provisioned by Ethical Power IT.</w:t>
            </w:r>
          </w:p>
        </w:tc>
      </w:tr>
      <w:tr>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Credentials</w:t>
            </w:r>
          </w:p>
        </w:tc>
        <w:tc>
          <w:tcPr>
            <w:tcW w:type="dxa" w:w="6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Ethical Power’s own corporate identities — single sign-on. Coreproma stores no passwords.</w:t>
            </w:r>
          </w:p>
        </w:tc>
      </w:tr>
      <w:tr>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Binding to DNS</w:t>
            </w:r>
          </w:p>
        </w:tc>
        <w:tc>
          <w:tcPr>
            <w:tcW w:type="dxa" w:w="6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The application hostname (DNS) is registered as the redirect URI in the Entra app registration; identity and address are kept in lockstep.</w:t>
            </w:r>
          </w:p>
        </w:tc>
      </w:tr>
      <w:tr>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Control &amp; offboarding</w:t>
            </w:r>
          </w:p>
        </w:tc>
        <w:tc>
          <w:tcPr>
            <w:tcW w:type="dxa" w:w="6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 leaver removed in Ethical Power’s directory loses application access immediately — no separate account clean-up.</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6  </w:t>
      </w:r>
      <w:r>
        <w:rPr>
          <w:rFonts w:ascii="Calibri" w:cs="Calibri" w:eastAsia="Calibri" w:hAnsi="Calibri"/>
          <w:b/>
          <w:bCs/>
          <w:color w:val="16305A"/>
          <w:sz w:val="26"/>
          <w:szCs w:val="26"/>
        </w:rPr>
        <w:t xml:space="preserve">Security — authentication &amp; MFA</w:t>
      </w:r>
    </w:p>
    <w:p>
      <w:pPr>
        <w:spacing w:after="120" w:line="276"/>
      </w:pPr>
      <w:r>
        <w:rPr>
          <w:rFonts w:ascii="Calibri" w:cs="Calibri" w:eastAsia="Calibri" w:hAnsi="Calibri"/>
        </w:rPr>
        <w:t xml:space="preserve">The platform holds commercially sensitive tender pricing and project data. Security is built around Entra ID identity, least-privilege access, encryption, and audit.</w:t>
      </w:r>
    </w:p>
    <w:p>
      <w:pPr>
        <w:spacing w:after="80" w:before="200"/>
      </w:pPr>
      <w:r>
        <w:rPr>
          <w:rFonts w:ascii="Calibri" w:cs="Calibri" w:eastAsia="Calibri" w:hAnsi="Calibri"/>
          <w:b/>
          <w:bCs/>
          <w:color w:val="1F3A63"/>
          <w:sz w:val="22"/>
          <w:szCs w:val="22"/>
        </w:rPr>
        <w:t xml:space="preserve">Multi-factor authentication — a decision for Ethical Power</w:t>
      </w:r>
    </w:p>
    <w:p>
      <w:pPr>
        <w:spacing w:after="120" w:line="276"/>
      </w:pPr>
      <w:r>
        <w:rPr>
          <w:rFonts w:ascii="Calibri" w:cs="Calibri" w:eastAsia="Calibri" w:hAnsi="Calibri"/>
        </w:rPr>
        <w:t xml:space="preserve">You asked whether login is enforced by MFA / Authenticator “or not”. Both options are set out below so Ethical Power can choose. Coreproma’s recommendation is unambiguous.</w:t>
      </w:r>
    </w:p>
    <w:tbl>
      <w:tblPr>
        <w:tblW w:type="dxa" w:w="9600"/>
        <w:tblBorders>
          <w:top w:val="single" w:color="C9CED6" w:sz="2"/>
          <w:left w:val="none"/>
          <w:bottom w:val="single" w:color="C9CED6" w:sz="2"/>
          <w:right w:val="none"/>
          <w:insideH w:val="single" w:color="D8DCE3" w:sz="2"/>
          <w:insideV w:val="single" w:color="E4E8ED" w:sz="2"/>
        </w:tblBorders>
      </w:tblPr>
      <w:tblGrid>
        <w:gridCol w:w="2400"/>
        <w:gridCol w:w="5100"/>
        <w:gridCol w:w="2100"/>
      </w:tblGrid>
      <w:tr>
        <w:trPr>
          <w:tblHeader/>
        </w:trPr>
        <w:tc>
          <w:tcPr>
            <w:tcW w:type="dxa" w:w="2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Option</w:t>
            </w:r>
          </w:p>
        </w:tc>
        <w:tc>
          <w:tcPr>
            <w:tcW w:type="dxa" w:w="51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What it means</w:t>
            </w:r>
          </w:p>
        </w:tc>
        <w:tc>
          <w:tcPr>
            <w:tcW w:type="dxa" w:w="21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Coreproma view</w:t>
            </w:r>
          </w:p>
        </w:tc>
      </w:tr>
      <w:tr>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A — MFA enforced</w:t>
            </w:r>
          </w:p>
        </w:tc>
        <w:tc>
          <w:tcPr>
            <w:tcW w:type="dxa" w:w="5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Every user must complete multi-factor authentication (Microsoft Authenticator app, or any Entra-supported method) on sign-in, enforced by an Entra Conditional Access policy. No access without a second factor.</w:t>
            </w:r>
          </w:p>
        </w:tc>
        <w:tc>
          <w:tcPr>
            <w:tcW w:type="dxa" w:w="2100"/>
            <w:tcMar>
              <w:top w:type="dxa" w:w="60"/>
              <w:left w:type="dxa" w:w="90"/>
              <w:bottom w:type="dxa" w:w="60"/>
              <w:right w:type="dxa" w:w="90"/>
            </w:tcMar>
            <w:vAlign w:val="center"/>
          </w:tcPr>
          <w:p>
            <w:pPr>
              <w:spacing w:after="20" w:line="240"/>
              <w:jc w:val="center"/>
            </w:pPr>
            <w:r>
              <w:rPr>
                <w:rFonts w:ascii="Calibri" w:cs="Calibri" w:eastAsia="Calibri" w:hAnsi="Calibri"/>
                <w:b/>
                <w:bCs/>
                <w:color w:val="2E7D46"/>
                <w:sz w:val="18"/>
                <w:szCs w:val="18"/>
              </w:rPr>
              <w:t xml:space="preserve">Recommended</w:t>
            </w:r>
          </w:p>
        </w:tc>
      </w:tr>
      <w:tr>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B — MFA not enforced by the app</w:t>
            </w:r>
          </w:p>
        </w:tc>
        <w:tc>
          <w:tcPr>
            <w:tcW w:type="dxa" w:w="51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The application does not require a second factor; sign-in security is left to whatever policy exists in Ethical Power’s tenant.</w:t>
            </w:r>
          </w:p>
        </w:tc>
        <w:tc>
          <w:tcPr>
            <w:tcW w:type="dxa" w:w="21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bCs/>
                <w:color w:val="8E1B2E"/>
                <w:sz w:val="18"/>
                <w:szCs w:val="18"/>
              </w:rPr>
              <w:t xml:space="preserve">Not advised</w:t>
            </w:r>
          </w:p>
        </w:tc>
      </w:tr>
    </w:tbl>
    <w:tbl>
      <w:tblPr>
        <w:tblW w:type="dxa" w:w="9600"/>
        <w:tblBorders>
          <w:top w:val="single" w:color="F7E9EB" w:sz="2"/>
          <w:left w:val="none"/>
          <w:bottom w:val="single" w:color="F7E9EB" w:sz="2"/>
          <w:right w:val="none"/>
          <w:insideH w:val="none"/>
          <w:insideV w:val="none"/>
        </w:tblBorders>
      </w:tblPr>
      <w:tblGrid>
        <w:gridCol w:w="9600"/>
      </w:tblGrid>
      <w:tr>
        <w:tc>
          <w:tcPr>
            <w:tcW w:type="dxa" w:w="9600"/>
            <w:tcBorders>
              <w:left w:val="single" w:color="8E1B2E" w:sz="24"/>
            </w:tcBorders>
            <w:shd w:fill="F7E9EB" w:color="auto" w:val="clear"/>
            <w:tcMar>
              <w:top w:type="dxa" w:w="120"/>
              <w:left w:type="dxa" w:w="160"/>
              <w:bottom w:type="dxa" w:w="120"/>
              <w:right w:type="dxa" w:w="160"/>
            </w:tcMar>
          </w:tcPr>
          <w:p>
            <w:pPr>
              <w:spacing w:after="40"/>
            </w:pPr>
            <w:r>
              <w:rPr>
                <w:rFonts w:ascii="Calibri" w:cs="Calibri" w:eastAsia="Calibri" w:hAnsi="Calibri"/>
                <w:b/>
                <w:bCs/>
                <w:color w:val="8E1B2E"/>
                <w:sz w:val="19"/>
                <w:szCs w:val="19"/>
              </w:rPr>
              <w:t xml:space="preserve">Straight talk on MFA</w:t>
            </w:r>
          </w:p>
          <w:p>
            <w:pPr>
              <w:spacing w:after="40" w:line="264"/>
            </w:pPr>
            <w:r>
              <w:rPr>
                <w:rFonts w:ascii="Calibri" w:cs="Calibri" w:eastAsia="Calibri" w:hAnsi="Calibri"/>
                <w:color w:val="1A1A1A"/>
                <w:sz w:val="18"/>
                <w:szCs w:val="18"/>
              </w:rPr>
              <w:t xml:space="preserve">For a tool that holds tender pricing, un-enforced MFA is a weak posture. Enforcing MFA via Conditional Access costs nothing to build (it is configuration, not development) and closes the single most common account-compromise route. Choose Option A unless Ethical Power’s security team already enforces equivalent controls tenant-wide and objects to a duplicate policy.</w:t>
            </w:r>
          </w:p>
        </w:tc>
      </w:tr>
    </w:tbl>
    <w:p>
      <w:pPr>
        <w:spacing w:after="80" w:before="200"/>
      </w:pPr>
      <w:r>
        <w:rPr>
          <w:rFonts w:ascii="Calibri" w:cs="Calibri" w:eastAsia="Calibri" w:hAnsi="Calibri"/>
          <w:b/>
          <w:bCs/>
          <w:color w:val="1F3A63"/>
          <w:sz w:val="22"/>
          <w:szCs w:val="22"/>
        </w:rPr>
        <w:t xml:space="preserve">Wider security controls (included)</w:t>
      </w:r>
    </w:p>
    <w:p>
      <w:pPr>
        <w:pStyle w:val="ListParagraph"/>
        <w:numPr>
          <w:ilvl w:val="0"/>
          <w:numId w:val="2"/>
        </w:numPr>
        <w:spacing w:after="60"/>
      </w:pPr>
      <w:r>
        <w:rPr>
          <w:rFonts w:ascii="Calibri" w:cs="Calibri" w:eastAsia="Calibri" w:hAnsi="Calibri"/>
          <w:b/>
          <w:bCs/>
        </w:rPr>
        <w:t xml:space="preserve">Role-based access control</w:t>
      </w:r>
      <w:r>
        <w:rPr>
          <w:rFonts w:ascii="Calibri" w:cs="Calibri" w:eastAsia="Calibri" w:hAnsi="Calibri"/>
        </w:rPr>
        <w:t xml:space="preserve"> mapped to the platform’s own roles — BD/commercial, QS/Commercial Manager, Procurement, Technical Director, Administrator — on a least-privilege basis (e.g. only QS/Procurement can change rates).</w:t>
      </w:r>
    </w:p>
    <w:p>
      <w:pPr>
        <w:pStyle w:val="ListParagraph"/>
        <w:numPr>
          <w:ilvl w:val="0"/>
          <w:numId w:val="2"/>
        </w:numPr>
        <w:spacing w:after="60"/>
      </w:pPr>
      <w:r>
        <w:rPr>
          <w:rFonts w:ascii="Calibri" w:cs="Calibri" w:eastAsia="Calibri" w:hAnsi="Calibri"/>
          <w:b/>
          <w:bCs/>
        </w:rPr>
        <w:t xml:space="preserve">Encryption</w:t>
      </w:r>
      <w:r>
        <w:rPr>
          <w:rFonts w:ascii="Calibri" w:cs="Calibri" w:eastAsia="Calibri" w:hAnsi="Calibri"/>
        </w:rPr>
        <w:t xml:space="preserve"> in transit (TLS 1.2+) and at rest (Azure platform encryption); secrets held in Key Vault.</w:t>
      </w:r>
    </w:p>
    <w:p>
      <w:pPr>
        <w:pStyle w:val="ListParagraph"/>
        <w:numPr>
          <w:ilvl w:val="0"/>
          <w:numId w:val="2"/>
        </w:numPr>
        <w:spacing w:after="60"/>
      </w:pPr>
      <w:r>
        <w:rPr>
          <w:rFonts w:ascii="Calibri" w:cs="Calibri" w:eastAsia="Calibri" w:hAnsi="Calibri"/>
          <w:b/>
          <w:bCs/>
        </w:rPr>
        <w:t xml:space="preserve">Audit logging</w:t>
      </w:r>
      <w:r>
        <w:rPr>
          <w:rFonts w:ascii="Calibri" w:cs="Calibri" w:eastAsia="Calibri" w:hAnsi="Calibri"/>
        </w:rPr>
        <w:t xml:space="preserve"> of rate changes, estimate generation and approvals; point-in-time rate integrity (rates are never overwritten, preserving reproducibility).</w:t>
      </w:r>
    </w:p>
    <w:p>
      <w:pPr>
        <w:pStyle w:val="ListParagraph"/>
        <w:numPr>
          <w:ilvl w:val="0"/>
          <w:numId w:val="2"/>
        </w:numPr>
        <w:spacing w:after="60"/>
      </w:pPr>
      <w:r>
        <w:rPr>
          <w:rFonts w:ascii="Calibri" w:cs="Calibri" w:eastAsia="Calibri" w:hAnsi="Calibri"/>
          <w:b/>
          <w:bCs/>
        </w:rPr>
        <w:t xml:space="preserve">Operational security</w:t>
      </w:r>
      <w:r>
        <w:rPr>
          <w:rFonts w:ascii="Calibri" w:cs="Calibri" w:eastAsia="Calibri" w:hAnsi="Calibri"/>
        </w:rPr>
        <w:t xml:space="preserve">: regular patching, monitored logs, UK data residency, backups and a documented recovery procedure.</w:t>
      </w:r>
    </w:p>
    <w:p>
      <w:r>
        <w:br w:type="page"/>
      </w:r>
    </w:p>
    <w:p>
      <w:pPr>
        <w:pBdr>
          <w:bottom w:val="single" w:color="C9A227" w:sz="12" w:space="4"/>
        </w:pBdr>
        <w:spacing w:after="120" w:before="300"/>
      </w:pPr>
      <w:r>
        <w:rPr>
          <w:rFonts w:ascii="Calibri" w:cs="Calibri" w:eastAsia="Calibri" w:hAnsi="Calibri"/>
          <w:b/>
          <w:bCs/>
          <w:color w:val="C9A227"/>
          <w:sz w:val="26"/>
          <w:szCs w:val="26"/>
        </w:rPr>
        <w:t xml:space="preserve">7  </w:t>
      </w:r>
      <w:r>
        <w:rPr>
          <w:rFonts w:ascii="Calibri" w:cs="Calibri" w:eastAsia="Calibri" w:hAnsi="Calibri"/>
          <w:b/>
          <w:bCs/>
          <w:color w:val="16305A"/>
          <w:sz w:val="26"/>
          <w:szCs w:val="26"/>
        </w:rPr>
        <w:t xml:space="preserve">Updates &amp; enhancement to the application</w:t>
      </w:r>
    </w:p>
    <w:p>
      <w:pPr>
        <w:spacing w:after="120" w:line="276"/>
      </w:pPr>
      <w:r>
        <w:rPr>
          <w:rFonts w:ascii="Calibri" w:cs="Calibri" w:eastAsia="Calibri" w:hAnsi="Calibri"/>
        </w:rPr>
        <w:t xml:space="preserve">After go-live the platform evolves. Coreproma proposes a clear separation between corrective work (bug fixes, kept in the support contract) and enhancement work (new capability, delivered under change control).</w:t>
      </w:r>
    </w:p>
    <w:p>
      <w:pPr>
        <w:spacing w:after="80" w:before="200"/>
      </w:pPr>
      <w:r>
        <w:rPr>
          <w:rFonts w:ascii="Calibri" w:cs="Calibri" w:eastAsia="Calibri" w:hAnsi="Calibri"/>
          <w:b/>
          <w:bCs/>
          <w:color w:val="1F3A63"/>
          <w:sz w:val="22"/>
          <w:szCs w:val="22"/>
        </w:rPr>
        <w:t xml:space="preserve">How change is delivered</w:t>
      </w:r>
    </w:p>
    <w:tbl>
      <w:tblPr>
        <w:tblW w:type="dxa" w:w="9600"/>
        <w:tblBorders>
          <w:top w:val="single" w:color="C9CED6" w:sz="2"/>
          <w:left w:val="none"/>
          <w:bottom w:val="single" w:color="C9CED6" w:sz="2"/>
          <w:right w:val="none"/>
          <w:insideH w:val="single" w:color="D8DCE3" w:sz="2"/>
          <w:insideV w:val="single" w:color="E4E8ED" w:sz="2"/>
        </w:tblBorders>
      </w:tblPr>
      <w:tblGrid>
        <w:gridCol w:w="3000"/>
        <w:gridCol w:w="6600"/>
      </w:tblGrid>
      <w:tr>
        <w:trPr>
          <w:tblHeader/>
        </w:trPr>
        <w:tc>
          <w:tcPr>
            <w:tcW w:type="dxa" w:w="30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Route</w:t>
            </w:r>
          </w:p>
        </w:tc>
        <w:tc>
          <w:tcPr>
            <w:tcW w:type="dxa" w:w="6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What it covers</w:t>
            </w:r>
          </w:p>
        </w:tc>
      </w:tr>
      <w:tr>
        <w:tc>
          <w:tcPr>
            <w:tcW w:type="dxa" w:w="30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Included in support</w:t>
            </w:r>
          </w:p>
        </w:tc>
        <w:tc>
          <w:tcPr>
            <w:tcW w:type="dxa" w:w="66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Bug fixes, security patches, minor tweaks and configuration changes within the existing scope (see Section 8).</w:t>
            </w:r>
          </w:p>
        </w:tc>
      </w:tr>
      <w:tr>
        <w:tc>
          <w:tcPr>
            <w:tcW w:type="dxa" w:w="30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Change request (chargeable)</w:t>
            </w:r>
          </w:p>
        </w:tc>
        <w:tc>
          <w:tcPr>
            <w:tcW w:type="dxa" w:w="66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New features or material changes. Estimated in person-days, quoted, approved, then scheduled. Billed at the agreed day rate [TBC].</w:t>
            </w:r>
          </w:p>
        </w:tc>
      </w:tr>
      <w:tr>
        <w:tc>
          <w:tcPr>
            <w:tcW w:type="dxa" w:w="30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Enhancement retainer (optional)</w:t>
            </w:r>
          </w:p>
        </w:tc>
        <w:tc>
          <w:tcPr>
            <w:tcW w:type="dxa" w:w="66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 fixed block of development days per month [TBC] for a steady stream of improvements, drawn down against a prioritised backlog.</w:t>
            </w:r>
          </w:p>
        </w:tc>
      </w:tr>
    </w:tbl>
    <w:p>
      <w:pPr>
        <w:spacing w:after="80" w:before="200"/>
      </w:pPr>
      <w:r>
        <w:rPr>
          <w:rFonts w:ascii="Calibri" w:cs="Calibri" w:eastAsia="Calibri" w:hAnsi="Calibri"/>
          <w:b/>
          <w:bCs/>
          <w:color w:val="1F3A63"/>
          <w:sz w:val="22"/>
          <w:szCs w:val="22"/>
        </w:rPr>
        <w:t xml:space="preserve">Likely enhancement backlog</w:t>
      </w:r>
    </w:p>
    <w:p>
      <w:pPr>
        <w:pStyle w:val="ListParagraph"/>
        <w:numPr>
          <w:ilvl w:val="0"/>
          <w:numId w:val="2"/>
        </w:numPr>
        <w:spacing w:after="60"/>
      </w:pPr>
      <w:r>
        <w:rPr>
          <w:rFonts w:ascii="Calibri" w:cs="Calibri" w:eastAsia="Calibri" w:hAnsi="Calibri"/>
        </w:rPr>
        <w:t xml:space="preserve">Phase 2 modules: supplier portal (B4), project &amp; phases hub (B5), governance tasks (B6), and full management/investor reporting (B7).</w:t>
      </w:r>
    </w:p>
    <w:p>
      <w:pPr>
        <w:pStyle w:val="ListParagraph"/>
        <w:numPr>
          <w:ilvl w:val="0"/>
          <w:numId w:val="2"/>
        </w:numPr>
        <w:spacing w:after="60"/>
      </w:pPr>
      <w:r>
        <w:rPr>
          <w:rFonts w:ascii="Calibri" w:cs="Calibri" w:eastAsia="Calibri" w:hAnsi="Calibri"/>
        </w:rPr>
        <w:t xml:space="preserve">Territory expansion: France and Spain rate libraries and planning/flood rules (Phase 2 in the design).</w:t>
      </w:r>
    </w:p>
    <w:p>
      <w:pPr>
        <w:pStyle w:val="ListParagraph"/>
        <w:numPr>
          <w:ilvl w:val="0"/>
          <w:numId w:val="2"/>
        </w:numPr>
        <w:spacing w:after="60"/>
      </w:pPr>
      <w:r>
        <w:rPr>
          <w:rFonts w:ascii="Calibri" w:cs="Calibri" w:eastAsia="Calibri" w:hAnsi="Calibri"/>
        </w:rPr>
        <w:t xml:space="preserve">Rate intelligence: commodity-index linkage (steel, copper, HDPE, diesel) and additional reference projects beyond Hessay.</w:t>
      </w:r>
    </w:p>
    <w:p>
      <w:pPr>
        <w:pStyle w:val="ListParagraph"/>
        <w:numPr>
          <w:ilvl w:val="0"/>
          <w:numId w:val="2"/>
        </w:numPr>
        <w:spacing w:after="60"/>
      </w:pPr>
      <w:r>
        <w:rPr>
          <w:rFonts w:ascii="Calibri" w:cs="Calibri" w:eastAsia="Calibri" w:hAnsi="Calibri"/>
        </w:rPr>
        <w:t xml:space="preserve">Additional output templates and integrations as Ethical Power’s process matures.</w:t>
      </w:r>
    </w:p>
    <w:p>
      <w:pPr>
        <w:pBdr>
          <w:bottom w:val="single" w:color="C9A227" w:sz="12" w:space="4"/>
        </w:pBdr>
        <w:spacing w:after="120" w:before="300"/>
      </w:pPr>
      <w:r>
        <w:rPr>
          <w:rFonts w:ascii="Calibri" w:cs="Calibri" w:eastAsia="Calibri" w:hAnsi="Calibri"/>
          <w:b/>
          <w:bCs/>
          <w:color w:val="C9A227"/>
          <w:sz w:val="26"/>
          <w:szCs w:val="26"/>
        </w:rPr>
        <w:t xml:space="preserve">8  </w:t>
      </w:r>
      <w:r>
        <w:rPr>
          <w:rFonts w:ascii="Calibri" w:cs="Calibri" w:eastAsia="Calibri" w:hAnsi="Calibri"/>
          <w:b/>
          <w:bCs/>
          <w:color w:val="16305A"/>
          <w:sz w:val="26"/>
          <w:szCs w:val="26"/>
        </w:rPr>
        <w:t xml:space="preserve">Support &amp; maintenance contract</w:t>
      </w:r>
    </w:p>
    <w:p>
      <w:pPr>
        <w:spacing w:after="120" w:line="276"/>
      </w:pPr>
      <w:r>
        <w:rPr>
          <w:rFonts w:ascii="Calibri" w:cs="Calibri" w:eastAsia="Calibri" w:hAnsi="Calibri"/>
        </w:rPr>
        <w:t xml:space="preserve">Coreproma proposes an ongoing support &amp; maintenance contract, running from go-live on a 12-month term, renewable. Two tiers are offered; both include hosting operation, monitoring, patching and backups.</w:t>
      </w:r>
    </w:p>
    <w:tbl>
      <w:tblPr>
        <w:tblW w:type="dxa" w:w="9600"/>
        <w:tblBorders>
          <w:top w:val="single" w:color="C9CED6" w:sz="2"/>
          <w:left w:val="none"/>
          <w:bottom w:val="single" w:color="C9CED6" w:sz="2"/>
          <w:right w:val="none"/>
          <w:insideH w:val="single" w:color="D8DCE3" w:sz="2"/>
          <w:insideV w:val="single" w:color="E4E8ED" w:sz="2"/>
        </w:tblBorders>
      </w:tblPr>
      <w:tblGrid>
        <w:gridCol w:w="3200"/>
        <w:gridCol w:w="3200"/>
        <w:gridCol w:w="3200"/>
      </w:tblGrid>
      <w:tr>
        <w:trPr>
          <w:tblHeader/>
        </w:trPr>
        <w:tc>
          <w:tcPr>
            <w:tcW w:type="dxa" w:w="32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Included</w:t>
            </w:r>
          </w:p>
        </w:tc>
        <w:tc>
          <w:tcPr>
            <w:tcW w:type="dxa" w:w="32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Standard</w:t>
            </w:r>
          </w:p>
        </w:tc>
        <w:tc>
          <w:tcPr>
            <w:tcW w:type="dxa" w:w="32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Enhanced</w:t>
            </w:r>
          </w:p>
        </w:tc>
      </w:tr>
      <w:tr>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Support hours</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UK business hours (Mon–Fri 9–5)</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UK business hours + priority queue</w:t>
            </w:r>
          </w:p>
        </w:tc>
      </w:tr>
      <w:tr>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Hosting operation &amp; monitoring</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w:t>
            </w:r>
          </w:p>
        </w:tc>
      </w:tr>
      <w:tr>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Security patching</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w:t>
            </w:r>
          </w:p>
        </w:tc>
      </w:tr>
      <w:tr>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Backups &amp; recovery tests</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 + periodic DR test</w:t>
            </w:r>
          </w:p>
        </w:tc>
      </w:tr>
      <w:tr>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Bug fixes</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Yes (faster SLA)</w:t>
            </w:r>
          </w:p>
        </w:tc>
      </w:tr>
      <w:tr>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Minor updates / small changes</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Limited allowance</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Larger monthly allowance</w:t>
            </w:r>
          </w:p>
        </w:tc>
      </w:tr>
      <w:tr>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Enhancement days included</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None (chargeable)</w:t>
            </w:r>
          </w:p>
        </w:tc>
        <w:tc>
          <w:tcPr>
            <w:tcW w:type="dxa" w:w="32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Small monthly block [TBC]</w:t>
            </w:r>
          </w:p>
        </w:tc>
      </w:tr>
      <w:tr>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Indicative fee</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 / month</w:t>
            </w:r>
          </w:p>
        </w:tc>
        <w:tc>
          <w:tcPr>
            <w:tcW w:type="dxa" w:w="32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 / month</w:t>
            </w:r>
          </w:p>
        </w:tc>
      </w:tr>
    </w:tbl>
    <w:p>
      <w:pPr>
        <w:spacing w:after="80" w:before="200"/>
      </w:pPr>
      <w:r>
        <w:rPr>
          <w:rFonts w:ascii="Calibri" w:cs="Calibri" w:eastAsia="Calibri" w:hAnsi="Calibri"/>
          <w:b/>
          <w:bCs/>
          <w:color w:val="1F3A63"/>
          <w:sz w:val="22"/>
          <w:szCs w:val="22"/>
        </w:rPr>
        <w:t xml:space="preserve">Service levels (target response / restoration)</w:t>
      </w:r>
    </w:p>
    <w:tbl>
      <w:tblPr>
        <w:tblW w:type="dxa" w:w="9600"/>
        <w:tblBorders>
          <w:top w:val="single" w:color="C9CED6" w:sz="2"/>
          <w:left w:val="none"/>
          <w:bottom w:val="single" w:color="C9CED6" w:sz="2"/>
          <w:right w:val="none"/>
          <w:insideH w:val="single" w:color="D8DCE3" w:sz="2"/>
          <w:insideV w:val="single" w:color="E4E8ED" w:sz="2"/>
        </w:tblBorders>
      </w:tblPr>
      <w:tblGrid>
        <w:gridCol w:w="1400"/>
        <w:gridCol w:w="3400"/>
        <w:gridCol w:w="2400"/>
        <w:gridCol w:w="2400"/>
      </w:tblGrid>
      <w:tr>
        <w:trPr>
          <w:tblHeader/>
        </w:trPr>
        <w:tc>
          <w:tcPr>
            <w:tcW w:type="dxa" w:w="1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Severity</w:t>
            </w:r>
          </w:p>
        </w:tc>
        <w:tc>
          <w:tcPr>
            <w:tcW w:type="dxa" w:w="3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Definition</w:t>
            </w:r>
          </w:p>
        </w:tc>
        <w:tc>
          <w:tcPr>
            <w:tcW w:type="dxa" w:w="2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Response</w:t>
            </w:r>
          </w:p>
        </w:tc>
        <w:tc>
          <w:tcPr>
            <w:tcW w:type="dxa" w:w="2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Target restore</w:t>
            </w:r>
          </w:p>
        </w:tc>
      </w:tr>
      <w:tr>
        <w:tc>
          <w:tcPr>
            <w:tcW w:type="dxa" w:w="1400"/>
            <w:tcMar>
              <w:top w:type="dxa" w:w="60"/>
              <w:left w:type="dxa" w:w="90"/>
              <w:bottom w:type="dxa" w:w="60"/>
              <w:right w:type="dxa" w:w="90"/>
            </w:tcMar>
            <w:vAlign w:val="center"/>
          </w:tcPr>
          <w:p>
            <w:pPr>
              <w:spacing w:after="20" w:line="240"/>
              <w:jc w:val="left"/>
            </w:pPr>
            <w:r>
              <w:rPr>
                <w:rFonts w:ascii="Calibri" w:cs="Calibri" w:eastAsia="Calibri" w:hAnsi="Calibri"/>
                <w:b/>
                <w:bCs/>
                <w:color w:val="8E1B2E"/>
                <w:sz w:val="18"/>
                <w:szCs w:val="18"/>
              </w:rPr>
              <w:t xml:space="preserve">P1</w:t>
            </w:r>
          </w:p>
        </w:tc>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Platform down / no user can work.</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Same business day</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Best effort, priority</w:t>
            </w:r>
          </w:p>
        </w:tc>
      </w:tr>
      <w:tr>
        <w:tc>
          <w:tcPr>
            <w:tcW w:type="dxa" w:w="1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B8860B"/>
                <w:sz w:val="18"/>
                <w:szCs w:val="18"/>
              </w:rPr>
              <w:t xml:space="preserve">P2</w:t>
            </w:r>
          </w:p>
        </w:tc>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Major function unavailable, no workaround.</w:t>
            </w:r>
          </w:p>
        </w:tc>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1 business day</w:t>
            </w:r>
          </w:p>
        </w:tc>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3 business days</w:t>
            </w:r>
          </w:p>
        </w:tc>
      </w:tr>
      <w:tr>
        <w:tc>
          <w:tcPr>
            <w:tcW w:type="dxa" w:w="14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P3</w:t>
            </w:r>
          </w:p>
        </w:tc>
        <w:tc>
          <w:tcPr>
            <w:tcW w:type="dxa" w:w="3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Minor function impaired, workaround exists.</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2 business days</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Next release</w:t>
            </w:r>
          </w:p>
        </w:tc>
      </w:tr>
      <w:tr>
        <w:tc>
          <w:tcPr>
            <w:tcW w:type="dxa" w:w="1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P4</w:t>
            </w:r>
          </w:p>
        </w:tc>
        <w:tc>
          <w:tcPr>
            <w:tcW w:type="dxa" w:w="3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Cosmetic / question / request.</w:t>
            </w:r>
          </w:p>
        </w:tc>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3 business days</w:t>
            </w:r>
          </w:p>
        </w:tc>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Backlog</w:t>
            </w:r>
          </w:p>
        </w:tc>
      </w:tr>
    </w:tbl>
    <w:p>
      <w:pPr>
        <w:spacing w:after="120" w:line="276"/>
      </w:pPr>
      <w:r>
        <w:rPr>
          <w:rFonts w:ascii="Calibri" w:cs="Calibri" w:eastAsia="Calibri" w:hAnsi="Calibri"/>
          <w:i/>
          <w:iCs/>
          <w:color w:val="5A6472"/>
        </w:rPr>
        <w:t xml:space="preserve">Exact SLA figures are [TBC] and confirmed with the chosen tier. Azure consumption is billed separately as a pass-through (Section 10).</w:t>
      </w:r>
    </w:p>
    <w:p>
      <w:pPr>
        <w:pBdr>
          <w:bottom w:val="single" w:color="C9A227" w:sz="12" w:space="4"/>
        </w:pBdr>
        <w:spacing w:after="120" w:before="300"/>
      </w:pPr>
      <w:r>
        <w:rPr>
          <w:rFonts w:ascii="Calibri" w:cs="Calibri" w:eastAsia="Calibri" w:hAnsi="Calibri"/>
          <w:b/>
          <w:bCs/>
          <w:color w:val="C9A227"/>
          <w:sz w:val="26"/>
          <w:szCs w:val="26"/>
        </w:rPr>
        <w:t xml:space="preserve">9  </w:t>
      </w:r>
      <w:r>
        <w:rPr>
          <w:rFonts w:ascii="Calibri" w:cs="Calibri" w:eastAsia="Calibri" w:hAnsi="Calibri"/>
          <w:b/>
          <w:bCs/>
          <w:color w:val="16305A"/>
          <w:sz w:val="26"/>
          <w:szCs w:val="26"/>
        </w:rPr>
        <w:t xml:space="preserve">Intellectual property of the developed code</w:t>
      </w:r>
    </w:p>
    <w:p>
      <w:pPr>
        <w:spacing w:after="120" w:line="276"/>
      </w:pPr>
      <w:r>
        <w:rPr>
          <w:rFonts w:ascii="Calibri" w:cs="Calibri" w:eastAsia="Calibri" w:hAnsi="Calibri"/>
        </w:rPr>
        <w:t xml:space="preserve">Ethical Power should choose one of the two options below. They are genuine alternatives with different prices and different long-term consequences. In both cases, Ethical Power’s own data — its rate library figures, projects and estimates — always belongs to Ethical Power.</w:t>
      </w:r>
    </w:p>
    <w:tbl>
      <w:tblPr>
        <w:tblW w:type="dxa" w:w="9600"/>
        <w:tblBorders>
          <w:top w:val="single" w:color="C9CED6" w:sz="2"/>
          <w:left w:val="none"/>
          <w:bottom w:val="single" w:color="C9CED6" w:sz="2"/>
          <w:right w:val="none"/>
          <w:insideH w:val="single" w:color="D8DCE3" w:sz="2"/>
          <w:insideV w:val="single" w:color="E4E8ED" w:sz="2"/>
        </w:tblBorders>
      </w:tblPr>
      <w:tblGrid>
        <w:gridCol w:w="1500"/>
        <w:gridCol w:w="4050"/>
        <w:gridCol w:w="4050"/>
      </w:tblGrid>
      <w:tr>
        <w:trPr>
          <w:tblHeader/>
        </w:trPr>
        <w:tc>
          <w:tcPr>
            <w:tcW w:type="dxa" w:w="15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
            </w:r>
          </w:p>
        </w:tc>
        <w:tc>
          <w:tcPr>
            <w:tcW w:type="dxa" w:w="405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Option 1 — Coreproma owns the IP</w:t>
            </w:r>
          </w:p>
        </w:tc>
        <w:tc>
          <w:tcPr>
            <w:tcW w:type="dxa" w:w="405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Option 2 — Ethical Power owns the IP</w:t>
            </w:r>
          </w:p>
        </w:tc>
      </w:tr>
      <w:tr>
        <w:tc>
          <w:tcPr>
            <w:tcW w:type="dxa" w:w="15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Ownership</w:t>
            </w:r>
          </w:p>
        </w:tc>
        <w:tc>
          <w:tcPr>
            <w:tcW w:type="dxa" w:w="405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Coreproma retains all IP in the COREPROMA platform and its source code.</w:t>
            </w:r>
          </w:p>
        </w:tc>
        <w:tc>
          <w:tcPr>
            <w:tcW w:type="dxa" w:w="405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 full payment, all IP in the developed code is assigned to Ethical Power.</w:t>
            </w:r>
          </w:p>
        </w:tc>
      </w:tr>
      <w:tr>
        <w:tc>
          <w:tcPr>
            <w:tcW w:type="dxa" w:w="15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Ethical Power gets</w:t>
            </w:r>
          </w:p>
        </w:tc>
        <w:tc>
          <w:tcPr>
            <w:tcW w:type="dxa" w:w="405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 licence to use the platform for its own projects (perpetual or term, to be agreed).</w:t>
            </w:r>
          </w:p>
        </w:tc>
        <w:tc>
          <w:tcPr>
            <w:tcW w:type="dxa" w:w="405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Full ownership of the code, free to modify, extend or have others maintain it.</w:t>
            </w:r>
          </w:p>
        </w:tc>
      </w:tr>
      <w:tr>
        <w:tc>
          <w:tcPr>
            <w:tcW w:type="dxa" w:w="15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Coreproma may</w:t>
            </w:r>
          </w:p>
        </w:tc>
        <w:tc>
          <w:tcPr>
            <w:tcW w:type="dxa" w:w="405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License / resell COREPROMA to other EPCs and reuse the framework.</w:t>
            </w:r>
          </w:p>
        </w:tc>
        <w:tc>
          <w:tcPr>
            <w:tcW w:type="dxa" w:w="405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Retain only its pre-existing “background” IP and generic components; it cannot resell the bespoke platform.</w:t>
            </w:r>
          </w:p>
        </w:tc>
      </w:tr>
      <w:tr>
        <w:tc>
          <w:tcPr>
            <w:tcW w:type="dxa" w:w="15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6305A"/>
                <w:sz w:val="18"/>
                <w:szCs w:val="18"/>
              </w:rPr>
              <w:t xml:space="preserve">Price</w:t>
            </w:r>
          </w:p>
        </w:tc>
        <w:tc>
          <w:tcPr>
            <w:tcW w:type="dxa" w:w="405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2E7D46"/>
                <w:sz w:val="18"/>
                <w:szCs w:val="18"/>
              </w:rPr>
              <w:t xml:space="preserve">Lower build price; may carry an ongoing licence fee [TBC].</w:t>
            </w:r>
          </w:p>
        </w:tc>
        <w:tc>
          <w:tcPr>
            <w:tcW w:type="dxa" w:w="405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8E1B2E"/>
                <w:sz w:val="18"/>
                <w:szCs w:val="18"/>
              </w:rPr>
              <w:t xml:space="preserve">Higher build price — must compensate Coreproma for lost resale rights [TBC].</w:t>
            </w:r>
          </w:p>
        </w:tc>
      </w:tr>
      <w:tr>
        <w:tc>
          <w:tcPr>
            <w:tcW w:type="dxa" w:w="15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Best when</w:t>
            </w:r>
          </w:p>
        </w:tc>
        <w:tc>
          <w:tcPr>
            <w:tcW w:type="dxa" w:w="405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Ethical Power wants the capability at lower cost and is comfortable Coreproma owns the product.</w:t>
            </w:r>
          </w:p>
        </w:tc>
        <w:tc>
          <w:tcPr>
            <w:tcW w:type="dxa" w:w="405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Ethical Power wants exclusivity and control and will pay a premium for it.</w:t>
            </w:r>
          </w:p>
        </w:tc>
      </w:tr>
      <w:tr>
        <w:tc>
          <w:tcPr>
            <w:tcW w:type="dxa" w:w="15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Options</w:t>
            </w:r>
          </w:p>
        </w:tc>
        <w:tc>
          <w:tcPr>
            <w:tcW w:type="dxa" w:w="405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Source-code escrow can be added for continuity protection.</w:t>
            </w:r>
          </w:p>
        </w:tc>
        <w:tc>
          <w:tcPr>
            <w:tcW w:type="dxa" w:w="405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 discount is possible if Coreproma retains the right to reuse non-Ethical-specific components.</w:t>
            </w:r>
          </w:p>
        </w:tc>
      </w:tr>
    </w:tbl>
    <w:tbl>
      <w:tblPr>
        <w:tblW w:type="dxa" w:w="9600"/>
        <w:tblBorders>
          <w:top w:val="single" w:color="FBF4DD" w:sz="2"/>
          <w:left w:val="none"/>
          <w:bottom w:val="single" w:color="FBF4DD" w:sz="2"/>
          <w:right w:val="none"/>
          <w:insideH w:val="none"/>
          <w:insideV w:val="none"/>
        </w:tblBorders>
      </w:tblPr>
      <w:tblGrid>
        <w:gridCol w:w="9600"/>
      </w:tblGrid>
      <w:tr>
        <w:tc>
          <w:tcPr>
            <w:tcW w:type="dxa" w:w="9600"/>
            <w:tcBorders>
              <w:left w:val="single" w:color="C9A227" w:sz="24"/>
            </w:tcBorders>
            <w:shd w:fill="FBF4DD" w:color="auto" w:val="clear"/>
            <w:tcMar>
              <w:top w:type="dxa" w:w="120"/>
              <w:left w:type="dxa" w:w="160"/>
              <w:bottom w:type="dxa" w:w="120"/>
              <w:right w:type="dxa" w:w="160"/>
            </w:tcMar>
          </w:tcPr>
          <w:p>
            <w:pPr>
              <w:spacing w:after="40"/>
            </w:pPr>
            <w:r>
              <w:rPr>
                <w:rFonts w:ascii="Calibri" w:cs="Calibri" w:eastAsia="Calibri" w:hAnsi="Calibri"/>
                <w:b/>
                <w:bCs/>
                <w:color w:val="16305A"/>
                <w:sz w:val="19"/>
                <w:szCs w:val="19"/>
              </w:rPr>
              <w:t xml:space="preserve">Straight talk on IP</w:t>
            </w:r>
          </w:p>
          <w:p>
            <w:pPr>
              <w:spacing w:after="40" w:line="264"/>
            </w:pPr>
            <w:r>
              <w:rPr>
                <w:rFonts w:ascii="Calibri" w:cs="Calibri" w:eastAsia="Calibri" w:hAnsi="Calibri"/>
                <w:color w:val="1A1A1A"/>
                <w:sz w:val="18"/>
                <w:szCs w:val="18"/>
              </w:rPr>
              <w:t xml:space="preserve">These two options are not the same product at two prices — they are two different deals. Under Option 2 you are not just buying development time, you are buying the product Coreproma could otherwise sell repeatedly to other EPCs; it should cost materially more, and the uplift is the point, not a negotiating loss. Whichever is chosen, the contract must separate Coreproma’s pre-existing “background” IP and any third-party/open-source components from the newly written “foreground” code, and note that third-party licences (e.g. PVcase, mapping) are never assignable by Coreproma.</w:t>
            </w:r>
          </w:p>
        </w:tc>
      </w:tr>
    </w:tbl>
    <w:p>
      <w:r>
        <w:br w:type="page"/>
      </w:r>
    </w:p>
    <w:p>
      <w:pPr>
        <w:pBdr>
          <w:bottom w:val="single" w:color="C9A227" w:sz="12" w:space="4"/>
        </w:pBdr>
        <w:spacing w:after="120" w:before="300"/>
      </w:pPr>
      <w:r>
        <w:rPr>
          <w:rFonts w:ascii="Calibri" w:cs="Calibri" w:eastAsia="Calibri" w:hAnsi="Calibri"/>
          <w:b/>
          <w:bCs/>
          <w:color w:val="C9A227"/>
          <w:sz w:val="26"/>
          <w:szCs w:val="26"/>
        </w:rPr>
        <w:t xml:space="preserve">10  </w:t>
      </w:r>
      <w:r>
        <w:rPr>
          <w:rFonts w:ascii="Calibri" w:cs="Calibri" w:eastAsia="Calibri" w:hAnsi="Calibri"/>
          <w:b/>
          <w:bCs/>
          <w:color w:val="16305A"/>
          <w:sz w:val="26"/>
          <w:szCs w:val="26"/>
        </w:rPr>
        <w:t xml:space="preserve">Commercial summary &amp; pricing schedule</w:t>
      </w:r>
    </w:p>
    <w:p>
      <w:pPr>
        <w:spacing w:after="120" w:line="276"/>
      </w:pPr>
      <w:r>
        <w:rPr>
          <w:rFonts w:ascii="Calibri" w:cs="Calibri" w:eastAsia="Calibri" w:hAnsi="Calibri"/>
        </w:rPr>
        <w:t xml:space="preserve">All prices are [TBC], to be inserted by Coreproma before issue. Effort figures are Coreproma’s estimate. Currency: GBP (£).</w:t>
      </w:r>
    </w:p>
    <w:tbl>
      <w:tblPr>
        <w:tblW w:type="dxa" w:w="9600"/>
        <w:tblBorders>
          <w:top w:val="single" w:color="C9CED6" w:sz="2"/>
          <w:left w:val="none"/>
          <w:bottom w:val="single" w:color="C9CED6" w:sz="2"/>
          <w:right w:val="none"/>
          <w:insideH w:val="single" w:color="D8DCE3" w:sz="2"/>
          <w:insideV w:val="single" w:color="E4E8ED" w:sz="2"/>
        </w:tblBorders>
      </w:tblPr>
      <w:tblGrid>
        <w:gridCol w:w="3700"/>
        <w:gridCol w:w="1900"/>
        <w:gridCol w:w="1400"/>
        <w:gridCol w:w="2600"/>
      </w:tblGrid>
      <w:tr>
        <w:trPr>
          <w:tblHeader/>
        </w:trPr>
        <w:tc>
          <w:tcPr>
            <w:tcW w:type="dxa" w:w="37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Item</w:t>
            </w:r>
          </w:p>
        </w:tc>
        <w:tc>
          <w:tcPr>
            <w:tcW w:type="dxa" w:w="19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Basis</w:t>
            </w:r>
          </w:p>
        </w:tc>
        <w:tc>
          <w:tcPr>
            <w:tcW w:type="dxa" w:w="1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Effort (p-days)</w:t>
            </w:r>
          </w:p>
        </w:tc>
        <w:tc>
          <w:tcPr>
            <w:tcW w:type="dxa" w:w="26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Price</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Phase 0 — Discovery &amp; design</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8</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Foundation, DevOps, identity &amp; security</w:t>
            </w:r>
          </w:p>
        </w:tc>
        <w:tc>
          <w:tcPr>
            <w:tcW w:type="dxa" w:w="1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25</w:t>
            </w:r>
          </w:p>
        </w:tc>
        <w:tc>
          <w:tcPr>
            <w:tcW w:type="dxa" w:w="26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B1 Creation Wizard</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38</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B2 Validation</w:t>
            </w:r>
          </w:p>
        </w:tc>
        <w:tc>
          <w:tcPr>
            <w:tcW w:type="dxa" w:w="1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6</w:t>
            </w:r>
          </w:p>
        </w:tc>
        <w:tc>
          <w:tcPr>
            <w:tcW w:type="dxa" w:w="26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B2b Risk Register &amp; Provisions</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10</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B3 Product &amp; Stock Calculator + outputs</w:t>
            </w:r>
          </w:p>
        </w:tc>
        <w:tc>
          <w:tcPr>
            <w:tcW w:type="dxa" w:w="1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38</w:t>
            </w:r>
          </w:p>
        </w:tc>
        <w:tc>
          <w:tcPr>
            <w:tcW w:type="dxa" w:w="26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B7 essential reporting output</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4</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QA, UAT &amp; go-live (Phase 1)</w:t>
            </w:r>
          </w:p>
        </w:tc>
        <w:tc>
          <w:tcPr>
            <w:tcW w:type="dxa" w:w="1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22</w:t>
            </w:r>
          </w:p>
        </w:tc>
        <w:tc>
          <w:tcPr>
            <w:tcW w:type="dxa" w:w="26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Phase 1 sub-total (to go-live)</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bCs/>
                <w:color w:val="1A1A1A"/>
                <w:sz w:val="18"/>
                <w:szCs w:val="18"/>
              </w:rPr>
              <w:t xml:space="preserve">One-off</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bCs/>
                <w:color w:val="8E1B2E"/>
                <w:sz w:val="18"/>
                <w:szCs w:val="18"/>
              </w:rPr>
              <w:t xml:space="preserve">≈ 151</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bCs/>
                <w:color w:val="1A1A1A"/>
                <w:sz w:val="18"/>
                <w:szCs w:val="18"/>
              </w:rPr>
              <w:t xml:space="preserve">[TBC]</w:t>
            </w:r>
          </w:p>
        </w:tc>
      </w:tr>
      <w:tr>
        <w:tc>
          <w:tcPr>
            <w:tcW w:type="dxa" w:w="37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Phase 2 — B4, B5, B6, full B7</w:t>
            </w:r>
          </w:p>
        </w:tc>
        <w:tc>
          <w:tcPr>
            <w:tcW w:type="dxa" w:w="1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 (later)</w:t>
            </w:r>
          </w:p>
        </w:tc>
        <w:tc>
          <w:tcPr>
            <w:tcW w:type="dxa" w:w="14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 62</w:t>
            </w:r>
          </w:p>
        </w:tc>
        <w:tc>
          <w:tcPr>
            <w:tcW w:type="dxa" w:w="26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Azure hosting (managed)</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Monthly</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 / month + Azure at cost</w:t>
            </w:r>
          </w:p>
        </w:tc>
      </w:tr>
      <w:tr>
        <w:tc>
          <w:tcPr>
            <w:tcW w:type="dxa" w:w="37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Support &amp; maintenance</w:t>
            </w:r>
          </w:p>
        </w:tc>
        <w:tc>
          <w:tcPr>
            <w:tcW w:type="dxa" w:w="19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Monthly</w:t>
            </w:r>
          </w:p>
        </w:tc>
        <w:tc>
          <w:tcPr>
            <w:tcW w:type="dxa" w:w="14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w:t>
            </w:r>
          </w:p>
        </w:tc>
        <w:tc>
          <w:tcPr>
            <w:tcW w:type="dxa" w:w="2600"/>
            <w:shd w:fill="F2F4F7" w:color="auto" w:val="clear"/>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 / month</w:t>
            </w:r>
          </w:p>
        </w:tc>
      </w:tr>
      <w:tr>
        <w:tc>
          <w:tcPr>
            <w:tcW w:type="dxa" w:w="37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IP Option 2 uplift (if Ethical Power owns IP)</w:t>
            </w:r>
          </w:p>
        </w:tc>
        <w:tc>
          <w:tcPr>
            <w:tcW w:type="dxa" w:w="19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One-off</w:t>
            </w:r>
          </w:p>
        </w:tc>
        <w:tc>
          <w:tcPr>
            <w:tcW w:type="dxa" w:w="14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w:t>
            </w:r>
          </w:p>
        </w:tc>
        <w:tc>
          <w:tcPr>
            <w:tcW w:type="dxa" w:w="2600"/>
            <w:tcMar>
              <w:top w:type="dxa" w:w="60"/>
              <w:left w:type="dxa" w:w="90"/>
              <w:bottom w:type="dxa" w:w="60"/>
              <w:right w:type="dxa" w:w="90"/>
            </w:tcMar>
            <w:vAlign w:val="center"/>
          </w:tcPr>
          <w:p>
            <w:pPr>
              <w:spacing w:after="20" w:line="240"/>
              <w:jc w:val="center"/>
            </w:pPr>
            <w:r>
              <w:rPr>
                <w:rFonts w:ascii="Calibri" w:cs="Calibri" w:eastAsia="Calibri" w:hAnsi="Calibri"/>
                <w:b w:val="false"/>
                <w:bCs w:val="false"/>
                <w:color w:val="1A1A1A"/>
                <w:sz w:val="18"/>
                <w:szCs w:val="18"/>
              </w:rPr>
              <w:t xml:space="preserve">[TBC]</w:t>
            </w:r>
          </w:p>
        </w:tc>
      </w:tr>
    </w:tbl>
    <w:p>
      <w:pPr>
        <w:spacing w:after="80" w:before="200"/>
      </w:pPr>
      <w:r>
        <w:rPr>
          <w:rFonts w:ascii="Calibri" w:cs="Calibri" w:eastAsia="Calibri" w:hAnsi="Calibri"/>
          <w:b/>
          <w:bCs/>
          <w:color w:val="1F3A63"/>
          <w:sz w:val="22"/>
          <w:szCs w:val="22"/>
        </w:rPr>
        <w:t xml:space="preserve">Payment milestones (Phase 1)</w:t>
      </w:r>
    </w:p>
    <w:tbl>
      <w:tblPr>
        <w:tblW w:type="dxa" w:w="9600"/>
        <w:tblBorders>
          <w:top w:val="single" w:color="C9CED6" w:sz="2"/>
          <w:left w:val="none"/>
          <w:bottom w:val="single" w:color="C9CED6" w:sz="2"/>
          <w:right w:val="none"/>
          <w:insideH w:val="single" w:color="D8DCE3" w:sz="2"/>
          <w:insideV w:val="single" w:color="E4E8ED" w:sz="2"/>
        </w:tblBorders>
      </w:tblPr>
      <w:tblGrid>
        <w:gridCol w:w="2100"/>
        <w:gridCol w:w="5100"/>
        <w:gridCol w:w="2400"/>
      </w:tblGrid>
      <w:tr>
        <w:trPr>
          <w:tblHeader/>
        </w:trPr>
        <w:tc>
          <w:tcPr>
            <w:tcW w:type="dxa" w:w="21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Stage</w:t>
            </w:r>
          </w:p>
        </w:tc>
        <w:tc>
          <w:tcPr>
            <w:tcW w:type="dxa" w:w="51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Trigger</w:t>
            </w:r>
          </w:p>
        </w:tc>
        <w:tc>
          <w:tcPr>
            <w:tcW w:type="dxa" w:w="2400"/>
            <w:shd w:fill="1F3A63" w:color="auto" w:val="clear"/>
            <w:tcMar>
              <w:top w:type="dxa" w:w="60"/>
              <w:left w:type="dxa" w:w="90"/>
              <w:bottom w:type="dxa" w:w="60"/>
              <w:right w:type="dxa" w:w="90"/>
            </w:tcMar>
            <w:vAlign w:val="center"/>
          </w:tcPr>
          <w:p>
            <w:pPr>
              <w:spacing w:after="20" w:line="240"/>
              <w:jc w:val="left"/>
            </w:pPr>
            <w:r>
              <w:rPr>
                <w:rFonts w:ascii="Calibri" w:cs="Calibri" w:eastAsia="Calibri" w:hAnsi="Calibri"/>
                <w:b/>
                <w:bCs/>
                <w:color w:val="FFFFFF"/>
                <w:sz w:val="18"/>
                <w:szCs w:val="18"/>
              </w:rPr>
              <w:t xml:space="preserve">Share</w:t>
            </w:r>
          </w:p>
        </w:tc>
      </w:tr>
      <w:tr>
        <w:tc>
          <w:tcPr>
            <w:tcW w:type="dxa" w:w="2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Mobilisation</w:t>
            </w:r>
          </w:p>
        </w:tc>
        <w:tc>
          <w:tcPr>
            <w:tcW w:type="dxa" w:w="5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Contract signature (M0)</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w:t>
            </w:r>
          </w:p>
        </w:tc>
      </w:tr>
      <w:tr>
        <w:tc>
          <w:tcPr>
            <w:tcW w:type="dxa" w:w="21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Foundation</w:t>
            </w:r>
          </w:p>
        </w:tc>
        <w:tc>
          <w:tcPr>
            <w:tcW w:type="dxa" w:w="51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M1 — environments + identity live</w:t>
            </w:r>
          </w:p>
        </w:tc>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w:t>
            </w:r>
          </w:p>
        </w:tc>
      </w:tr>
      <w:tr>
        <w:tc>
          <w:tcPr>
            <w:tcW w:type="dxa" w:w="2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Capture &amp; risk</w:t>
            </w:r>
          </w:p>
        </w:tc>
        <w:tc>
          <w:tcPr>
            <w:tcW w:type="dxa" w:w="5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M3 — wizard + risk register accepted</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w:t>
            </w:r>
          </w:p>
        </w:tc>
      </w:tr>
      <w:tr>
        <w:tc>
          <w:tcPr>
            <w:tcW w:type="dxa" w:w="21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Engine</w:t>
            </w:r>
          </w:p>
        </w:tc>
        <w:tc>
          <w:tcPr>
            <w:tcW w:type="dxa" w:w="51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M4/M5 — cost engine + outputs feature-complete</w:t>
            </w:r>
          </w:p>
        </w:tc>
        <w:tc>
          <w:tcPr>
            <w:tcW w:type="dxa" w:w="2400"/>
            <w:shd w:fill="F2F4F7" w:color="auto" w:val="clear"/>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w:t>
            </w:r>
          </w:p>
        </w:tc>
      </w:tr>
      <w:tr>
        <w:tc>
          <w:tcPr>
            <w:tcW w:type="dxa" w:w="2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Go-live</w:t>
            </w:r>
          </w:p>
        </w:tc>
        <w:tc>
          <w:tcPr>
            <w:tcW w:type="dxa" w:w="51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M7 — production go-live accepted</w:t>
            </w:r>
          </w:p>
        </w:tc>
        <w:tc>
          <w:tcPr>
            <w:tcW w:type="dxa" w:w="2400"/>
            <w:tcMar>
              <w:top w:type="dxa" w:w="60"/>
              <w:left w:type="dxa" w:w="90"/>
              <w:bottom w:type="dxa" w:w="60"/>
              <w:right w:type="dxa" w:w="90"/>
            </w:tcMar>
            <w:vAlign w:val="center"/>
          </w:tcPr>
          <w:p>
            <w:pPr>
              <w:spacing w:after="20" w:line="240"/>
              <w:jc w:val="left"/>
            </w:pPr>
            <w:r>
              <w:rPr>
                <w:rFonts w:ascii="Calibri" w:cs="Calibri" w:eastAsia="Calibri" w:hAnsi="Calibri"/>
                <w:b w:val="false"/>
                <w:bCs w:val="false"/>
                <w:color w:val="1A1A1A"/>
                <w:sz w:val="18"/>
                <w:szCs w:val="18"/>
              </w:rPr>
              <w:t xml:space="preserve">[TBC]%</w:t>
            </w:r>
          </w:p>
        </w:tc>
      </w:tr>
    </w:tbl>
    <w:p>
      <w:pPr>
        <w:spacing w:after="80" w:before="200"/>
      </w:pPr>
      <w:r>
        <w:rPr>
          <w:rFonts w:ascii="Calibri" w:cs="Calibri" w:eastAsia="Calibri" w:hAnsi="Calibri"/>
          <w:b/>
          <w:bCs/>
          <w:color w:val="1F3A63"/>
          <w:sz w:val="22"/>
          <w:szCs w:val="22"/>
        </w:rPr>
        <w:t xml:space="preserve">Validity</w:t>
      </w:r>
    </w:p>
    <w:p>
      <w:pPr>
        <w:spacing w:after="120" w:line="276"/>
      </w:pPr>
      <w:r>
        <w:rPr>
          <w:rFonts w:ascii="Calibri" w:cs="Calibri" w:eastAsia="Calibri" w:hAnsi="Calibri"/>
        </w:rPr>
        <w:t xml:space="preserve">This quotation is valid for 30 days from its date of issue. Effort estimates are indicative and firmed up at the end of discovery (Phase 0).</w:t>
      </w:r>
    </w:p>
    <w:p>
      <w:pPr>
        <w:pBdr>
          <w:bottom w:val="single" w:color="C9A227" w:sz="12" w:space="4"/>
        </w:pBdr>
        <w:spacing w:after="120" w:before="300"/>
      </w:pPr>
      <w:r>
        <w:rPr>
          <w:rFonts w:ascii="Calibri" w:cs="Calibri" w:eastAsia="Calibri" w:hAnsi="Calibri"/>
          <w:b/>
          <w:bCs/>
          <w:color w:val="C9A227"/>
          <w:sz w:val="26"/>
          <w:szCs w:val="26"/>
        </w:rPr>
        <w:t xml:space="preserve">11  </w:t>
      </w:r>
      <w:r>
        <w:rPr>
          <w:rFonts w:ascii="Calibri" w:cs="Calibri" w:eastAsia="Calibri" w:hAnsi="Calibri"/>
          <w:b/>
          <w:bCs/>
          <w:color w:val="16305A"/>
          <w:sz w:val="26"/>
          <w:szCs w:val="26"/>
        </w:rPr>
        <w:t xml:space="preserve">Assumptions, exclusions &amp; dependencies</w:t>
      </w:r>
    </w:p>
    <w:p>
      <w:pPr>
        <w:spacing w:after="80" w:before="200"/>
      </w:pPr>
      <w:r>
        <w:rPr>
          <w:rFonts w:ascii="Calibri" w:cs="Calibri" w:eastAsia="Calibri" w:hAnsi="Calibri"/>
          <w:b/>
          <w:bCs/>
          <w:color w:val="1F3A63"/>
          <w:sz w:val="22"/>
          <w:szCs w:val="22"/>
        </w:rPr>
        <w:t xml:space="preserve">Key assumptions</w:t>
      </w:r>
    </w:p>
    <w:p>
      <w:pPr>
        <w:pStyle w:val="ListParagraph"/>
        <w:numPr>
          <w:ilvl w:val="0"/>
          <w:numId w:val="2"/>
        </w:numPr>
        <w:spacing w:after="60"/>
      </w:pPr>
      <w:r>
        <w:rPr>
          <w:rFonts w:ascii="Calibri" w:cs="Calibri" w:eastAsia="Calibri" w:hAnsi="Calibri"/>
        </w:rPr>
        <w:t xml:space="preserve">Work starts w/c 4 August 2026 with a dedicated team of 2–3 for Phase 1.</w:t>
      </w:r>
    </w:p>
    <w:p>
      <w:pPr>
        <w:pStyle w:val="ListParagraph"/>
        <w:numPr>
          <w:ilvl w:val="0"/>
          <w:numId w:val="2"/>
        </w:numPr>
        <w:spacing w:after="60"/>
      </w:pPr>
      <w:r>
        <w:rPr>
          <w:rFonts w:ascii="Calibri" w:cs="Calibri" w:eastAsia="Calibri" w:hAnsi="Calibri"/>
        </w:rPr>
        <w:t xml:space="preserve">Ethical Power supplies rate-library figures, a product owner, Entra tenant cooperation and the Hessay reference dataset.</w:t>
      </w:r>
    </w:p>
    <w:p>
      <w:pPr>
        <w:pStyle w:val="ListParagraph"/>
        <w:numPr>
          <w:ilvl w:val="0"/>
          <w:numId w:val="2"/>
        </w:numPr>
        <w:spacing w:after="60"/>
      </w:pPr>
      <w:r>
        <w:rPr>
          <w:rFonts w:ascii="Calibri" w:cs="Calibri" w:eastAsia="Calibri" w:hAnsi="Calibri"/>
        </w:rPr>
        <w:t xml:space="preserve">Phase 1 scope is frozen at B1–B3 plus essential B7 output; Phase 2 modules follow after go-live.</w:t>
      </w:r>
    </w:p>
    <w:p>
      <w:pPr>
        <w:spacing w:after="80" w:before="200"/>
      </w:pPr>
      <w:r>
        <w:rPr>
          <w:rFonts w:ascii="Calibri" w:cs="Calibri" w:eastAsia="Calibri" w:hAnsi="Calibri"/>
          <w:b/>
          <w:bCs/>
          <w:color w:val="1F3A63"/>
          <w:sz w:val="22"/>
          <w:szCs w:val="22"/>
        </w:rPr>
        <w:t xml:space="preserve">Exclusions (not in the priced development)</w:t>
      </w:r>
    </w:p>
    <w:p>
      <w:pPr>
        <w:pStyle w:val="ListParagraph"/>
        <w:numPr>
          <w:ilvl w:val="0"/>
          <w:numId w:val="2"/>
        </w:numPr>
        <w:spacing w:after="60"/>
      </w:pPr>
      <w:r>
        <w:rPr>
          <w:rFonts w:ascii="Calibri" w:cs="Calibri" w:eastAsia="Calibri" w:hAnsi="Calibri"/>
          <w:b/>
          <w:bCs/>
        </w:rPr>
        <w:t xml:space="preserve">Azure consumption</w:t>
      </w:r>
      <w:r>
        <w:rPr>
          <w:rFonts w:ascii="Calibri" w:cs="Calibri" w:eastAsia="Calibri" w:hAnsi="Calibri"/>
        </w:rPr>
        <w:t xml:space="preserve"> — pass-through, billed monthly.</w:t>
      </w:r>
    </w:p>
    <w:p>
      <w:pPr>
        <w:pStyle w:val="ListParagraph"/>
        <w:numPr>
          <w:ilvl w:val="0"/>
          <w:numId w:val="2"/>
        </w:numPr>
        <w:spacing w:after="60"/>
      </w:pPr>
      <w:r>
        <w:rPr>
          <w:rFonts w:ascii="Calibri" w:cs="Calibri" w:eastAsia="Calibri" w:hAnsi="Calibri"/>
          <w:b/>
          <w:bCs/>
        </w:rPr>
        <w:t xml:space="preserve">Third-party licences</w:t>
      </w:r>
      <w:r>
        <w:rPr>
          <w:rFonts w:ascii="Calibri" w:cs="Calibri" w:eastAsia="Calibri" w:hAnsi="Calibri"/>
        </w:rPr>
        <w:t xml:space="preserve"> — e.g. PVcase, Google Maps Platform, any commercial mapping/data feeds.</w:t>
      </w:r>
    </w:p>
    <w:p>
      <w:pPr>
        <w:pStyle w:val="ListParagraph"/>
        <w:numPr>
          <w:ilvl w:val="0"/>
          <w:numId w:val="2"/>
        </w:numPr>
        <w:spacing w:after="60"/>
      </w:pPr>
      <w:r>
        <w:rPr>
          <w:rFonts w:ascii="Calibri" w:cs="Calibri" w:eastAsia="Calibri" w:hAnsi="Calibri"/>
          <w:b/>
          <w:bCs/>
        </w:rPr>
        <w:t xml:space="preserve">Grid-connection cost modelling</w:t>
      </w:r>
      <w:r>
        <w:rPr>
          <w:rFonts w:ascii="Calibri" w:cs="Calibri" w:eastAsia="Calibri" w:hAnsi="Calibri"/>
        </w:rPr>
        <w:t xml:space="preserve"> — excluded by design; obtained from the DNO.</w:t>
      </w:r>
    </w:p>
    <w:p>
      <w:pPr>
        <w:pStyle w:val="ListParagraph"/>
        <w:numPr>
          <w:ilvl w:val="0"/>
          <w:numId w:val="2"/>
        </w:numPr>
        <w:spacing w:after="60"/>
      </w:pPr>
      <w:r>
        <w:rPr>
          <w:rFonts w:ascii="Calibri" w:cs="Calibri" w:eastAsia="Calibri" w:hAnsi="Calibri"/>
          <w:b/>
          <w:bCs/>
        </w:rPr>
        <w:t xml:space="preserve">Rate data population</w:t>
      </w:r>
      <w:r>
        <w:rPr>
          <w:rFonts w:ascii="Calibri" w:cs="Calibri" w:eastAsia="Calibri" w:hAnsi="Calibri"/>
        </w:rPr>
        <w:t xml:space="preserve"> — Ethical Power’s QS/procurement responsibility.</w:t>
      </w:r>
    </w:p>
    <w:p>
      <w:pPr>
        <w:pStyle w:val="ListParagraph"/>
        <w:numPr>
          <w:ilvl w:val="0"/>
          <w:numId w:val="2"/>
        </w:numPr>
        <w:spacing w:after="60"/>
      </w:pPr>
      <w:r>
        <w:rPr>
          <w:rFonts w:ascii="Calibri" w:cs="Calibri" w:eastAsia="Calibri" w:hAnsi="Calibri"/>
          <w:b/>
          <w:bCs/>
        </w:rPr>
        <w:t xml:space="preserve">Data migration</w:t>
      </w:r>
      <w:r>
        <w:rPr>
          <w:rFonts w:ascii="Calibri" w:cs="Calibri" w:eastAsia="Calibri" w:hAnsi="Calibri"/>
        </w:rPr>
        <w:t xml:space="preserve"> beyond the Hessay reference project, and any hardware.</w:t>
      </w:r>
    </w:p>
    <w:p>
      <w:pPr>
        <w:pStyle w:val="ListParagraph"/>
        <w:numPr>
          <w:ilvl w:val="0"/>
          <w:numId w:val="2"/>
        </w:numPr>
        <w:spacing w:after="60"/>
      </w:pPr>
      <w:r>
        <w:rPr>
          <w:rFonts w:ascii="Calibri" w:cs="Calibri" w:eastAsia="Calibri" w:hAnsi="Calibri"/>
          <w:b/>
          <w:bCs/>
        </w:rPr>
        <w:t xml:space="preserve">Phase 2/3 features</w:t>
      </w:r>
      <w:r>
        <w:rPr>
          <w:rFonts w:ascii="Calibri" w:cs="Calibri" w:eastAsia="Calibri" w:hAnsi="Calibri"/>
        </w:rPr>
        <w:t xml:space="preserve"> not listed in Phase 1 scope.</w:t>
      </w:r>
    </w:p>
    <w:p>
      <w:pPr>
        <w:pBdr>
          <w:bottom w:val="single" w:color="C9A227" w:sz="12" w:space="4"/>
        </w:pBdr>
        <w:spacing w:after="120" w:before="300"/>
      </w:pPr>
      <w:r>
        <w:rPr>
          <w:rFonts w:ascii="Calibri" w:cs="Calibri" w:eastAsia="Calibri" w:hAnsi="Calibri"/>
          <w:b/>
          <w:bCs/>
          <w:color w:val="C9A227"/>
          <w:sz w:val="26"/>
          <w:szCs w:val="26"/>
        </w:rPr>
        <w:t xml:space="preserve">12  </w:t>
      </w:r>
      <w:r>
        <w:rPr>
          <w:rFonts w:ascii="Calibri" w:cs="Calibri" w:eastAsia="Calibri" w:hAnsi="Calibri"/>
          <w:b/>
          <w:bCs/>
          <w:color w:val="16305A"/>
          <w:sz w:val="26"/>
          <w:szCs w:val="26"/>
        </w:rPr>
        <w:t xml:space="preserve">Next steps</w:t>
      </w:r>
    </w:p>
    <w:p>
      <w:pPr>
        <w:pStyle w:val="ListParagraph"/>
        <w:numPr>
          <w:ilvl w:val="0"/>
          <w:numId w:val="2"/>
        </w:numPr>
        <w:spacing w:after="60"/>
      </w:pPr>
      <w:r>
        <w:rPr>
          <w:rFonts w:ascii="Calibri" w:cs="Calibri" w:eastAsia="Calibri" w:hAnsi="Calibri"/>
        </w:rPr>
        <w:t xml:space="preserve">Coreproma inserts day-rate and prices, replacing every [TBC], and issues the priced quotation.</w:t>
      </w:r>
    </w:p>
    <w:p>
      <w:pPr>
        <w:pStyle w:val="ListParagraph"/>
        <w:numPr>
          <w:ilvl w:val="0"/>
          <w:numId w:val="2"/>
        </w:numPr>
        <w:spacing w:after="60"/>
      </w:pPr>
      <w:r>
        <w:rPr>
          <w:rFonts w:ascii="Calibri" w:cs="Calibri" w:eastAsia="Calibri" w:hAnsi="Calibri"/>
        </w:rPr>
        <w:t xml:space="preserve">Ethical Power selects the IP option (Section 9), the MFA option (Section 6) and the support tier (Section 8).</w:t>
      </w:r>
    </w:p>
    <w:p>
      <w:pPr>
        <w:pStyle w:val="ListParagraph"/>
        <w:numPr>
          <w:ilvl w:val="0"/>
          <w:numId w:val="2"/>
        </w:numPr>
        <w:spacing w:after="60"/>
      </w:pPr>
      <w:r>
        <w:rPr>
          <w:rFonts w:ascii="Calibri" w:cs="Calibri" w:eastAsia="Calibri" w:hAnsi="Calibri"/>
        </w:rPr>
        <w:t xml:space="preserve">Both parties confirm the Phase 1 scope freeze and the rate-data handover date.</w:t>
      </w:r>
    </w:p>
    <w:p>
      <w:pPr>
        <w:pStyle w:val="ListParagraph"/>
        <w:numPr>
          <w:ilvl w:val="0"/>
          <w:numId w:val="2"/>
        </w:numPr>
        <w:spacing w:after="60"/>
      </w:pPr>
      <w:r>
        <w:rPr>
          <w:rFonts w:ascii="Calibri" w:cs="Calibri" w:eastAsia="Calibri" w:hAnsi="Calibri"/>
        </w:rPr>
        <w:t xml:space="preserve">Contract signature (M0) → discovery starts w/c 4 August → go-live ≈ 14 November 2026.</w:t>
      </w:r>
    </w:p>
    <w:p>
      <w:pPr>
        <w:spacing w:after="200"/>
      </w:pPr>
    </w:p>
    <w:p>
      <w:pPr>
        <w:spacing w:after="120" w:line="276"/>
      </w:pPr>
      <w:r>
        <w:rPr>
          <w:rFonts w:ascii="Calibri" w:cs="Calibri" w:eastAsia="Calibri" w:hAnsi="Calibri"/>
          <w:i/>
          <w:iCs/>
          <w:color w:val="5A6472"/>
          <w:sz w:val="16"/>
          <w:szCs w:val="16"/>
        </w:rPr>
        <w:t xml:space="preserve">Prepared by Coreproma for Ethical Power  ·  Commercial in confidence  ·  2 August 2026</w:t>
      </w:r>
    </w:p>
    <w:sectPr>
      <w:headerReference w:type="default" r:id="rId7"/>
      <w:footerReference w:type="default" r:id="rId8"/>
      <w:pgSz w:w="11906" w:h="16838" w:orient="portrait"/>
      <w:pgMar w:top="1200" w:right="1080" w:bottom="11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3" w:sz="6" w:space="4"/>
      </w:pBdr>
      <w:tabs>
        <w:tab w:val="right" w:pos="9600"/>
      </w:tabs>
      <w:spacing w:before="60"/>
    </w:pPr>
    <w:r>
      <w:rPr>
        <w:rFonts w:ascii="Calibri" w:cs="Calibri" w:eastAsia="Calibri" w:hAnsi="Calibri"/>
        <w:color w:val="5A6472"/>
        <w:sz w:val="15"/>
        <w:szCs w:val="15"/>
      </w:rPr>
      <w:t xml:space="preserve">Commercial in confidence</w:t>
    </w:r>
    <w:r>
      <w:rPr>
        <w:rFonts w:ascii="Calibri" w:cs="Calibri" w:eastAsia="Calibri" w:hAnsi="Calibri"/>
      </w:rPr>
      <w:t xml:space="preserve">	</w:t>
    </w:r>
    <w:r>
      <w:rPr>
        <w:rFonts w:ascii="Calibri" w:cs="Calibri" w:eastAsia="Calibri" w:hAnsi="Calibri"/>
        <w:color w:val="5A6472"/>
        <w:sz w:val="15"/>
        <w:szCs w:val="15"/>
      </w:rPr>
      <w:t xml:space="preserve">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6" w:space="4"/>
      </w:pBdr>
      <w:tabs>
        <w:tab w:val="right" w:pos="9600"/>
      </w:tabs>
      <w:spacing w:after="60"/>
    </w:pPr>
    <w:r>
      <w:rPr>
        <w:rFonts w:ascii="Calibri" w:cs="Calibri" w:eastAsia="Calibri" w:hAnsi="Calibri"/>
        <w:b/>
        <w:bCs/>
        <w:color w:val="16305A"/>
        <w:sz w:val="16"/>
        <w:szCs w:val="16"/>
      </w:rPr>
      <w:t xml:space="preserve">COREPROMA</w:t>
    </w:r>
    <w:r>
      <w:rPr>
        <w:rFonts w:ascii="Calibri" w:cs="Calibri" w:eastAsia="Calibri" w:hAnsi="Calibri"/>
        <w:color w:val="5A6472"/>
        <w:sz w:val="16"/>
        <w:szCs w:val="16"/>
      </w:rPr>
      <w:t xml:space="preserve">  ·  Solar Farm Platform</w:t>
    </w:r>
    <w:r>
      <w:rPr>
        <w:rFonts w:ascii="Calibri" w:cs="Calibri" w:eastAsia="Calibri" w:hAnsi="Calibri"/>
      </w:rPr>
      <w:t xml:space="preserve">	</w:t>
    </w:r>
    <w:r>
      <w:rPr>
        <w:rFonts w:ascii="Calibri" w:cs="Calibri" w:eastAsia="Calibri" w:hAnsi="Calibri"/>
        <w:color w:val="5A6472"/>
        <w:sz w:val="16"/>
        <w:szCs w:val="16"/>
      </w:rPr>
      <w:t xml:space="preserve">Prepared for Ethical Power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COREPROMA — Proposal &amp; Quotation for Ethical Power</dc:title>
  <dc:creator>Coreproma</dc:creator>
  <cp:lastModifiedBy>Un-named</cp:lastModifiedBy>
  <cp:revision>1</cp:revision>
  <dcterms:created xsi:type="dcterms:W3CDTF">2026-08-02T10:13:41.143Z</dcterms:created>
  <dcterms:modified xsi:type="dcterms:W3CDTF">2026-08-02T10:13:41.144Z</dcterms:modified>
</cp:coreProperties>
</file>

<file path=docProps/custom.xml><?xml version="1.0" encoding="utf-8"?>
<Properties xmlns="http://schemas.openxmlformats.org/officeDocument/2006/custom-properties" xmlns:vt="http://schemas.openxmlformats.org/officeDocument/2006/docPropsVTypes"/>
</file>