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Independent Contractor Services Agreement</w:t>
      </w:r>
    </w:p>
    <w:p>
      <w:pPr>
        <w:jc w:val="center"/>
      </w:pPr>
      <w:r>
        <w:rPr>
          <w:i/>
          <w:color w:val="666666"/>
          <w:sz w:val="20"/>
        </w:rPr>
        <w:t>Working draft — complete all blank fields before signing</w:t>
      </w:r>
    </w:p>
    <w:p/>
    <w:p>
      <w:r>
        <w:rPr>
          <w:b/>
        </w:rPr>
        <w:t xml:space="preserve">This Independent Contractor Services Agreement </w:t>
      </w:r>
      <w:r>
        <w:t xml:space="preserve">("Agreement") is entered into as of </w:t>
      </w:r>
      <w:r>
        <w:rPr>
          <w:b/>
        </w:rPr>
        <w:t>__________________, 2026</w:t>
      </w:r>
      <w:r>
        <w:t xml:space="preserve"> ("Effective Date") by and between:</w:t>
      </w:r>
    </w:p>
    <w:p>
      <w:pPr>
        <w:pStyle w:val="ListBullet"/>
      </w:pPr>
      <w:r>
        <w:t>Shelter from the Storm Inc., an Indiana nonprofit corporation ("Client"), with its principal place of business at ___________________________________________; and</w:t>
      </w:r>
    </w:p>
    <w:p>
      <w:pPr>
        <w:pStyle w:val="ListBullet"/>
      </w:pPr>
      <w:r>
        <w:t>Daniel Stephens, an individual independent contractor ("Contractor"), residing at ___________________________________________.</w:t>
      </w:r>
    </w:p>
    <w:p>
      <w:r>
        <w:t>Client and Contractor are each a "Party" and together the "Parties."</w:t>
      </w:r>
    </w:p>
    <w:p>
      <w:pPr>
        <w:pStyle w:val="Heading1"/>
      </w:pPr>
      <w:r>
        <w:t>1. Background</w:t>
      </w:r>
    </w:p>
    <w:p>
      <w:r>
        <w:t>Client operates a domestic violence shelter serving Indiana survivors and their families. Contractor has performed professional Salesforce administration, systems integration, data migration, and grant-management services for Client over the course of one calendar quarter. The Parties enter into this Agreement to memorialize the scope of those services and the compensation due for them.</w:t>
      </w:r>
    </w:p>
    <w:p>
      <w:pPr>
        <w:pStyle w:val="Heading1"/>
      </w:pPr>
      <w:r>
        <w:t>2. Scope of Services</w:t>
      </w:r>
    </w:p>
    <w:p>
      <w:r>
        <w:t xml:space="preserve">Contractor has provided, and shall be compensated for, the following professional services (collectively, the </w:t>
      </w:r>
      <w:r>
        <w:rPr>
          <w:b w:val="0"/>
        </w:rPr>
        <w:t>"Services"</w:t>
      </w:r>
      <w:r>
        <w:t xml:space="preserve">) covering </w:t>
      </w:r>
      <w:r>
        <w:rPr>
          <w:b/>
        </w:rPr>
        <w:t>one (1) quarter</w:t>
      </w:r>
      <w:r>
        <w:t xml:space="preserve"> of engagement (the "Service Period," from </w:t>
      </w:r>
      <w:r>
        <w:rPr>
          <w:b/>
        </w:rPr>
        <w:t>__________________, 2026</w:t>
      </w:r>
      <w:r>
        <w:t xml:space="preserve"> to </w:t>
      </w:r>
      <w:r>
        <w:rPr>
          <w:b/>
        </w:rPr>
        <w:t>__________________, 2026</w:t>
      </w:r>
      <w:r>
        <w:t>):</w:t>
      </w:r>
    </w:p>
    <w:p>
      <w:pPr>
        <w:pStyle w:val="Heading2"/>
      </w:pPr>
      <w:r>
        <w:t>2.1 Salesforce Platform Management</w:t>
      </w:r>
    </w:p>
    <w:p>
      <w:pPr>
        <w:pStyle w:val="ListBullet"/>
      </w:pPr>
      <w:r>
        <w:t>Administration and configuration of Client's Salesforce Nonprofit Cloud org, including objects, fields, page layouts, permission sets, sharing rules, validation rules, and Lightning apps.</w:t>
      </w:r>
    </w:p>
    <w:p>
      <w:pPr>
        <w:pStyle w:val="ListBullet"/>
      </w:pPr>
      <w:r>
        <w:t>Ongoing maintenance, sandbox-first change management, and a documented production-cutover process.</w:t>
      </w:r>
    </w:p>
    <w:p>
      <w:pPr>
        <w:pStyle w:val="ListBullet"/>
      </w:pPr>
      <w:r>
        <w:t>Knowledge-transfer documentation and a staff training walkthrough.</w:t>
      </w:r>
    </w:p>
    <w:p>
      <w:pPr>
        <w:pStyle w:val="Heading2"/>
      </w:pPr>
      <w:r>
        <w:t>2.2 Integration</w:t>
      </w:r>
    </w:p>
    <w:p>
      <w:pPr>
        <w:pStyle w:val="ListBullet"/>
      </w:pPr>
      <w:r>
        <w:t>Design and delivery of the website-to-CRM integration connecting Client's public intake forms to Salesforce, so survivor submissions create records in the org in near real time, with no protected information transmitted by email or left at rest in intermediate files.</w:t>
      </w:r>
    </w:p>
    <w:p>
      <w:pPr>
        <w:pStyle w:val="Heading2"/>
      </w:pPr>
      <w:r>
        <w:t>2.3 Migration of Paper / File-Based Records</w:t>
      </w:r>
    </w:p>
    <w:p>
      <w:pPr>
        <w:pStyle w:val="ListBullet"/>
      </w:pPr>
      <w:r>
        <w:t>Review of Client's existing paper and file-based workflows and migration of those workflows into structured Salesforce objects (including financial counseling, self-sufficiency matrix, referral, shelter-stay, and mandatory-reporting records), replacing manual paper and spreadsheet processes with auditable digital records.</w:t>
      </w:r>
    </w:p>
    <w:p>
      <w:pPr>
        <w:pStyle w:val="Heading2"/>
      </w:pPr>
      <w:r>
        <w:t>2.4 Grant Management, Research, and Application</w:t>
      </w:r>
    </w:p>
    <w:p>
      <w:pPr>
        <w:pStyle w:val="ListBullet"/>
      </w:pPr>
      <w:r>
        <w:t>Build-out of grant-lifecycle tracking (researching to application to submitted to awarded to reporting to closed), including application deadlines and reporting due dates, to support VOCA / VAWA / FVPSA and similar grant requirements.</w:t>
      </w:r>
    </w:p>
    <w:p>
      <w:pPr>
        <w:pStyle w:val="ListBullet"/>
      </w:pPr>
      <w:r>
        <w:t>Grant research and application support associated with the above.</w:t>
      </w:r>
    </w:p>
    <w:p>
      <w:pPr>
        <w:pStyle w:val="Heading1"/>
      </w:pPr>
      <w:r>
        <w:t>3. Compensation</w:t>
      </w:r>
    </w:p>
    <w:p>
      <w:r>
        <w:t xml:space="preserve">In full consideration for the Services, Client shall pay Contractor a fixed fee of </w:t>
      </w:r>
      <w:r>
        <w:rPr>
          <w:b/>
        </w:rPr>
        <w:t>two thousand five hundred U.S. dollars (US $2,500.00)</w:t>
      </w:r>
      <w:r>
        <w:t>.</w:t>
      </w:r>
    </w:p>
    <w:p>
      <w:r>
        <w:t>This is a flat fee for the entire Service Period and is not an hourly or recurring charge. No additional amounts (overtime, expenses, taxes withheld, or otherwise) are owed under this Agreement unless separately agreed in writing by both Parties.</w:t>
      </w:r>
    </w:p>
    <w:p>
      <w:pPr>
        <w:pStyle w:val="Heading1"/>
      </w:pPr>
      <w:r>
        <w:t>4. Payment Terms</w:t>
      </w:r>
    </w:p>
    <w:p>
      <w:pPr>
        <w:pStyle w:val="ListBullet"/>
      </w:pPr>
      <w:r>
        <w:t>Amount due: US $2,500.00</w:t>
      </w:r>
    </w:p>
    <w:p>
      <w:pPr>
        <w:pStyle w:val="ListBullet"/>
      </w:pPr>
      <w:r>
        <w:t>Due date: Net 15 days from the Effective Date (or upon execution of this Agreement, whichever is later).</w:t>
      </w:r>
    </w:p>
    <w:p>
      <w:pPr>
        <w:pStyle w:val="ListBullet"/>
      </w:pPr>
      <w:r>
        <w:t>Payment method: _________________________________________________ (e.g., check or electronic transfer to Contractor; details to be provided by Contractor).</w:t>
      </w:r>
    </w:p>
    <w:p>
      <w:pPr>
        <w:pStyle w:val="Heading1"/>
      </w:pPr>
      <w:r>
        <w:t>5. Independent Contractor Status</w:t>
      </w:r>
    </w:p>
    <w:p>
      <w:r>
        <w:t>Contractor is an independent contractor and not an employee, partner, agent, or joint venturer of Client. Contractor is solely responsible for all federal, state, and local taxes on amounts paid under this Agreement. Client will not withhold taxes and may issue an IRS Form 1099 if required by law. Contractor is not entitled to any employee benefits.</w:t>
      </w:r>
    </w:p>
    <w:p>
      <w:pPr>
        <w:pStyle w:val="Heading1"/>
      </w:pPr>
      <w:r>
        <w:t>6. Work Product and Ownership</w:t>
      </w:r>
    </w:p>
    <w:p>
      <w:r>
        <w:t>All configurations, metadata, documentation, and other deliverables created by Contractor specifically for Client under this Agreement ("Work Product") are the property of Client upon full payment. Contractor assigns to Client all right, title, and interest in such Work Product. Contractor retains the right to reuse general skills, methods, and know-how.</w:t>
      </w:r>
    </w:p>
    <w:p>
      <w:pPr>
        <w:pStyle w:val="Heading1"/>
      </w:pPr>
      <w:r>
        <w:t>7. Confidentiality</w:t>
      </w:r>
    </w:p>
    <w:p>
      <w:r>
        <w:t>Contractor acknowledges that, in performing the Services, Contractor may be exposed to highly sensitive information, including information protected under the Violence Against Women Act (VAWA) and Client's confidentiality obligations to survivors. Contractor shall:</w:t>
      </w:r>
    </w:p>
    <w:p>
      <w:pPr>
        <w:pStyle w:val="ListBullet"/>
      </w:pPr>
      <w:r>
        <w:t>hold all such information in strict confidence and use it solely to perform the Services;</w:t>
      </w:r>
    </w:p>
    <w:p>
      <w:pPr>
        <w:pStyle w:val="ListBullet"/>
      </w:pPr>
      <w:r>
        <w:t>not disclose any survivor or client information to any third party; and</w:t>
      </w:r>
    </w:p>
    <w:p>
      <w:pPr>
        <w:pStyle w:val="ListBullet"/>
      </w:pPr>
      <w:r>
        <w:t>continue these obligations indefinitely after this Agreement ends.</w:t>
      </w:r>
    </w:p>
    <w:p>
      <w:r>
        <w:t>Contractor confirms that no real survivor or client data was retained, exported, or used outside Client's systems in performing the Services.</w:t>
      </w:r>
    </w:p>
    <w:p>
      <w:pPr>
        <w:pStyle w:val="Heading1"/>
      </w:pPr>
      <w:r>
        <w:t>8. Warranties</w:t>
      </w:r>
    </w:p>
    <w:p>
      <w:r>
        <w:t>Contractor warrants that the Services were performed in a professional and workmanlike manner consistent with applicable industry standards.</w:t>
      </w:r>
    </w:p>
    <w:p>
      <w:pPr>
        <w:pStyle w:val="Heading1"/>
      </w:pPr>
      <w:r>
        <w:t>9. Limitation of Liability</w:t>
      </w:r>
    </w:p>
    <w:p>
      <w:r>
        <w:t>Except for breach of Section 7 (Confidentiality), neither Party's aggregate liability under this Agreement shall exceed the total fees paid hereunder (US $2,500.00). Neither Party is liable for indirect, incidental, or consequential damages.</w:t>
      </w:r>
    </w:p>
    <w:p>
      <w:pPr>
        <w:pStyle w:val="Heading1"/>
      </w:pPr>
      <w:r>
        <w:t>10. Governing Law</w:t>
      </w:r>
    </w:p>
    <w:p>
      <w:r>
        <w:t>This Agreement is governed by the laws of the State of Indiana, without regard to its conflict-of-laws principles.</w:t>
      </w:r>
    </w:p>
    <w:p>
      <w:pPr>
        <w:pStyle w:val="Heading1"/>
      </w:pPr>
      <w:r>
        <w:t>11. Entire Agreement</w:t>
      </w:r>
    </w:p>
    <w:p>
      <w:r>
        <w:t>This Agreement is the entire agreement between the Parties regarding its subject matter and supersedes all prior discussions. It may be amended only by a writing signed by both Parties. If any provision is held unenforceable, the remaining provisions remain in effect.</w:t>
      </w:r>
    </w:p>
    <w:p>
      <w:r>
        <w:br w:type="page"/>
      </w:r>
    </w:p>
    <w:p>
      <w:pPr>
        <w:pStyle w:val="Heading1"/>
      </w:pPr>
      <w:r>
        <w:t>Signatures</w:t>
      </w:r>
    </w:p>
    <w:p/>
    <w:p>
      <w:r>
        <w:rPr>
          <w:b/>
        </w:rPr>
        <w:t>CLIENT — Shelter from the Storm Inc.</w:t>
      </w:r>
    </w:p>
    <w:p/>
    <w:p>
      <w:r>
        <w:t>Signature: _________________________________________</w:t>
      </w:r>
    </w:p>
    <w:p/>
    <w:p>
      <w:r>
        <w:t>Name: Lana Stephens</w:t>
      </w:r>
    </w:p>
    <w:p/>
    <w:p>
      <w:r>
        <w:t>Title: President (authorized representative with signatory authority)</w:t>
      </w:r>
    </w:p>
    <w:p/>
    <w:p>
      <w:r>
        <w:t>Date: ____________________________________________</w:t>
      </w:r>
    </w:p>
    <w:p/>
    <w:p/>
    <w:p>
      <w:r>
        <w:rPr>
          <w:b/>
        </w:rPr>
        <w:t>CONTRACTOR — Daniel Stephens</w:t>
      </w:r>
    </w:p>
    <w:p/>
    <w:p>
      <w:r>
        <w:t>Signature: _________________________________________</w:t>
      </w:r>
    </w:p>
    <w:p/>
    <w:p>
      <w:r>
        <w:t>Name: Daniel Stephens</w:t>
      </w:r>
    </w:p>
    <w:p/>
    <w:p>
      <w:r>
        <w:t>Date: ____________________________________________</w:t>
      </w:r>
    </w:p>
    <w:p/>
    <w:p>
      <w:r>
        <w:rPr>
          <w:i/>
          <w:color w:val="666666"/>
          <w:sz w:val="18"/>
        </w:rPr>
        <w:t>Note: This document is a working draft prepared to memorialize an agreed engagement. It is not legal advice. The Parties should review and complete all blank fields (addresses, dates, payment details, signatory name and title) and may wish to have it reviewed by counsel before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