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24E54" w14:textId="77777777" w:rsidR="00A40BC3" w:rsidRPr="0037159C" w:rsidRDefault="00A40BC3" w:rsidP="00A40BC3">
      <w:pPr>
        <w:pStyle w:val="TtuloPortada"/>
        <w:rPr>
          <w:rStyle w:val="nfasissutil"/>
        </w:rPr>
      </w:pPr>
    </w:p>
    <w:p w14:paraId="6ABE8EFF" w14:textId="77777777" w:rsidR="00AC245C" w:rsidRDefault="00AC245C" w:rsidP="00AC245C">
      <w:pPr>
        <w:pStyle w:val="TtuloPortada"/>
      </w:pPr>
      <w:r>
        <w:t xml:space="preserve">Tecnologías emergentes y datos </w:t>
      </w:r>
      <w:bookmarkStart w:id="0" w:name="_GoBack"/>
      <w:bookmarkEnd w:id="0"/>
      <w:r>
        <w:t>abiertos:</w:t>
      </w:r>
    </w:p>
    <w:p w14:paraId="2B80CB91" w14:textId="77777777" w:rsidR="00AC245C" w:rsidRPr="00AC245C" w:rsidRDefault="00AC245C" w:rsidP="00AC245C">
      <w:pPr>
        <w:pStyle w:val="TtuloPortada"/>
        <w:rPr>
          <w:sz w:val="30"/>
        </w:rPr>
      </w:pPr>
    </w:p>
    <w:p w14:paraId="070E47FB" w14:textId="77777777" w:rsidR="00AC245C" w:rsidRDefault="00AC245C" w:rsidP="00AC245C">
      <w:pPr>
        <w:pStyle w:val="TtuloPortada"/>
      </w:pPr>
      <w:r>
        <w:t>INTELIGENCIA ARTIFICIAL</w:t>
      </w:r>
    </w:p>
    <w:p w14:paraId="6A3CB804" w14:textId="051911DC" w:rsidR="00A40BC3" w:rsidRPr="00CF03ED" w:rsidRDefault="00A40BC3" w:rsidP="00A40BC3">
      <w:pPr>
        <w:pStyle w:val="Ttulo1"/>
        <w:spacing w:line="360" w:lineRule="auto"/>
        <w:jc w:val="both"/>
        <w:rPr>
          <w:b/>
          <w:sz w:val="28"/>
        </w:rPr>
      </w:pPr>
      <w:r w:rsidRPr="00CF03ED">
        <w:rPr>
          <w:b/>
          <w:sz w:val="28"/>
        </w:rPr>
        <w:t>Resumen Ejecutivo del Informe:</w:t>
      </w:r>
    </w:p>
    <w:p w14:paraId="05772E4A" w14:textId="77777777" w:rsidR="00AC245C" w:rsidRDefault="00AC245C" w:rsidP="00AC245C">
      <w:pPr>
        <w:jc w:val="both"/>
      </w:pPr>
      <w:r>
        <w:t xml:space="preserve">La Inteligencia Artificial puede definirse como la capacidad de una máquina para imitar la inteligencia humana. La facultad de aprender o resolver </w:t>
      </w:r>
      <w:r>
        <w:rPr>
          <w:b/>
        </w:rPr>
        <w:t>problemas complejos y difusos</w:t>
      </w:r>
      <w:r>
        <w:t xml:space="preserve"> son características que se atribuyen a la mente humana. El campo de estudio de la Inteligencia Artificial trata de trasladar esas capacidades a las máquinas en forma de programas de software. </w:t>
      </w:r>
    </w:p>
    <w:p w14:paraId="48377F7F" w14:textId="77777777" w:rsidR="00AC245C" w:rsidRDefault="00AC245C" w:rsidP="00AC245C">
      <w:pPr>
        <w:jc w:val="both"/>
      </w:pPr>
    </w:p>
    <w:p w14:paraId="14230C95" w14:textId="77777777" w:rsidR="00AC245C" w:rsidRDefault="00AC245C" w:rsidP="00AC245C">
      <w:pPr>
        <w:jc w:val="both"/>
      </w:pPr>
      <w:r>
        <w:t xml:space="preserve">La inteligencia artificial es una de las tecnológicas con mayor evolución en los últimos años. El nuevo ciclo de expansión y crecimiento de este campo no parece tener un fin cercano. Existen </w:t>
      </w:r>
      <w:r>
        <w:rPr>
          <w:b/>
        </w:rPr>
        <w:t>dos factores fundamentales</w:t>
      </w:r>
      <w:r>
        <w:t xml:space="preserve"> que impulsan este crecimiento. Por un lado, el </w:t>
      </w:r>
      <w:r>
        <w:rPr>
          <w:b/>
        </w:rPr>
        <w:t>desarrollo de las tecnologías basadas en silicio</w:t>
      </w:r>
      <w:r>
        <w:t xml:space="preserve"> y por otro l</w:t>
      </w:r>
      <w:r>
        <w:rPr>
          <w:b/>
        </w:rPr>
        <w:t>a abundancia de grandes conjuntos de datos accesibles gracias a Internet</w:t>
      </w:r>
      <w:r>
        <w:t xml:space="preserve">. Por este motivo, a lo largo de este informe se analiza el impacto actual de la Inteligencia Artificial en nuestras vidas y su fuerte relación con la disponibilidad de conjuntos de datos abiertos. La Inteligencia Artificial está comenzando a modificar la forma en que los humanos utilizamos nuestros sentidos más básicos e interpretamos sus estímulos con la ayuda de nuestro cerebro. La Inteligencia Artificial, </w:t>
      </w:r>
      <w:r>
        <w:rPr>
          <w:b/>
        </w:rPr>
        <w:t>nos apoya en tareas cotidianas, como la forma en la que interpretamos el lenguaje o la forma en la que analizamos lo que nuestros ojos ven</w:t>
      </w:r>
      <w:r>
        <w:t xml:space="preserve">. Así, en este informe, analizamos cómo </w:t>
      </w:r>
      <w:r>
        <w:rPr>
          <w:b/>
        </w:rPr>
        <w:t>la Inteligencia Artificial amplifica nuestro sentido de la vista</w:t>
      </w:r>
      <w:r>
        <w:t xml:space="preserve"> para ayudarnos a clasificar mejor (más rápido) lo que vemos, o cómo, la Inteligencia Artificial </w:t>
      </w:r>
      <w:r>
        <w:rPr>
          <w:b/>
        </w:rPr>
        <w:t>nos ayuda a entender mejor el lenguaje humano</w:t>
      </w:r>
      <w:r>
        <w:t>, bien sea en la perspectiva de la traducción de idiomas o en la forma de buscar información escrita.</w:t>
      </w:r>
    </w:p>
    <w:p w14:paraId="1FA67F68" w14:textId="77777777" w:rsidR="00AC245C" w:rsidRDefault="00AC245C" w:rsidP="00AC245C">
      <w:pPr>
        <w:jc w:val="both"/>
      </w:pPr>
    </w:p>
    <w:p w14:paraId="51727300" w14:textId="77777777" w:rsidR="00AC245C" w:rsidRDefault="00AC245C" w:rsidP="00AC245C">
      <w:pPr>
        <w:jc w:val="both"/>
      </w:pPr>
      <w:r>
        <w:t xml:space="preserve">Este informe se vertebra en una nueva metodología denominada </w:t>
      </w:r>
      <w:r>
        <w:rPr>
          <w:i/>
        </w:rPr>
        <w:t>AIA -</w:t>
      </w:r>
      <w:proofErr w:type="spellStart"/>
      <w:r>
        <w:rPr>
          <w:i/>
        </w:rPr>
        <w:t>Awareness</w:t>
      </w:r>
      <w:proofErr w:type="spellEnd"/>
      <w:r>
        <w:rPr>
          <w:i/>
        </w:rPr>
        <w:t xml:space="preserve"> Inspire </w:t>
      </w:r>
      <w:proofErr w:type="spellStart"/>
      <w:r>
        <w:rPr>
          <w:i/>
        </w:rPr>
        <w:t>Action</w:t>
      </w:r>
      <w:proofErr w:type="spellEnd"/>
      <w:r>
        <w:rPr>
          <w:i/>
        </w:rPr>
        <w:t xml:space="preserve">-. </w:t>
      </w:r>
      <w:r>
        <w:t xml:space="preserve">Cada sección del informe, de acuerdo con la metodología, puede leerse de forma independiente. </w:t>
      </w:r>
      <w:r>
        <w:rPr>
          <w:b/>
        </w:rPr>
        <w:t>El nivel de profundidad del contenido del informe va aumentando progresivamente</w:t>
      </w:r>
      <w:r>
        <w:t xml:space="preserve">, desde la sección </w:t>
      </w:r>
      <w:proofErr w:type="spellStart"/>
      <w:r>
        <w:rPr>
          <w:i/>
        </w:rPr>
        <w:t>Awareness</w:t>
      </w:r>
      <w:proofErr w:type="spellEnd"/>
      <w:r>
        <w:t xml:space="preserve"> hasta la sección de </w:t>
      </w:r>
      <w:proofErr w:type="spellStart"/>
      <w:r>
        <w:rPr>
          <w:i/>
        </w:rPr>
        <w:t>Action</w:t>
      </w:r>
      <w:proofErr w:type="spellEnd"/>
      <w:r>
        <w:t xml:space="preserve">. </w:t>
      </w:r>
      <w:proofErr w:type="spellStart"/>
      <w:r>
        <w:rPr>
          <w:b/>
          <w:i/>
        </w:rPr>
        <w:t>Awareness</w:t>
      </w:r>
      <w:proofErr w:type="spellEnd"/>
      <w:r>
        <w:rPr>
          <w:b/>
          <w:i/>
        </w:rPr>
        <w:t xml:space="preserve">, </w:t>
      </w:r>
      <w:r>
        <w:t xml:space="preserve">sirve de introducción al tema en cuestión y trata de abordar la temática de forma sencilla, clara y sin el uso de tecnicismos que dificulten la lectura. </w:t>
      </w:r>
      <w:r>
        <w:rPr>
          <w:b/>
          <w:i/>
        </w:rPr>
        <w:t xml:space="preserve">Inspire, </w:t>
      </w:r>
      <w:r>
        <w:t xml:space="preserve">contiene ejemplos y casos de aplicación de la tecnología en situaciones cotidianas que favorece la identificación personal </w:t>
      </w:r>
      <w:r>
        <w:lastRenderedPageBreak/>
        <w:t xml:space="preserve">con la tecnología. Por último, </w:t>
      </w:r>
      <w:proofErr w:type="spellStart"/>
      <w:r>
        <w:rPr>
          <w:b/>
          <w:i/>
        </w:rPr>
        <w:t>Action</w:t>
      </w:r>
      <w:proofErr w:type="spellEnd"/>
      <w:r>
        <w:rPr>
          <w:b/>
          <w:i/>
        </w:rPr>
        <w:t xml:space="preserve"> </w:t>
      </w:r>
      <w:r>
        <w:t xml:space="preserve">selecciona alguno de los casos de usos explicados en la sección </w:t>
      </w:r>
      <w:r>
        <w:rPr>
          <w:i/>
        </w:rPr>
        <w:t>Inspire</w:t>
      </w:r>
      <w:r>
        <w:t xml:space="preserve"> y lo desarrolla de forma práctica, utilizando para ello, datos y herramientas tecnológicas reales. </w:t>
      </w:r>
    </w:p>
    <w:p w14:paraId="2EB2A603" w14:textId="77777777" w:rsidR="00AC245C" w:rsidRDefault="00AC245C" w:rsidP="00AC245C">
      <w:pPr>
        <w:jc w:val="both"/>
      </w:pPr>
    </w:p>
    <w:p w14:paraId="169780DB" w14:textId="77777777" w:rsidR="00AC245C" w:rsidRDefault="00AC245C" w:rsidP="00AC245C">
      <w:pPr>
        <w:jc w:val="both"/>
        <w:rPr>
          <w:b/>
        </w:rPr>
      </w:pPr>
      <w:r>
        <w:t xml:space="preserve">Finalmente, </w:t>
      </w:r>
      <w:r>
        <w:rPr>
          <w:b/>
        </w:rPr>
        <w:t>este informe solo es un punto de partida en nuestro viaje</w:t>
      </w:r>
      <w:r>
        <w:t xml:space="preserve"> por el devenir de la Inteligencia Artificial. Con el desarrollo tecnológico exponencial que vivimos actualmente, es imposible calibrar los avances, en el medio plazo, de la Inteligencia Artificial. Es tiempo para los nuevos </w:t>
      </w:r>
      <w:proofErr w:type="spellStart"/>
      <w:r>
        <w:rPr>
          <w:i/>
        </w:rPr>
        <w:t>Explorers</w:t>
      </w:r>
      <w:proofErr w:type="spellEnd"/>
      <w:r>
        <w:rPr>
          <w:i/>
        </w:rPr>
        <w:t xml:space="preserve"> de la tecnología</w:t>
      </w:r>
      <w:r>
        <w:t xml:space="preserve">. Por este motivo, los informes de esta colección terminan con una sección abierta (Próxima parada...) donde se proponen recursos para </w:t>
      </w:r>
      <w:r>
        <w:rPr>
          <w:b/>
        </w:rPr>
        <w:t>seguir aprendiendo e investigando sin parar.</w:t>
      </w:r>
    </w:p>
    <w:p w14:paraId="1FAE86D4" w14:textId="77777777" w:rsidR="00AC245C" w:rsidRDefault="00AC245C">
      <w:pPr>
        <w:spacing w:line="360" w:lineRule="auto"/>
        <w:jc w:val="both"/>
      </w:pPr>
    </w:p>
    <w:sectPr w:rsidR="00AC245C">
      <w:headerReference w:type="default" r:id="rId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21761" w14:textId="77777777" w:rsidR="00243383" w:rsidRDefault="00243383" w:rsidP="005922C4">
      <w:pPr>
        <w:spacing w:line="240" w:lineRule="auto"/>
      </w:pPr>
      <w:r>
        <w:separator/>
      </w:r>
    </w:p>
  </w:endnote>
  <w:endnote w:type="continuationSeparator" w:id="0">
    <w:p w14:paraId="6F898C46" w14:textId="77777777" w:rsidR="00243383" w:rsidRDefault="00243383" w:rsidP="00592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 Pro">
    <w:altName w:val="Segoe UI"/>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1B2B0" w14:textId="4B2DB7AE" w:rsidR="00A40BC3" w:rsidRDefault="00A40BC3">
    <w:pPr>
      <w:pStyle w:val="Piedepgina"/>
    </w:pPr>
    <w:r w:rsidRPr="00A40BC3">
      <w:rPr>
        <w:noProof/>
      </w:rPr>
      <w:drawing>
        <wp:anchor distT="0" distB="0" distL="114300" distR="114300" simplePos="0" relativeHeight="251661312" behindDoc="0" locked="0" layoutInCell="1" hidden="0" allowOverlap="1" wp14:anchorId="6912D715" wp14:editId="3145507E">
          <wp:simplePos x="0" y="0"/>
          <wp:positionH relativeFrom="column">
            <wp:posOffset>0</wp:posOffset>
          </wp:positionH>
          <wp:positionV relativeFrom="paragraph">
            <wp:posOffset>-526</wp:posOffset>
          </wp:positionV>
          <wp:extent cx="2882900" cy="278547"/>
          <wp:effectExtent l="0" t="0" r="0" b="762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882900" cy="278547"/>
                  </a:xfrm>
                  <a:prstGeom prst="rect">
                    <a:avLst/>
                  </a:prstGeom>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69879" w14:textId="77777777" w:rsidR="00243383" w:rsidRDefault="00243383" w:rsidP="005922C4">
      <w:pPr>
        <w:spacing w:line="240" w:lineRule="auto"/>
      </w:pPr>
      <w:r>
        <w:separator/>
      </w:r>
    </w:p>
  </w:footnote>
  <w:footnote w:type="continuationSeparator" w:id="0">
    <w:p w14:paraId="697BDC5A" w14:textId="77777777" w:rsidR="00243383" w:rsidRDefault="00243383" w:rsidP="005922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0AA2" w14:textId="172E5113" w:rsidR="005922C4" w:rsidRDefault="0037159C" w:rsidP="005922C4">
    <w:pPr>
      <w:pStyle w:val="Encabezado"/>
      <w:tabs>
        <w:tab w:val="clear" w:pos="4252"/>
        <w:tab w:val="clear" w:pos="8504"/>
        <w:tab w:val="left" w:pos="1260"/>
      </w:tabs>
    </w:pPr>
    <w:r>
      <w:rPr>
        <w:noProof/>
      </w:rPr>
      <w:drawing>
        <wp:anchor distT="0" distB="0" distL="114300" distR="114300" simplePos="0" relativeHeight="251663360" behindDoc="0" locked="0" layoutInCell="1" allowOverlap="1" wp14:anchorId="66E8F375" wp14:editId="76DF8925">
          <wp:simplePos x="0" y="0"/>
          <wp:positionH relativeFrom="page">
            <wp:align>right</wp:align>
          </wp:positionH>
          <wp:positionV relativeFrom="paragraph">
            <wp:posOffset>-457200</wp:posOffset>
          </wp:positionV>
          <wp:extent cx="7543165" cy="1634490"/>
          <wp:effectExtent l="0" t="0" r="63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ecera.jpg"/>
                  <pic:cNvPicPr/>
                </pic:nvPicPr>
                <pic:blipFill>
                  <a:blip r:embed="rId1">
                    <a:extLst>
                      <a:ext uri="{28A0092B-C50C-407E-A947-70E740481C1C}">
                        <a14:useLocalDpi xmlns:a14="http://schemas.microsoft.com/office/drawing/2010/main" val="0"/>
                      </a:ext>
                    </a:extLst>
                  </a:blip>
                  <a:stretch>
                    <a:fillRect/>
                  </a:stretch>
                </pic:blipFill>
                <pic:spPr>
                  <a:xfrm>
                    <a:off x="0" y="0"/>
                    <a:ext cx="7543165" cy="1634490"/>
                  </a:xfrm>
                  <a:prstGeom prst="rect">
                    <a:avLst/>
                  </a:prstGeom>
                </pic:spPr>
              </pic:pic>
            </a:graphicData>
          </a:graphic>
          <wp14:sizeRelH relativeFrom="page">
            <wp14:pctWidth>0</wp14:pctWidth>
          </wp14:sizeRelH>
          <wp14:sizeRelV relativeFrom="page">
            <wp14:pctHeight>0</wp14:pctHeight>
          </wp14:sizeRelV>
        </wp:anchor>
      </w:drawing>
    </w:r>
    <w:r w:rsidR="005922C4">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FE"/>
    <w:rsid w:val="000F3DFE"/>
    <w:rsid w:val="00243383"/>
    <w:rsid w:val="0037159C"/>
    <w:rsid w:val="005922C4"/>
    <w:rsid w:val="00701C58"/>
    <w:rsid w:val="00A40BC3"/>
    <w:rsid w:val="00AC245C"/>
    <w:rsid w:val="00BC39BC"/>
    <w:rsid w:val="00CF03ED"/>
    <w:rsid w:val="00DC088C"/>
    <w:rsid w:val="00F01E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BFAF0"/>
  <w15:docId w15:val="{4B8AF380-B23C-43F7-90F6-5EAD6D7B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5922C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922C4"/>
  </w:style>
  <w:style w:type="paragraph" w:styleId="Piedepgina">
    <w:name w:val="footer"/>
    <w:basedOn w:val="Normal"/>
    <w:link w:val="PiedepginaCar"/>
    <w:uiPriority w:val="99"/>
    <w:unhideWhenUsed/>
    <w:rsid w:val="005922C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922C4"/>
  </w:style>
  <w:style w:type="paragraph" w:customStyle="1" w:styleId="TtuloPortada">
    <w:name w:val="Título Portada"/>
    <w:autoRedefine/>
    <w:qFormat/>
    <w:rsid w:val="00A40BC3"/>
    <w:pPr>
      <w:spacing w:line="240" w:lineRule="auto"/>
      <w:ind w:right="-46"/>
      <w:jc w:val="center"/>
    </w:pPr>
    <w:rPr>
      <w:rFonts w:ascii="Myriad Pro" w:eastAsiaTheme="majorEastAsia" w:hAnsi="Myriad Pro" w:cstheme="majorBidi"/>
      <w:b/>
      <w:bCs/>
      <w:color w:val="7030A0"/>
      <w:sz w:val="48"/>
      <w:szCs w:val="72"/>
      <w:lang w:val="es-ES" w:eastAsia="en-US"/>
    </w:rPr>
  </w:style>
  <w:style w:type="character" w:styleId="nfasissutil">
    <w:name w:val="Subtle Emphasis"/>
    <w:basedOn w:val="Fuentedeprrafopredeter"/>
    <w:uiPriority w:val="19"/>
    <w:qFormat/>
    <w:rsid w:val="0037159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2622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Castillo</dc:creator>
  <cp:lastModifiedBy>Laura Castillo Martinez</cp:lastModifiedBy>
  <cp:revision>2</cp:revision>
  <dcterms:created xsi:type="dcterms:W3CDTF">2021-03-15T13:28:00Z</dcterms:created>
  <dcterms:modified xsi:type="dcterms:W3CDTF">2021-03-15T13:28:00Z</dcterms:modified>
</cp:coreProperties>
</file>