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Calibri" w:cs="Calibri" w:eastAsia="Calibri" w:hAnsi="Calibri"/>
          <w:b/>
          <w:bCs/>
          <w:color w:val="C8661E"/>
          <w:sz w:val="17"/>
          <w:szCs w:val="17"/>
        </w:rPr>
        <w:t xml:space="preserve">Introduction au Cloud Computing · Séance 1 · Licence 3 RIST / BDGL</w:t>
      </w:r>
    </w:p>
    <w:p>
      <w:pPr>
        <w:spacing w:after="20"/>
      </w:pPr>
      <w:r>
        <w:rPr>
          <w:rFonts w:ascii="Calibri" w:cs="Calibri" w:eastAsia="Calibri" w:hAnsi="Calibri"/>
          <w:b/>
          <w:bCs/>
          <w:color w:val="1F3A5F"/>
          <w:sz w:val="34"/>
          <w:szCs w:val="34"/>
        </w:rPr>
        <w:t xml:space="preserve">Fiche d'analyse : cartographier et chiffrer le cloud</w:t>
      </w:r>
    </w:p>
    <w:p>
      <w:pPr>
        <w:spacing w:after="60" w:before="0"/>
      </w:pPr>
      <w:r>
        <w:rPr>
          <w:rFonts w:ascii="Calibri" w:cs="Calibri" w:eastAsia="Calibri" w:hAnsi="Calibri"/>
          <w:color w:val="555555"/>
          <w:sz w:val="17"/>
          <w:szCs w:val="17"/>
        </w:rPr>
        <w:t xml:space="preserve">Binôme : [Nom Prénom 1] – [Nom Prénom 2]   |   Enseignant : M. BAKAYOKO Ibrahima</w:t>
      </w:r>
    </w:p>
    <w:p>
      <w:pPr>
        <w:pBdr>
          <w:bottom w:val="single" w:color="1F3A5F" w:sz="6" w:space="2"/>
        </w:pBdr>
        <w:spacing w:after="80" w:before="120"/>
      </w:pPr>
      <w:r>
        <w:rPr>
          <w:rFonts w:ascii="Calibri" w:cs="Calibri" w:eastAsia="Calibri" w:hAnsi="Calibri"/>
          <w:b/>
          <w:bCs/>
          <w:color w:val="1F3A5F"/>
          <w:sz w:val="24"/>
          <w:szCs w:val="24"/>
        </w:rPr>
        <w:t xml:space="preserve">Partie A : Cartographie de 8 services du quotidien</w:t>
      </w:r>
    </w:p>
    <w:p>
      <w:pPr>
        <w:spacing w:after="80" w:before="0"/>
      </w:pPr>
      <w:r>
        <w:rPr>
          <w:rFonts w:ascii="Calibri" w:cs="Calibri" w:eastAsia="Calibri" w:hAnsi="Calibri"/>
          <w:sz w:val="18"/>
          <w:szCs w:val="18"/>
        </w:rPr>
        <w:t xml:space="preserve">Pour chaque service : classification (IaaS, PaaS, SaaS), vérification des 5 caractéristiques essentielles du NIST (SP 800-145) et fournisseur d'hébergement probable.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150"/>
        <w:gridCol w:w="720"/>
        <w:gridCol w:w="1300"/>
        <w:gridCol w:w="1250"/>
        <w:gridCol w:w="1300"/>
        <w:gridCol w:w="1250"/>
        <w:gridCol w:w="1300"/>
        <w:gridCol w:w="1530"/>
      </w:tblGrid>
      <w:tr>
        <w:trPr>
          <w:cantSplit/>
          <w:tblHeader/>
        </w:trPr>
        <w:tc>
          <w:tcPr>
            <w:tcW w:type="dxa" w:w="1150"/>
            <w:tcBorders>
              <w:top w:val="single" w:color="9AA7B8" w:sz="4"/>
              <w:left w:val="single" w:color="9AA7B8" w:sz="4"/>
              <w:bottom w:val="single" w:color="9AA7B8" w:sz="4"/>
              <w:right w:val="single" w:color="9AA7B8" w:sz="4"/>
            </w:tcBorders>
            <w:shd w:fill="1F3A5F" w:color="auto" w:val="clear"/>
            <w:tcMar>
              <w:top w:type="dxa" w:w="40"/>
              <w:left w:type="dxa" w:w="70"/>
              <w:bottom w:type="dxa" w:w="40"/>
              <w:right w:type="dxa" w:w="70"/>
            </w:tcMar>
            <w:vAlign w:val="center"/>
          </w:tcPr>
          <w:p>
            <w:pPr>
              <w:spacing w:after="0"/>
              <w:jc w:val="center"/>
            </w:pPr>
            <w:r>
              <w:rPr>
                <w:rFonts w:ascii="Calibri" w:cs="Calibri" w:eastAsia="Calibri" w:hAnsi="Calibri"/>
                <w:b/>
                <w:bCs/>
                <w:color w:val="FFFFFF"/>
                <w:sz w:val="16"/>
                <w:szCs w:val="16"/>
              </w:rPr>
              <w:t xml:space="preserve">Service</w:t>
            </w:r>
          </w:p>
        </w:tc>
        <w:tc>
          <w:tcPr>
            <w:tcW w:type="dxa" w:w="720"/>
            <w:tcBorders>
              <w:top w:val="single" w:color="9AA7B8" w:sz="4"/>
              <w:left w:val="single" w:color="9AA7B8" w:sz="4"/>
              <w:bottom w:val="single" w:color="9AA7B8" w:sz="4"/>
              <w:right w:val="single" w:color="9AA7B8" w:sz="4"/>
            </w:tcBorders>
            <w:shd w:fill="1F3A5F" w:color="auto" w:val="clear"/>
            <w:tcMar>
              <w:top w:type="dxa" w:w="40"/>
              <w:left w:type="dxa" w:w="70"/>
              <w:bottom w:type="dxa" w:w="40"/>
              <w:right w:type="dxa" w:w="70"/>
            </w:tcMar>
            <w:vAlign w:val="center"/>
          </w:tcPr>
          <w:p>
            <w:pPr>
              <w:spacing w:after="0"/>
              <w:jc w:val="center"/>
            </w:pPr>
            <w:r>
              <w:rPr>
                <w:rFonts w:ascii="Calibri" w:cs="Calibri" w:eastAsia="Calibri" w:hAnsi="Calibri"/>
                <w:b/>
                <w:bCs/>
                <w:color w:val="FFFFFF"/>
                <w:sz w:val="16"/>
                <w:szCs w:val="16"/>
              </w:rPr>
              <w:t xml:space="preserve">Modèle</w:t>
            </w:r>
          </w:p>
        </w:tc>
        <w:tc>
          <w:tcPr>
            <w:tcW w:type="dxa" w:w="1300"/>
            <w:tcBorders>
              <w:top w:val="single" w:color="9AA7B8" w:sz="4"/>
              <w:left w:val="single" w:color="9AA7B8" w:sz="4"/>
              <w:bottom w:val="single" w:color="9AA7B8" w:sz="4"/>
              <w:right w:val="single" w:color="9AA7B8" w:sz="4"/>
            </w:tcBorders>
            <w:shd w:fill="1F3A5F" w:color="auto" w:val="clear"/>
            <w:tcMar>
              <w:top w:type="dxa" w:w="40"/>
              <w:left w:type="dxa" w:w="70"/>
              <w:bottom w:type="dxa" w:w="40"/>
              <w:right w:type="dxa" w:w="70"/>
            </w:tcMar>
            <w:vAlign w:val="center"/>
          </w:tcPr>
          <w:p>
            <w:pPr>
              <w:spacing w:after="0"/>
              <w:jc w:val="center"/>
            </w:pPr>
            <w:r>
              <w:rPr>
                <w:rFonts w:ascii="Calibri" w:cs="Calibri" w:eastAsia="Calibri" w:hAnsi="Calibri"/>
                <w:b/>
                <w:bCs/>
                <w:color w:val="FFFFFF"/>
                <w:sz w:val="16"/>
                <w:szCs w:val="16"/>
              </w:rPr>
              <w:t xml:space="preserve">Libre-service à la demande</w:t>
            </w:r>
          </w:p>
        </w:tc>
        <w:tc>
          <w:tcPr>
            <w:tcW w:type="dxa" w:w="1250"/>
            <w:tcBorders>
              <w:top w:val="single" w:color="9AA7B8" w:sz="4"/>
              <w:left w:val="single" w:color="9AA7B8" w:sz="4"/>
              <w:bottom w:val="single" w:color="9AA7B8" w:sz="4"/>
              <w:right w:val="single" w:color="9AA7B8" w:sz="4"/>
            </w:tcBorders>
            <w:shd w:fill="1F3A5F" w:color="auto" w:val="clear"/>
            <w:tcMar>
              <w:top w:type="dxa" w:w="40"/>
              <w:left w:type="dxa" w:w="70"/>
              <w:bottom w:type="dxa" w:w="40"/>
              <w:right w:type="dxa" w:w="70"/>
            </w:tcMar>
            <w:vAlign w:val="center"/>
          </w:tcPr>
          <w:p>
            <w:pPr>
              <w:spacing w:after="0"/>
              <w:jc w:val="center"/>
            </w:pPr>
            <w:r>
              <w:rPr>
                <w:rFonts w:ascii="Calibri" w:cs="Calibri" w:eastAsia="Calibri" w:hAnsi="Calibri"/>
                <w:b/>
                <w:bCs/>
                <w:color w:val="FFFFFF"/>
                <w:sz w:val="16"/>
                <w:szCs w:val="16"/>
              </w:rPr>
              <w:t xml:space="preserve">Accès réseau large</w:t>
            </w:r>
          </w:p>
        </w:tc>
        <w:tc>
          <w:tcPr>
            <w:tcW w:type="dxa" w:w="1300"/>
            <w:tcBorders>
              <w:top w:val="single" w:color="9AA7B8" w:sz="4"/>
              <w:left w:val="single" w:color="9AA7B8" w:sz="4"/>
              <w:bottom w:val="single" w:color="9AA7B8" w:sz="4"/>
              <w:right w:val="single" w:color="9AA7B8" w:sz="4"/>
            </w:tcBorders>
            <w:shd w:fill="1F3A5F" w:color="auto" w:val="clear"/>
            <w:tcMar>
              <w:top w:type="dxa" w:w="40"/>
              <w:left w:type="dxa" w:w="70"/>
              <w:bottom w:type="dxa" w:w="40"/>
              <w:right w:type="dxa" w:w="70"/>
            </w:tcMar>
            <w:vAlign w:val="center"/>
          </w:tcPr>
          <w:p>
            <w:pPr>
              <w:spacing w:after="0"/>
              <w:jc w:val="center"/>
            </w:pPr>
            <w:r>
              <w:rPr>
                <w:rFonts w:ascii="Calibri" w:cs="Calibri" w:eastAsia="Calibri" w:hAnsi="Calibri"/>
                <w:b/>
                <w:bCs/>
                <w:color w:val="FFFFFF"/>
                <w:sz w:val="16"/>
                <w:szCs w:val="16"/>
              </w:rPr>
              <w:t xml:space="preserve">Mutualisation</w:t>
            </w:r>
          </w:p>
        </w:tc>
        <w:tc>
          <w:tcPr>
            <w:tcW w:type="dxa" w:w="1250"/>
            <w:tcBorders>
              <w:top w:val="single" w:color="9AA7B8" w:sz="4"/>
              <w:left w:val="single" w:color="9AA7B8" w:sz="4"/>
              <w:bottom w:val="single" w:color="9AA7B8" w:sz="4"/>
              <w:right w:val="single" w:color="9AA7B8" w:sz="4"/>
            </w:tcBorders>
            <w:shd w:fill="1F3A5F" w:color="auto" w:val="clear"/>
            <w:tcMar>
              <w:top w:type="dxa" w:w="40"/>
              <w:left w:type="dxa" w:w="70"/>
              <w:bottom w:type="dxa" w:w="40"/>
              <w:right w:type="dxa" w:w="70"/>
            </w:tcMar>
            <w:vAlign w:val="center"/>
          </w:tcPr>
          <w:p>
            <w:pPr>
              <w:spacing w:after="0"/>
              <w:jc w:val="center"/>
            </w:pPr>
            <w:r>
              <w:rPr>
                <w:rFonts w:ascii="Calibri" w:cs="Calibri" w:eastAsia="Calibri" w:hAnsi="Calibri"/>
                <w:b/>
                <w:bCs/>
                <w:color w:val="FFFFFF"/>
                <w:sz w:val="16"/>
                <w:szCs w:val="16"/>
              </w:rPr>
              <w:t xml:space="preserve">Élasticité rapide</w:t>
            </w:r>
          </w:p>
        </w:tc>
        <w:tc>
          <w:tcPr>
            <w:tcW w:type="dxa" w:w="1300"/>
            <w:tcBorders>
              <w:top w:val="single" w:color="9AA7B8" w:sz="4"/>
              <w:left w:val="single" w:color="9AA7B8" w:sz="4"/>
              <w:bottom w:val="single" w:color="9AA7B8" w:sz="4"/>
              <w:right w:val="single" w:color="9AA7B8" w:sz="4"/>
            </w:tcBorders>
            <w:shd w:fill="1F3A5F" w:color="auto" w:val="clear"/>
            <w:tcMar>
              <w:top w:type="dxa" w:w="40"/>
              <w:left w:type="dxa" w:w="70"/>
              <w:bottom w:type="dxa" w:w="40"/>
              <w:right w:type="dxa" w:w="70"/>
            </w:tcMar>
            <w:vAlign w:val="center"/>
          </w:tcPr>
          <w:p>
            <w:pPr>
              <w:spacing w:after="0"/>
              <w:jc w:val="center"/>
            </w:pPr>
            <w:r>
              <w:rPr>
                <w:rFonts w:ascii="Calibri" w:cs="Calibri" w:eastAsia="Calibri" w:hAnsi="Calibri"/>
                <w:b/>
                <w:bCs/>
                <w:color w:val="FFFFFF"/>
                <w:sz w:val="16"/>
                <w:szCs w:val="16"/>
              </w:rPr>
              <w:t xml:space="preserve">Service mesuré</w:t>
            </w:r>
          </w:p>
        </w:tc>
        <w:tc>
          <w:tcPr>
            <w:tcW w:type="dxa" w:w="1530"/>
            <w:tcBorders>
              <w:top w:val="single" w:color="9AA7B8" w:sz="4"/>
              <w:left w:val="single" w:color="9AA7B8" w:sz="4"/>
              <w:bottom w:val="single" w:color="9AA7B8" w:sz="4"/>
              <w:right w:val="single" w:color="9AA7B8" w:sz="4"/>
            </w:tcBorders>
            <w:shd w:fill="1F3A5F" w:color="auto" w:val="clear"/>
            <w:tcMar>
              <w:top w:type="dxa" w:w="40"/>
              <w:left w:type="dxa" w:w="70"/>
              <w:bottom w:type="dxa" w:w="40"/>
              <w:right w:type="dxa" w:w="70"/>
            </w:tcMar>
            <w:vAlign w:val="center"/>
          </w:tcPr>
          <w:p>
            <w:pPr>
              <w:spacing w:after="0"/>
              <w:jc w:val="center"/>
            </w:pPr>
            <w:r>
              <w:rPr>
                <w:rFonts w:ascii="Calibri" w:cs="Calibri" w:eastAsia="Calibri" w:hAnsi="Calibri"/>
                <w:b/>
                <w:bCs/>
                <w:color w:val="FFFFFF"/>
                <w:sz w:val="16"/>
                <w:szCs w:val="16"/>
              </w:rPr>
              <w:t xml:space="preserve">Fournisseur probable</w:t>
            </w:r>
          </w:p>
        </w:tc>
      </w:tr>
      <w:tr>
        <w:trPr>
          <w:cantSplit/>
          <w:tblHeader w:val="false"/>
        </w:trPr>
        <w:tc>
          <w:tcPr>
            <w:tcW w:type="dxa" w:w="115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bCs/>
                <w:sz w:val="16"/>
                <w:szCs w:val="16"/>
              </w:rPr>
              <w:t xml:space="preserve">Gmail</w:t>
            </w:r>
          </w:p>
        </w:tc>
        <w:tc>
          <w:tcPr>
            <w:tcW w:type="dxa" w:w="72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SaaS</w:t>
            </w:r>
          </w:p>
        </w:tc>
        <w:tc>
          <w:tcPr>
            <w:tcW w:type="dxa" w:w="13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Compte créé seul en 2 min</w:t>
            </w:r>
          </w:p>
        </w:tc>
        <w:tc>
          <w:tcPr>
            <w:tcW w:type="dxa" w:w="125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Mobile, PC, tablette</w:t>
            </w:r>
          </w:p>
        </w:tc>
        <w:tc>
          <w:tcPr>
            <w:tcW w:type="dxa" w:w="13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Millions d'utilisateurs, mails isolés</w:t>
            </w:r>
          </w:p>
        </w:tc>
        <w:tc>
          <w:tcPr>
            <w:tcW w:type="dxa" w:w="125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Pics de mails absorbés</w:t>
            </w:r>
          </w:p>
        </w:tc>
        <w:tc>
          <w:tcPr>
            <w:tcW w:type="dxa" w:w="13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15 Go gratuits, puis abonnement</w:t>
            </w:r>
          </w:p>
        </w:tc>
        <w:tc>
          <w:tcPr>
            <w:tcW w:type="dxa" w:w="153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Google Cloud</w:t>
            </w:r>
          </w:p>
        </w:tc>
      </w:tr>
      <w:tr>
        <w:trPr>
          <w:cantSplit/>
          <w:tblHeader w:val="false"/>
        </w:trPr>
        <w:tc>
          <w:tcPr>
            <w:tcW w:type="dxa" w:w="115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bCs/>
                <w:sz w:val="16"/>
                <w:szCs w:val="16"/>
              </w:rPr>
              <w:t xml:space="preserve">YouTube</w:t>
            </w:r>
          </w:p>
        </w:tc>
        <w:tc>
          <w:tcPr>
            <w:tcW w:type="dxa" w:w="72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SaaS</w:t>
            </w:r>
          </w:p>
        </w:tc>
        <w:tc>
          <w:tcPr>
            <w:tcW w:type="dxa" w:w="13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Chaîne créée et vidéo publiée seul</w:t>
            </w:r>
          </w:p>
        </w:tc>
        <w:tc>
          <w:tcPr>
            <w:tcW w:type="dxa" w:w="125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Smartphone, PC, TV connectée</w:t>
            </w:r>
          </w:p>
        </w:tc>
        <w:tc>
          <w:tcPr>
            <w:tcW w:type="dxa" w:w="13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Même infrastructure pour tous les créateurs</w:t>
            </w:r>
          </w:p>
        </w:tc>
        <w:tc>
          <w:tcPr>
            <w:tcW w:type="dxa" w:w="125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Vidéo virale : 2 M de vues sans plantage</w:t>
            </w:r>
          </w:p>
        </w:tc>
        <w:tc>
          <w:tcPr>
            <w:tcW w:type="dxa" w:w="13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Vues et stockage mesurés, financé par la pub</w:t>
            </w:r>
          </w:p>
        </w:tc>
        <w:tc>
          <w:tcPr>
            <w:tcW w:type="dxa" w:w="153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Google Cloud</w:t>
            </w:r>
          </w:p>
        </w:tc>
      </w:tr>
      <w:tr>
        <w:trPr>
          <w:cantSplit/>
          <w:tblHeader w:val="false"/>
        </w:trPr>
        <w:tc>
          <w:tcPr>
            <w:tcW w:type="dxa" w:w="115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bCs/>
                <w:sz w:val="16"/>
                <w:szCs w:val="16"/>
              </w:rPr>
              <w:t xml:space="preserve">Google Drive</w:t>
            </w:r>
          </w:p>
        </w:tc>
        <w:tc>
          <w:tcPr>
            <w:tcW w:type="dxa" w:w="72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SaaS</w:t>
            </w:r>
          </w:p>
        </w:tc>
        <w:tc>
          <w:tcPr>
            <w:tcW w:type="dxa" w:w="13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Compte et envoi de fichiers seul</w:t>
            </w:r>
          </w:p>
        </w:tc>
        <w:tc>
          <w:tcPr>
            <w:tcW w:type="dxa" w:w="125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Fichiers accessibles partout</w:t>
            </w:r>
          </w:p>
        </w:tc>
        <w:tc>
          <w:tcPr>
            <w:tcW w:type="dxa" w:w="13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Fichiers de millions de comptes isolés</w:t>
            </w:r>
          </w:p>
        </w:tc>
        <w:tc>
          <w:tcPr>
            <w:tcW w:type="dxa" w:w="125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Stockage qui s'adapte</w:t>
            </w:r>
          </w:p>
        </w:tc>
        <w:tc>
          <w:tcPr>
            <w:tcW w:type="dxa" w:w="13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15 Go gratuits, puis abonnement</w:t>
            </w:r>
          </w:p>
        </w:tc>
        <w:tc>
          <w:tcPr>
            <w:tcW w:type="dxa" w:w="153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Google Cloud</w:t>
            </w:r>
          </w:p>
        </w:tc>
      </w:tr>
      <w:tr>
        <w:trPr>
          <w:cantSplit/>
          <w:tblHeader w:val="false"/>
        </w:trPr>
        <w:tc>
          <w:tcPr>
            <w:tcW w:type="dxa" w:w="115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bCs/>
                <w:sz w:val="16"/>
                <w:szCs w:val="16"/>
              </w:rPr>
              <w:t xml:space="preserve">Netflix</w:t>
            </w:r>
          </w:p>
        </w:tc>
        <w:tc>
          <w:tcPr>
            <w:tcW w:type="dxa" w:w="72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SaaS</w:t>
            </w:r>
          </w:p>
        </w:tc>
        <w:tc>
          <w:tcPr>
            <w:tcW w:type="dxa" w:w="13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Abonnement en quelques clics</w:t>
            </w:r>
          </w:p>
        </w:tc>
        <w:tc>
          <w:tcPr>
            <w:tcW w:type="dxa" w:w="125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TV, mobile, PC, tablette</w:t>
            </w:r>
          </w:p>
        </w:tc>
        <w:tc>
          <w:tcPr>
            <w:tcW w:type="dxa" w:w="13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Mêmes serveurs, profils séparés</w:t>
            </w:r>
          </w:p>
        </w:tc>
        <w:tc>
          <w:tcPr>
            <w:tcW w:type="dxa" w:w="125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Pic à la sortie d'une série</w:t>
            </w:r>
          </w:p>
        </w:tc>
        <w:tc>
          <w:tcPr>
            <w:tcW w:type="dxa" w:w="13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Abonnement mensuel</w:t>
            </w:r>
          </w:p>
        </w:tc>
        <w:tc>
          <w:tcPr>
            <w:tcW w:type="dxa" w:w="153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AWS</w:t>
            </w:r>
          </w:p>
        </w:tc>
      </w:tr>
      <w:tr>
        <w:trPr>
          <w:cantSplit/>
          <w:tblHeader w:val="false"/>
        </w:trPr>
        <w:tc>
          <w:tcPr>
            <w:tcW w:type="dxa" w:w="115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bCs/>
                <w:sz w:val="16"/>
                <w:szCs w:val="16"/>
              </w:rPr>
              <w:t xml:space="preserve">Microsoft 365</w:t>
            </w:r>
          </w:p>
        </w:tc>
        <w:tc>
          <w:tcPr>
            <w:tcW w:type="dxa" w:w="72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SaaS</w:t>
            </w:r>
          </w:p>
        </w:tc>
        <w:tc>
          <w:tcPr>
            <w:tcW w:type="dxa" w:w="13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Souscription sans intervention</w:t>
            </w:r>
          </w:p>
        </w:tc>
        <w:tc>
          <w:tcPr>
            <w:tcW w:type="dxa" w:w="125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Word, Excel, Outlook en ligne</w:t>
            </w:r>
          </w:p>
        </w:tc>
        <w:tc>
          <w:tcPr>
            <w:tcW w:type="dxa" w:w="13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Entreprises et étudiants isolés</w:t>
            </w:r>
          </w:p>
        </w:tc>
        <w:tc>
          <w:tcPr>
            <w:tcW w:type="dxa" w:w="125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Pics d'usage (examens, début de journée)</w:t>
            </w:r>
          </w:p>
        </w:tc>
        <w:tc>
          <w:tcPr>
            <w:tcW w:type="dxa" w:w="13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Prix par utilisateur et par mois</w:t>
            </w:r>
          </w:p>
        </w:tc>
        <w:tc>
          <w:tcPr>
            <w:tcW w:type="dxa" w:w="153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Azure</w:t>
            </w:r>
          </w:p>
        </w:tc>
      </w:tr>
      <w:tr>
        <w:trPr>
          <w:cantSplit/>
          <w:tblHeader w:val="false"/>
        </w:trPr>
        <w:tc>
          <w:tcPr>
            <w:tcW w:type="dxa" w:w="115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bCs/>
                <w:sz w:val="16"/>
                <w:szCs w:val="16"/>
              </w:rPr>
              <w:t xml:space="preserve">ChatGPT</w:t>
            </w:r>
          </w:p>
        </w:tc>
        <w:tc>
          <w:tcPr>
            <w:tcW w:type="dxa" w:w="72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SaaS</w:t>
            </w:r>
          </w:p>
        </w:tc>
        <w:tc>
          <w:tcPr>
            <w:tcW w:type="dxa" w:w="13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Compte créé, discussion immédiate</w:t>
            </w:r>
          </w:p>
        </w:tc>
        <w:tc>
          <w:tcPr>
            <w:tcW w:type="dxa" w:w="125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Site web et appli mobile</w:t>
            </w:r>
          </w:p>
        </w:tc>
        <w:tc>
          <w:tcPr>
            <w:tcW w:type="dxa" w:w="13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Mêmes GPU, conversations séparées</w:t>
            </w:r>
          </w:p>
        </w:tc>
        <w:tc>
          <w:tcPr>
            <w:tcW w:type="dxa" w:w="125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Ressources ajustées selon la demande</w:t>
            </w:r>
          </w:p>
        </w:tc>
        <w:tc>
          <w:tcPr>
            <w:tcW w:type="dxa" w:w="13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Gratuit limité, ou abonnement</w:t>
            </w:r>
          </w:p>
        </w:tc>
        <w:tc>
          <w:tcPr>
            <w:tcW w:type="dxa" w:w="153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Azure (principal)</w:t>
            </w:r>
          </w:p>
        </w:tc>
      </w:tr>
      <w:tr>
        <w:trPr>
          <w:cantSplit/>
          <w:tblHeader w:val="false"/>
        </w:trPr>
        <w:tc>
          <w:tcPr>
            <w:tcW w:type="dxa" w:w="115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bCs/>
                <w:sz w:val="16"/>
                <w:szCs w:val="16"/>
              </w:rPr>
              <w:t xml:space="preserve">WhatsApp</w:t>
            </w:r>
          </w:p>
        </w:tc>
        <w:tc>
          <w:tcPr>
            <w:tcW w:type="dxa" w:w="72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SaaS</w:t>
            </w:r>
          </w:p>
        </w:tc>
        <w:tc>
          <w:tcPr>
            <w:tcW w:type="dxa" w:w="13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Inscription seul avec le numéro</w:t>
            </w:r>
          </w:p>
        </w:tc>
        <w:tc>
          <w:tcPr>
            <w:tcW w:type="dxa" w:w="125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Mobile, ordinateur, WhatsApp Web</w:t>
            </w:r>
          </w:p>
        </w:tc>
        <w:tc>
          <w:tcPr>
            <w:tcW w:type="dxa" w:w="13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Milliards d'utilisateurs isolés</w:t>
            </w:r>
          </w:p>
        </w:tc>
        <w:tc>
          <w:tcPr>
            <w:tcW w:type="dxa" w:w="125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Pic du 31 décembre absorbé</w:t>
            </w:r>
          </w:p>
        </w:tc>
        <w:tc>
          <w:tcPr>
            <w:tcW w:type="dxa" w:w="13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Gratuit pour l'utilisateur, Business facturé</w:t>
            </w:r>
          </w:p>
        </w:tc>
        <w:tc>
          <w:tcPr>
            <w:tcW w:type="dxa" w:w="153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Meta (data centers propres)</w:t>
            </w:r>
          </w:p>
        </w:tc>
      </w:tr>
      <w:tr>
        <w:trPr>
          <w:cantSplit/>
          <w:tblHeader w:val="false"/>
        </w:trPr>
        <w:tc>
          <w:tcPr>
            <w:tcW w:type="dxa" w:w="115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bCs/>
                <w:sz w:val="16"/>
                <w:szCs w:val="16"/>
              </w:rPr>
              <w:t xml:space="preserve">Zoom</w:t>
            </w:r>
          </w:p>
        </w:tc>
        <w:tc>
          <w:tcPr>
            <w:tcW w:type="dxa" w:w="72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SaaS</w:t>
            </w:r>
          </w:p>
        </w:tc>
        <w:tc>
          <w:tcPr>
            <w:tcW w:type="dxa" w:w="13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Réunion lancée en un clic</w:t>
            </w:r>
          </w:p>
        </w:tc>
        <w:tc>
          <w:tcPr>
            <w:tcW w:type="dxa" w:w="125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Appli, navigateur, téléphone</w:t>
            </w:r>
          </w:p>
        </w:tc>
        <w:tc>
          <w:tcPr>
            <w:tcW w:type="dxa" w:w="13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Réunions simultanées isolées</w:t>
            </w:r>
          </w:p>
        </w:tc>
        <w:tc>
          <w:tcPr>
            <w:tcW w:type="dxa" w:w="125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Explosion de l'usage en 2020</w:t>
            </w:r>
          </w:p>
        </w:tc>
        <w:tc>
          <w:tcPr>
            <w:tcW w:type="dxa" w:w="13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Gratuit limité à 40 min, sinon payant</w:t>
            </w:r>
          </w:p>
        </w:tc>
        <w:tc>
          <w:tcPr>
            <w:tcW w:type="dxa" w:w="153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AWS, Oracle Cloud, data centers propres</w:t>
            </w:r>
          </w:p>
        </w:tc>
      </w:tr>
    </w:tbl>
    <w:p>
      <w:pPr>
        <w:spacing w:after="40" w:before="0"/>
      </w:pPr>
      <w:r>
        <w:rPr>
          <w:rFonts w:ascii="Calibri" w:cs="Calibri" w:eastAsia="Calibri" w:hAnsi="Calibri"/>
          <w:sz w:val="19"/>
          <w:szCs w:val="19"/>
        </w:rPr>
        <w:t xml:space="preserve"/>
      </w:r>
    </w:p>
    <w:p>
      <w:pPr>
        <w:pBdr>
          <w:left w:val="single" w:color="1F3A5F" w:sz="18" w:space="6"/>
        </w:pBdr>
        <w:shd w:fill="E8EDF4" w:color="auto" w:val="clear"/>
        <w:spacing w:after="80"/>
        <w:ind w:left="140"/>
      </w:pPr>
      <w:r>
        <w:rPr>
          <w:rFonts w:ascii="Calibri" w:cs="Calibri" w:eastAsia="Calibri" w:hAnsi="Calibri"/>
          <w:b/>
          <w:bCs/>
          <w:sz w:val="18"/>
          <w:szCs w:val="18"/>
        </w:rPr>
        <w:t xml:space="preserve">Conclusion : </w:t>
      </w:r>
      <w:r>
        <w:rPr>
          <w:rFonts w:ascii="Calibri" w:cs="Calibri" w:eastAsia="Calibri" w:hAnsi="Calibri"/>
          <w:sz w:val="18"/>
          <w:szCs w:val="18"/>
        </w:rPr>
        <w:t xml:space="preserve">Les 8 services analysés sont tous des SaaS et valident les 5 caractéristiques du NIST. Les services grand public sont quasi exclusivement des SaaS, l'IaaS et le PaaS s'adressant surtout aux développeurs. Ils reposent sur un petit nombre d'hébergeurs (Google, AWS, Azure, Meta), ce qui illustre la concentration du marché vue en cours, où trois acteurs détiennent plus de 60 %.</w:t>
      </w:r>
    </w:p>
    <w:p>
      <w:pPr>
        <w:pBdr>
          <w:left w:val="single" w:color="1F3A5F" w:sz="18" w:space="6"/>
        </w:pBdr>
        <w:shd w:fill="E8EDF4" w:color="auto" w:val="clear"/>
        <w:spacing w:after="80"/>
        <w:ind w:left="140"/>
      </w:pPr>
      <w:r>
        <w:rPr>
          <w:rFonts w:ascii="Calibri" w:cs="Calibri" w:eastAsia="Calibri" w:hAnsi="Calibri"/>
          <w:b/>
          <w:bCs/>
          <w:sz w:val="18"/>
          <w:szCs w:val="18"/>
        </w:rPr>
        <w:t xml:space="preserve">Contre-exemple : </w:t>
      </w:r>
      <w:r>
        <w:rPr>
          <w:rFonts w:ascii="Calibri" w:cs="Calibri" w:eastAsia="Calibri" w:hAnsi="Calibri"/>
          <w:sz w:val="18"/>
          <w:szCs w:val="18"/>
        </w:rPr>
        <w:t xml:space="preserve">une machine virtuelle VMware avec Ubuntu fonctionne en local (on-premise). Elle repose sur la virtualisation, technologie de base du cloud, mais ne remplit pas les critères du NIST : pas de libre-service externe, pas d'accès réseau large, ni mutualisation, élasticité ou mesure de l'usage. Ce n'est donc pas du cloud.</w:t>
      </w:r>
    </w:p>
    <w:p>
      <w:pPr>
        <w:spacing w:after="0" w:before="40"/>
      </w:pPr>
      <w:r>
        <w:rPr>
          <w:rFonts w:ascii="Calibri" w:cs="Calibri" w:eastAsia="Calibri" w:hAnsi="Calibri"/>
          <w:i/>
          <w:iCs/>
          <w:color w:val="666666"/>
          <w:sz w:val="15"/>
          <w:szCs w:val="15"/>
        </w:rPr>
        <w:t xml:space="preserve">Les fournisseurs sont des déductions à partir d'informations publiques ; ils peuvent évoluer et certains services utilisent plusieurs hébergeurs.</w:t>
      </w:r>
    </w:p>
    <w:p>
      <w:r>
        <w:br w:type="page"/>
      </w:r>
    </w:p>
    <w:p>
      <w:pPr>
        <w:pBdr>
          <w:bottom w:val="single" w:color="1F3A5F" w:sz="6" w:space="2"/>
        </w:pBdr>
        <w:spacing w:after="80" w:before="120"/>
      </w:pPr>
      <w:r>
        <w:rPr>
          <w:rFonts w:ascii="Calibri" w:cs="Calibri" w:eastAsia="Calibri" w:hAnsi="Calibri"/>
          <w:b/>
          <w:bCs/>
          <w:color w:val="1F3A5F"/>
          <w:sz w:val="24"/>
          <w:szCs w:val="24"/>
        </w:rPr>
        <w:t xml:space="preserve">Partie B : Estimation de coûts, cloud vs serveur physique</w:t>
      </w:r>
    </w:p>
    <w:p>
      <w:pPr>
        <w:spacing w:after="40" w:before="0"/>
      </w:pPr>
      <w:r>
        <w:rPr>
          <w:rFonts w:ascii="Calibri" w:cs="Calibri" w:eastAsia="Calibri" w:hAnsi="Calibri"/>
          <w:b/>
          <w:bCs/>
          <w:color w:val="1F3A5F"/>
          <w:sz w:val="20"/>
          <w:szCs w:val="20"/>
        </w:rPr>
        <w:t xml:space="preserve">1. Estimation avec l'Azure Pricing Calculator</w:t>
      </w:r>
    </w:p>
    <w:p>
      <w:pPr>
        <w:spacing w:after="40" w:before="0"/>
      </w:pPr>
      <w:r>
        <w:rPr>
          <w:rFonts w:ascii="Calibri" w:cs="Calibri" w:eastAsia="Calibri" w:hAnsi="Calibri"/>
          <w:sz w:val="18"/>
          <w:szCs w:val="18"/>
        </w:rPr>
        <w:t xml:space="preserve">Configuration : 1 VM Linux (Ubuntu) + 50 Go de stockage pour un mois, région East US.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2700"/>
        <w:gridCol w:w="2700"/>
      </w:tblGrid>
      <w:tr>
        <w:trPr>
          <w:cantSplit/>
          <w:tblHeader/>
        </w:trPr>
        <w:tc>
          <w:tcPr>
            <w:tcW w:type="dxa" w:w="5400"/>
            <w:tcBorders>
              <w:top w:val="single" w:color="9AA7B8" w:sz="4"/>
              <w:left w:val="single" w:color="9AA7B8" w:sz="4"/>
              <w:bottom w:val="single" w:color="9AA7B8" w:sz="4"/>
              <w:right w:val="single" w:color="9AA7B8" w:sz="4"/>
            </w:tcBorders>
            <w:shd w:fill="1F3A5F" w:color="auto" w:val="clear"/>
            <w:tcMar>
              <w:top w:type="dxa" w:w="40"/>
              <w:left w:type="dxa" w:w="70"/>
              <w:bottom w:type="dxa" w:w="40"/>
              <w:right w:type="dxa" w:w="70"/>
            </w:tcMar>
            <w:vAlign w:val="center"/>
          </w:tcPr>
          <w:p>
            <w:pPr>
              <w:spacing w:after="0"/>
              <w:jc w:val="center"/>
            </w:pPr>
            <w:r>
              <w:rPr>
                <w:rFonts w:ascii="Calibri" w:cs="Calibri" w:eastAsia="Calibri" w:hAnsi="Calibri"/>
                <w:b/>
                <w:bCs/>
                <w:color w:val="FFFFFF"/>
                <w:sz w:val="16"/>
                <w:szCs w:val="16"/>
              </w:rPr>
              <w:t xml:space="preserve">Élément</w:t>
            </w:r>
          </w:p>
        </w:tc>
        <w:tc>
          <w:tcPr>
            <w:tcW w:type="dxa" w:w="2700"/>
            <w:tcBorders>
              <w:top w:val="single" w:color="9AA7B8" w:sz="4"/>
              <w:left w:val="single" w:color="9AA7B8" w:sz="4"/>
              <w:bottom w:val="single" w:color="9AA7B8" w:sz="4"/>
              <w:right w:val="single" w:color="9AA7B8" w:sz="4"/>
            </w:tcBorders>
            <w:shd w:fill="1F3A5F" w:color="auto" w:val="clear"/>
            <w:tcMar>
              <w:top w:type="dxa" w:w="40"/>
              <w:left w:type="dxa" w:w="70"/>
              <w:bottom w:type="dxa" w:w="40"/>
              <w:right w:type="dxa" w:w="70"/>
            </w:tcMar>
            <w:vAlign w:val="center"/>
          </w:tcPr>
          <w:p>
            <w:pPr>
              <w:spacing w:after="0"/>
              <w:jc w:val="center"/>
            </w:pPr>
            <w:r>
              <w:rPr>
                <w:rFonts w:ascii="Calibri" w:cs="Calibri" w:eastAsia="Calibri" w:hAnsi="Calibri"/>
                <w:b/>
                <w:bCs/>
                <w:color w:val="FFFFFF"/>
                <w:sz w:val="16"/>
                <w:szCs w:val="16"/>
              </w:rPr>
              <w:t xml:space="preserve">Détail</w:t>
            </w:r>
          </w:p>
        </w:tc>
        <w:tc>
          <w:tcPr>
            <w:tcW w:type="dxa" w:w="2700"/>
            <w:tcBorders>
              <w:top w:val="single" w:color="9AA7B8" w:sz="4"/>
              <w:left w:val="single" w:color="9AA7B8" w:sz="4"/>
              <w:bottom w:val="single" w:color="9AA7B8" w:sz="4"/>
              <w:right w:val="single" w:color="9AA7B8" w:sz="4"/>
            </w:tcBorders>
            <w:shd w:fill="1F3A5F" w:color="auto" w:val="clear"/>
            <w:tcMar>
              <w:top w:type="dxa" w:w="40"/>
              <w:left w:type="dxa" w:w="70"/>
              <w:bottom w:type="dxa" w:w="40"/>
              <w:right w:type="dxa" w:w="70"/>
            </w:tcMar>
            <w:vAlign w:val="center"/>
          </w:tcPr>
          <w:p>
            <w:pPr>
              <w:spacing w:after="0"/>
              <w:jc w:val="center"/>
            </w:pPr>
            <w:r>
              <w:rPr>
                <w:rFonts w:ascii="Calibri" w:cs="Calibri" w:eastAsia="Calibri" w:hAnsi="Calibri"/>
                <w:b/>
                <w:bCs/>
                <w:color w:val="FFFFFF"/>
                <w:sz w:val="16"/>
                <w:szCs w:val="16"/>
              </w:rPr>
              <w:t xml:space="preserve">Coût</w:t>
            </w:r>
          </w:p>
        </w:tc>
      </w:tr>
      <w:tr>
        <w:trPr>
          <w:cantSplit/>
          <w:tblHeader w:val="false"/>
        </w:trPr>
        <w:tc>
          <w:tcPr>
            <w:tcW w:type="dxa" w:w="54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bCs/>
                <w:sz w:val="18"/>
                <w:szCs w:val="18"/>
              </w:rPr>
              <w:t xml:space="preserve">Machine virtuelle</w:t>
            </w:r>
          </w:p>
        </w:tc>
        <w:tc>
          <w:tcPr>
            <w:tcW w:type="dxa" w:w="27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D2 v3 : 2 vCPU, 8 Go RAM, 730 h × 0,096 $</w:t>
            </w:r>
          </w:p>
        </w:tc>
        <w:tc>
          <w:tcPr>
            <w:tcW w:type="dxa" w:w="27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 70,08 $/mois</w:t>
            </w:r>
          </w:p>
        </w:tc>
      </w:tr>
      <w:tr>
        <w:trPr>
          <w:cantSplit/>
          <w:tblHeader w:val="false"/>
        </w:trPr>
        <w:tc>
          <w:tcPr>
            <w:tcW w:type="dxa" w:w="54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bCs/>
                <w:sz w:val="18"/>
                <w:szCs w:val="18"/>
              </w:rPr>
              <w:t xml:space="preserve">Stockage blob 50 Go</w:t>
            </w:r>
          </w:p>
        </w:tc>
        <w:tc>
          <w:tcPr>
            <w:tcW w:type="dxa" w:w="27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Standard, à chaud, LRS</w:t>
            </w:r>
          </w:p>
        </w:tc>
        <w:tc>
          <w:tcPr>
            <w:tcW w:type="dxa" w:w="27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 2,08 $/mois</w:t>
            </w:r>
          </w:p>
        </w:tc>
      </w:tr>
      <w:tr>
        <w:trPr>
          <w:cantSplit/>
          <w:tblHeader w:val="false"/>
        </w:trPr>
        <w:tc>
          <w:tcPr>
            <w:tcW w:type="dxa" w:w="54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bCs/>
                <w:sz w:val="18"/>
                <w:szCs w:val="18"/>
              </w:rPr>
              <w:t xml:space="preserve">Total mensuel</w:t>
            </w:r>
          </w:p>
        </w:tc>
        <w:tc>
          <w:tcPr>
            <w:tcW w:type="dxa" w:w="27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Frais initiaux : 0 $</w:t>
            </w:r>
          </w:p>
        </w:tc>
        <w:tc>
          <w:tcPr>
            <w:tcW w:type="dxa" w:w="27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72,16 $/mois</w:t>
            </w:r>
          </w:p>
        </w:tc>
      </w:tr>
      <w:tr>
        <w:trPr>
          <w:cantSplit/>
          <w:tblHeader w:val="false"/>
        </w:trPr>
        <w:tc>
          <w:tcPr>
            <w:tcW w:type="dxa" w:w="54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bCs/>
                <w:sz w:val="18"/>
                <w:szCs w:val="18"/>
              </w:rPr>
              <w:t xml:space="preserve">Total annuel</w:t>
            </w:r>
          </w:p>
        </w:tc>
        <w:tc>
          <w:tcPr>
            <w:tcW w:type="dxa" w:w="27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
            </w:r>
          </w:p>
        </w:tc>
        <w:tc>
          <w:tcPr>
            <w:tcW w:type="dxa" w:w="27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865,97 $/an</w:t>
            </w:r>
          </w:p>
        </w:tc>
      </w:tr>
    </w:tbl>
    <w:p>
      <w:pPr>
        <w:spacing w:after="20" w:before="0"/>
      </w:pPr>
      <w:r>
        <w:rPr>
          <w:rFonts w:ascii="Calibri" w:cs="Calibri" w:eastAsia="Calibri" w:hAnsi="Calibri"/>
          <w:sz w:val="19"/>
          <w:szCs w:val="19"/>
        </w:rPr>
        <w:t xml:space="preserve"/>
      </w:r>
    </w:p>
    <w:p>
      <w:pPr>
        <w:spacing w:after="30"/>
        <w:jc w:val="center"/>
      </w:pPr>
      <w:r>
        <w:drawing>
          <wp:inline distT="0" distB="0" distL="0" distR="0">
            <wp:extent cx="5334000" cy="1466850"/>
            <wp:effectExtent t="0" r="0" b="0" l="0"/>
            <wp:docPr id="1" name="1791267246815_image.png" descr="Capture Azure Pricing Calculator" title="1791267246815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466850"/>
                    </a:xfrm>
                    <a:prstGeom prst="rect">
                      <a:avLst/>
                    </a:prstGeom>
                  </pic:spPr>
                </pic:pic>
              </a:graphicData>
            </a:graphic>
          </wp:inline>
        </w:drawing>
      </w:r>
    </w:p>
    <w:p>
      <w:pPr>
        <w:spacing w:after="30"/>
        <w:jc w:val="center"/>
      </w:pPr>
      <w:r>
        <w:drawing>
          <wp:inline distT="0" distB="0" distL="0" distR="0">
            <wp:extent cx="5334000" cy="1495425"/>
            <wp:effectExtent t="0" r="0" b="0" l="0"/>
            <wp:docPr id="1" name="1791267205327_image.png" descr="Capture Azure Pricing Calculator" title="1791267205327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495425"/>
                    </a:xfrm>
                    <a:prstGeom prst="rect">
                      <a:avLst/>
                    </a:prstGeom>
                  </pic:spPr>
                </pic:pic>
              </a:graphicData>
            </a:graphic>
          </wp:inline>
        </w:drawing>
      </w:r>
    </w:p>
    <w:p>
      <w:pPr>
        <w:spacing w:after="30"/>
        <w:jc w:val="center"/>
      </w:pPr>
      <w:r>
        <w:drawing>
          <wp:inline distT="0" distB="0" distL="0" distR="0">
            <wp:extent cx="5334000" cy="781050"/>
            <wp:effectExtent t="0" r="0" b="0" l="0"/>
            <wp:docPr id="1" name="1791267257158_image.png" descr="Capture Azure Pricing Calculator" title="1791267257158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781050"/>
                    </a:xfrm>
                    <a:prstGeom prst="rect">
                      <a:avLst/>
                    </a:prstGeom>
                  </pic:spPr>
                </pic:pic>
              </a:graphicData>
            </a:graphic>
          </wp:inline>
        </w:drawing>
      </w:r>
    </w:p>
    <w:p>
      <w:pPr>
        <w:spacing w:after="40" w:before="40"/>
      </w:pPr>
      <w:r>
        <w:rPr>
          <w:rFonts w:ascii="Calibri" w:cs="Calibri" w:eastAsia="Calibri" w:hAnsi="Calibri"/>
          <w:b/>
          <w:bCs/>
          <w:color w:val="1F3A5F"/>
          <w:sz w:val="20"/>
          <w:szCs w:val="20"/>
        </w:rPr>
        <w:t xml:space="preserve">2. Comparaison avec l'achat d'un serveur physique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200"/>
        <w:gridCol w:w="3800"/>
        <w:gridCol w:w="2800"/>
      </w:tblGrid>
      <w:tr>
        <w:trPr>
          <w:cantSplit/>
          <w:tblHeader/>
        </w:trPr>
        <w:tc>
          <w:tcPr>
            <w:tcW w:type="dxa" w:w="4200"/>
            <w:tcBorders>
              <w:top w:val="single" w:color="9AA7B8" w:sz="4"/>
              <w:left w:val="single" w:color="9AA7B8" w:sz="4"/>
              <w:bottom w:val="single" w:color="9AA7B8" w:sz="4"/>
              <w:right w:val="single" w:color="9AA7B8" w:sz="4"/>
            </w:tcBorders>
            <w:shd w:fill="1F3A5F" w:color="auto" w:val="clear"/>
            <w:tcMar>
              <w:top w:type="dxa" w:w="40"/>
              <w:left w:type="dxa" w:w="70"/>
              <w:bottom w:type="dxa" w:w="40"/>
              <w:right w:type="dxa" w:w="70"/>
            </w:tcMar>
            <w:vAlign w:val="center"/>
          </w:tcPr>
          <w:p>
            <w:pPr>
              <w:spacing w:after="0"/>
              <w:jc w:val="center"/>
            </w:pPr>
            <w:r>
              <w:rPr>
                <w:rFonts w:ascii="Calibri" w:cs="Calibri" w:eastAsia="Calibri" w:hAnsi="Calibri"/>
                <w:b/>
                <w:bCs/>
                <w:color w:val="FFFFFF"/>
                <w:sz w:val="16"/>
                <w:szCs w:val="16"/>
              </w:rPr>
              <w:t xml:space="preserve">Élément (hypothèses, sur 3 ans)</w:t>
            </w:r>
          </w:p>
        </w:tc>
        <w:tc>
          <w:tcPr>
            <w:tcW w:type="dxa" w:w="3800"/>
            <w:tcBorders>
              <w:top w:val="single" w:color="9AA7B8" w:sz="4"/>
              <w:left w:val="single" w:color="9AA7B8" w:sz="4"/>
              <w:bottom w:val="single" w:color="9AA7B8" w:sz="4"/>
              <w:right w:val="single" w:color="9AA7B8" w:sz="4"/>
            </w:tcBorders>
            <w:shd w:fill="1F3A5F" w:color="auto" w:val="clear"/>
            <w:tcMar>
              <w:top w:type="dxa" w:w="40"/>
              <w:left w:type="dxa" w:w="70"/>
              <w:bottom w:type="dxa" w:w="40"/>
              <w:right w:type="dxa" w:w="70"/>
            </w:tcMar>
            <w:vAlign w:val="center"/>
          </w:tcPr>
          <w:p>
            <w:pPr>
              <w:spacing w:after="0"/>
              <w:jc w:val="center"/>
            </w:pPr>
            <w:r>
              <w:rPr>
                <w:rFonts w:ascii="Calibri" w:cs="Calibri" w:eastAsia="Calibri" w:hAnsi="Calibri"/>
                <w:b/>
                <w:bCs/>
                <w:color w:val="FFFFFF"/>
                <w:sz w:val="16"/>
                <w:szCs w:val="16"/>
              </w:rPr>
              <w:t xml:space="preserve">Détail</w:t>
            </w:r>
          </w:p>
        </w:tc>
        <w:tc>
          <w:tcPr>
            <w:tcW w:type="dxa" w:w="2800"/>
            <w:tcBorders>
              <w:top w:val="single" w:color="9AA7B8" w:sz="4"/>
              <w:left w:val="single" w:color="9AA7B8" w:sz="4"/>
              <w:bottom w:val="single" w:color="9AA7B8" w:sz="4"/>
              <w:right w:val="single" w:color="9AA7B8" w:sz="4"/>
            </w:tcBorders>
            <w:shd w:fill="1F3A5F" w:color="auto" w:val="clear"/>
            <w:tcMar>
              <w:top w:type="dxa" w:w="40"/>
              <w:left w:type="dxa" w:w="70"/>
              <w:bottom w:type="dxa" w:w="40"/>
              <w:right w:type="dxa" w:w="70"/>
            </w:tcMar>
            <w:vAlign w:val="center"/>
          </w:tcPr>
          <w:p>
            <w:pPr>
              <w:spacing w:after="0"/>
              <w:jc w:val="center"/>
            </w:pPr>
            <w:r>
              <w:rPr>
                <w:rFonts w:ascii="Calibri" w:cs="Calibri" w:eastAsia="Calibri" w:hAnsi="Calibri"/>
                <w:b/>
                <w:bCs/>
                <w:color w:val="FFFFFF"/>
                <w:sz w:val="16"/>
                <w:szCs w:val="16"/>
              </w:rPr>
              <w:t xml:space="preserve">Coût mensuel</w:t>
            </w:r>
          </w:p>
        </w:tc>
      </w:tr>
      <w:tr>
        <w:trPr>
          <w:cantSplit/>
          <w:tblHeader w:val="false"/>
        </w:trPr>
        <w:tc>
          <w:tcPr>
            <w:tcW w:type="dxa" w:w="42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bCs/>
                <w:sz w:val="18"/>
                <w:szCs w:val="18"/>
              </w:rPr>
              <w:t xml:space="preserve">Achat d'un serveur d'entrée de gamme</w:t>
            </w:r>
          </w:p>
        </w:tc>
        <w:tc>
          <w:tcPr>
            <w:tcW w:type="dxa" w:w="38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 1 000 $ amortis sur 36 mois</w:t>
            </w:r>
          </w:p>
        </w:tc>
        <w:tc>
          <w:tcPr>
            <w:tcW w:type="dxa" w:w="28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 28 $</w:t>
            </w:r>
          </w:p>
        </w:tc>
      </w:tr>
      <w:tr>
        <w:trPr>
          <w:cantSplit/>
          <w:tblHeader w:val="false"/>
        </w:trPr>
        <w:tc>
          <w:tcPr>
            <w:tcW w:type="dxa" w:w="42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bCs/>
                <w:sz w:val="18"/>
                <w:szCs w:val="18"/>
              </w:rPr>
              <w:t xml:space="preserve">Électricité</w:t>
            </w:r>
          </w:p>
        </w:tc>
        <w:tc>
          <w:tcPr>
            <w:tcW w:type="dxa" w:w="38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 150 W en continu ≈ 110 kWh/mois</w:t>
            </w:r>
          </w:p>
        </w:tc>
        <w:tc>
          <w:tcPr>
            <w:tcW w:type="dxa" w:w="28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 15 $</w:t>
            </w:r>
          </w:p>
        </w:tc>
      </w:tr>
      <w:tr>
        <w:trPr>
          <w:cantSplit/>
          <w:tblHeader w:val="false"/>
        </w:trPr>
        <w:tc>
          <w:tcPr>
            <w:tcW w:type="dxa" w:w="42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bCs/>
                <w:sz w:val="18"/>
                <w:szCs w:val="18"/>
              </w:rPr>
              <w:t xml:space="preserve">Maintenance, onduleur, climatisation, administration</w:t>
            </w:r>
          </w:p>
        </w:tc>
        <w:tc>
          <w:tcPr>
            <w:tcW w:type="dxa" w:w="38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Estimation forfaitaire</w:t>
            </w:r>
          </w:p>
        </w:tc>
        <w:tc>
          <w:tcPr>
            <w:tcW w:type="dxa" w:w="2800"/>
            <w:tcBorders>
              <w:top w:val="single" w:color="9AA7B8" w:sz="4"/>
              <w:left w:val="single" w:color="9AA7B8" w:sz="4"/>
              <w:bottom w:val="single" w:color="9AA7B8" w:sz="4"/>
              <w:right w:val="single" w:color="9AA7B8" w:sz="4"/>
            </w:tcBorders>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 10 $</w:t>
            </w:r>
          </w:p>
        </w:tc>
      </w:tr>
      <w:tr>
        <w:trPr>
          <w:cantSplit/>
          <w:tblHeader w:val="false"/>
        </w:trPr>
        <w:tc>
          <w:tcPr>
            <w:tcW w:type="dxa" w:w="42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bCs/>
                <w:sz w:val="18"/>
                <w:szCs w:val="18"/>
              </w:rPr>
              <w:t xml:space="preserve">Total serveur physique</w:t>
            </w:r>
          </w:p>
        </w:tc>
        <w:tc>
          <w:tcPr>
            <w:tcW w:type="dxa" w:w="38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1 000 $ à payer dès le départ</w:t>
            </w:r>
          </w:p>
        </w:tc>
        <w:tc>
          <w:tcPr>
            <w:tcW w:type="dxa" w:w="2800"/>
            <w:tcBorders>
              <w:top w:val="single" w:color="9AA7B8" w:sz="4"/>
              <w:left w:val="single" w:color="9AA7B8" w:sz="4"/>
              <w:bottom w:val="single" w:color="9AA7B8" w:sz="4"/>
              <w:right w:val="single" w:color="9AA7B8" w:sz="4"/>
            </w:tcBorders>
            <w:shd w:fill="E8EDF4" w:color="auto" w:val="clear"/>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 53 $/mois</w:t>
            </w:r>
          </w:p>
        </w:tc>
      </w:tr>
    </w:tbl>
    <w:p>
      <w:pPr>
        <w:spacing w:after="60" w:before="30"/>
      </w:pPr>
      <w:r>
        <w:rPr>
          <w:rFonts w:ascii="Calibri" w:cs="Calibri" w:eastAsia="Calibri" w:hAnsi="Calibri"/>
          <w:i/>
          <w:iCs/>
          <w:color w:val="666666"/>
          <w:sz w:val="15"/>
          <w:szCs w:val="15"/>
        </w:rPr>
        <w:t xml:space="preserve">Les chiffres du serveur physique sont des hypothèses à confirmer avec des prix locaux (revendeur, tarif de la CIE).</w:t>
      </w:r>
    </w:p>
    <w:p>
      <w:pPr>
        <w:spacing w:after="40" w:before="0"/>
      </w:pPr>
      <w:r>
        <w:rPr>
          <w:rFonts w:ascii="Calibri" w:cs="Calibri" w:eastAsia="Calibri" w:hAnsi="Calibri"/>
          <w:b/>
          <w:bCs/>
          <w:color w:val="1F3A5F"/>
          <w:sz w:val="20"/>
          <w:szCs w:val="20"/>
        </w:rPr>
        <w:t xml:space="preserve">3. Conclusion : quand le cloud est-il rentable ?</w:t>
      </w:r>
    </w:p>
    <w:p>
      <w:pPr>
        <w:spacing w:after="40"/>
        <w:ind w:left="300" w:hanging="200"/>
      </w:pPr>
      <w:r>
        <w:rPr>
          <w:rFonts w:ascii="Calibri" w:cs="Calibri" w:eastAsia="Calibri" w:hAnsi="Calibri"/>
          <w:sz w:val="18"/>
          <w:szCs w:val="18"/>
        </w:rPr>
        <w:t xml:space="preserve">• </w:t>
      </w:r>
      <w:r>
        <w:rPr>
          <w:rFonts w:ascii="Calibri" w:cs="Calibri" w:eastAsia="Calibri" w:hAnsi="Calibri"/>
          <w:b/>
          <w:bCs/>
          <w:sz w:val="18"/>
          <w:szCs w:val="18"/>
        </w:rPr>
        <w:t xml:space="preserve">Charge constante 24h/24 sur plusieurs années : </w:t>
      </w:r>
      <w:r>
        <w:rPr>
          <w:rFonts w:ascii="Calibri" w:cs="Calibri" w:eastAsia="Calibri" w:hAnsi="Calibri"/>
          <w:sz w:val="18"/>
          <w:szCs w:val="18"/>
        </w:rPr>
        <w:t xml:space="preserve">le serveur physique peut coûter moins cher (≈ 53 $ contre 72 $ par mois), mais il exige un investissement initial et la gestion des pannes, mises à jour et de la sécurité.</w:t>
      </w:r>
    </w:p>
    <w:p>
      <w:pPr>
        <w:spacing w:after="40"/>
        <w:ind w:left="300" w:hanging="200"/>
      </w:pPr>
      <w:r>
        <w:rPr>
          <w:rFonts w:ascii="Calibri" w:cs="Calibri" w:eastAsia="Calibri" w:hAnsi="Calibri"/>
          <w:sz w:val="18"/>
          <w:szCs w:val="18"/>
        </w:rPr>
        <w:t xml:space="preserve">• </w:t>
      </w:r>
      <w:r>
        <w:rPr>
          <w:rFonts w:ascii="Calibri" w:cs="Calibri" w:eastAsia="Calibri" w:hAnsi="Calibri"/>
          <w:b/>
          <w:bCs/>
          <w:sz w:val="18"/>
          <w:szCs w:val="18"/>
        </w:rPr>
        <w:t xml:space="preserve">Usage ponctuel ou variable : </w:t>
      </w:r>
      <w:r>
        <w:rPr>
          <w:rFonts w:ascii="Calibri" w:cs="Calibri" w:eastAsia="Calibri" w:hAnsi="Calibri"/>
          <w:sz w:val="18"/>
          <w:szCs w:val="18"/>
        </w:rPr>
        <w:t xml:space="preserve">le cloud est nettement plus avantageux. À 8 h par jour (≈ 240 h/mois), le coût tombe à ≈ 25 $/mois (240 × 0,096 + 2,08), et l'on évite de dimensionner pour le pic de charge, comme pour le site d'inscription universitaire vu en cours.</w:t>
      </w:r>
    </w:p>
    <w:p>
      <w:pPr>
        <w:spacing w:after="40"/>
        <w:ind w:left="300" w:hanging="200"/>
      </w:pPr>
      <w:r>
        <w:rPr>
          <w:rFonts w:ascii="Calibri" w:cs="Calibri" w:eastAsia="Calibri" w:hAnsi="Calibri"/>
          <w:sz w:val="18"/>
          <w:szCs w:val="18"/>
        </w:rPr>
        <w:t xml:space="preserve">• </w:t>
      </w:r>
      <w:r>
        <w:rPr>
          <w:rFonts w:ascii="Calibri" w:cs="Calibri" w:eastAsia="Calibri" w:hAnsi="Calibri"/>
          <w:b/>
          <w:bCs/>
          <w:sz w:val="18"/>
          <w:szCs w:val="18"/>
        </w:rPr>
        <w:t xml:space="preserve">Limites à garder en tête : </w:t>
      </w:r>
      <w:r>
        <w:rPr>
          <w:rFonts w:ascii="Calibri" w:cs="Calibri" w:eastAsia="Calibri" w:hAnsi="Calibri"/>
          <w:sz w:val="18"/>
          <w:szCs w:val="18"/>
        </w:rPr>
        <w:t xml:space="preserve">dépendance à Internet, risque de factures imprévues, dépendance au fournisseur et souveraineté des données (loi n° 2013-450, ARTCI). Le prix dépend aussi de la région choisie.</w:t>
      </w:r>
    </w:p>
    <w:p>
      <w:pPr>
        <w:pBdr>
          <w:left w:val="single" w:color="1F3A5F" w:sz="18" w:space="6"/>
        </w:pBdr>
        <w:shd w:fill="E8EDF4" w:color="auto" w:val="clear"/>
        <w:spacing w:after="80"/>
        <w:ind w:left="140"/>
      </w:pPr>
      <w:r>
        <w:rPr>
          <w:rFonts w:ascii="Calibri" w:cs="Calibri" w:eastAsia="Calibri" w:hAnsi="Calibri"/>
          <w:b/>
          <w:bCs/>
          <w:sz w:val="18"/>
          <w:szCs w:val="18"/>
        </w:rPr>
        <w:t xml:space="preserve">Verdict : </w:t>
      </w:r>
      <w:r>
        <w:rPr>
          <w:rFonts w:ascii="Calibri" w:cs="Calibri" w:eastAsia="Calibri" w:hAnsi="Calibri"/>
          <w:sz w:val="18"/>
          <w:szCs w:val="18"/>
        </w:rPr>
        <w:t xml:space="preserve">le cloud est rentable pour les besoins temporaires, variables ou en démarrage (start-up, pic de rentrée). Le serveur physique devient compétitif pour une charge stable et durable.</w:t>
      </w:r>
    </w:p>
    <w:sectPr>
      <w:pgSz w:w="11906" w:h="16838" w:orient="portrait"/>
      <w:pgMar w:top="600" w:right="553" w:bottom="500" w:left="55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498ab8b3940b3b2aa937abe64f0f8b13c2d9d0.png"/><Relationship Id="rId8" Type="http://schemas.openxmlformats.org/officeDocument/2006/relationships/image" Target="media/f07d612b57f62a4f16c216bdb285633d83d63344.png"/><Relationship Id="rId9" Type="http://schemas.openxmlformats.org/officeDocument/2006/relationships/image" Target="media/d8d72edd002f5427f4a8b37ca8d82ec1480e073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2026-10-06T06:16:39.565Z</dcterms:created>
  <dcterms:modified xsi:type="dcterms:W3CDTF">2026-10-06T06:16:39.565Z</dcterms:modified>
</cp:coreProperties>
</file>

<file path=docProps/custom.xml><?xml version="1.0" encoding="utf-8"?>
<Properties xmlns="http://schemas.openxmlformats.org/officeDocument/2006/custom-properties" xmlns:vt="http://schemas.openxmlformats.org/officeDocument/2006/docPropsVTypes"/>
</file>