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BITÁCORA DEL PROYECTO</w:t>
      </w:r>
    </w:p>
    <w:p>
      <w:pPr>
        <w:spacing w:after="50"/>
        <w:jc w:val="center"/>
      </w:pPr>
      <w:r>
        <w:rPr>
          <w:b/>
          <w:bCs/>
          <w:color w:val="2E7D32"/>
          <w:sz w:val="32"/>
          <w:szCs w:val="32"/>
        </w:rPr>
        <w:t xml:space="preserve">Customer Analytics — "Super Compras"</w:t>
      </w:r>
    </w:p>
    <w:p>
      <w:pPr>
        <w:spacing w:after="400"/>
        <w:jc w:val="center"/>
      </w:pPr>
      <w:r>
        <w:rPr>
          <w:i/>
          <w:iCs/>
          <w:color w:val="666666"/>
        </w:rPr>
        <w:t xml:space="preserve">RFM · Cohortes · LTV — Metodología de las 6 Capas</w:t>
      </w:r>
    </w:p>
    <w:p>
      <w:pPr>
        <w:spacing w:after="600"/>
        <w:jc w:val="center"/>
      </w:pPr>
      <w:r>
        <w:rPr>
          <w:color w:val="666666"/>
          <w:sz w:val="18"/>
          <w:szCs w:val="18"/>
        </w:rPr>
        <w:t xml:space="preserve">Documento vivo — se actualiza sesión a sesión</w:t>
      </w:r>
    </w:p>
    <w:p>
      <w:pPr>
        <w:pStyle w:val="Heading1"/>
        <w:spacing w:after="200" w:before="400"/>
      </w:pPr>
      <w:r>
        <w:t xml:space="preserve">0. Resumen del proyecto</w:t>
      </w:r>
    </w:p>
    <w:p>
      <w:pPr>
        <w:spacing w:after="150"/>
      </w:pPr>
      <w:r>
        <w:t xml:space="preserve">Contexto de negocio: "Super Compras", un supermercado con programa de tarjeta de fidelización, quiere pasar de tener datos transaccionales a tener una visión analítica accionable de sus clientes: quiénes son los más valiosos, cómo evoluciona su retención, y en qué punto un cliente deja de ser rentable frente a lo que costó captarlo (LTV vs CAC).</w:t>
      </w:r>
    </w:p>
    <w:p>
      <w:pPr>
        <w:spacing w:after="150"/>
      </w:pPr>
      <w:r>
        <w:t xml:space="preserve">Fuente del caso: material de formación DS4B "Caso Customer Analytics" (RFM, Cohortes, LTV), usado aquí como brief de negocio y como fuente de datos (transacciones y clientes de 2023 de un supermercado ficticio con tarjeta de fidelización).</w:t>
      </w:r>
    </w:p>
    <w:p>
      <w:pPr>
        <w:spacing w:after="150"/>
      </w:pPr>
      <w:r>
        <w:rPr>
          <w:b/>
          <w:bCs/>
        </w:rPr>
        <w:t xml:space="preserve">Dato clave: </w:t>
      </w:r>
      <w:r>
        <w:t xml:space="preserve">los CSV entregados incluían tanto los datos en bruto como una versión ya "resuelta" (tablones con RFM/Cohortes/LTV ya calculados). Se decidió reconstruir todo el pipeline desde los datos en bruto y validar cifra a cifra contra esos tablones, en vez de partir directamente de ellos — así cada regla de negocio queda auditada y documentada, no heredada como caja negra.</w:t>
      </w:r>
    </w:p>
    <w:p>
      <w:pPr>
        <w:pStyle w:val="Heading1"/>
        <w:spacing w:after="200" w:before="400"/>
      </w:pPr>
      <w:r>
        <w:t xml:space="preserve">1. Sesión 1 — Capa 1: Estrategia</w:t>
      </w:r>
    </w:p>
    <w:p>
      <w:pPr>
        <w:pStyle w:val="Heading2"/>
        <w:spacing w:after="150" w:before="300"/>
      </w:pPr>
      <w:r>
        <w:t xml:space="preserve">1.1 Diagnóstico inicial de los datos</w:t>
      </w:r>
    </w:p>
    <w:p>
      <w:pPr>
        <w:spacing w:after="150"/>
      </w:pPr>
      <w:r>
        <w:t xml:space="preserve">Antes de definir el problema se auditaron los 7 CSV entregados: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clientes_1224.csv (20.688 clientes, con nulos) y su versión limpia clientes_final.csv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productos_1224.csv (78.266 transacciones, 2023 completo) y su versión con Total_Venta ya calculado, productos_final.csv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tablon_analitico_clientes.csv (54.405 filas): transacciones + RFM + Cohortes + LTV + Segmento, ya filtrado a la ventana de 6 meses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tablon_cliente.csv (14.367 clientes) y ltv_mes.csv: agregados de LTV y retención</w:t>
      </w:r>
    </w:p>
    <w:p>
      <w:pPr>
        <w:pStyle w:val="Heading2"/>
        <w:spacing w:after="150" w:before="300"/>
      </w:pPr>
      <w:r>
        <w:t xml:space="preserve">1.2 Decisiones de alcance (con el cliente/usuaria)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300"/>
      </w:tblGrid>
      <w:tr>
        <w:trPr>
          <w:tblHeader/>
        </w:trPr>
        <w:tc>
          <w:tcPr>
            <w:tcW w:type="dxa" w:w="45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Pregunta</w:t>
            </w:r>
          </w:p>
        </w:tc>
        <w:tc>
          <w:tcPr>
            <w:tcW w:type="dxa" w:w="53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Decisión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¿Desde dónde construir el pipeline?</w:t>
            </w:r>
          </w:p>
        </w:tc>
        <w:tc>
          <w:tcPr>
            <w:tcW w:type="dxa" w:w="53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Reconstruir todo desde los CSV en bruto Y contrastar cifra a cifra contra los tablones ya construidos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¿Formato de entrega?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Notebooks de Colab separados por bloque/capa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¿Nivel de la pirámide?</w:t>
            </w:r>
          </w:p>
        </w:tc>
        <w:tc>
          <w:tcPr>
            <w:tcW w:type="dxa" w:w="53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Decisión delegada a Claude (ver 1.3)</w:t>
            </w:r>
          </w:p>
        </w:tc>
      </w:tr>
    </w:tbl>
    <w:p>
      <w:pPr>
        <w:pStyle w:val="Heading2"/>
        <w:spacing w:after="150" w:before="300"/>
      </w:pPr>
      <w:r>
        <w:t xml:space="preserve">1.3 Definición formal del problema (Capa 1)</w:t>
      </w:r>
    </w:p>
    <w:p>
      <w:pPr>
        <w:spacing w:after="150"/>
      </w:pPr>
      <w:r>
        <w:rPr>
          <w:b/>
          <w:bCs/>
        </w:rPr>
        <w:t xml:space="preserve">Decisión de negocio: </w:t>
      </w:r>
      <w:r>
        <w:t xml:space="preserve">priorizar el presupuesto de marketing (adquisición y retención) según el valor real de cada segmento de cliente, y detectar de forma temprana a los clientes en riesgo de abandono para activar campañas antes de perderlos.</w:t>
      </w:r>
    </w:p>
    <w:p>
      <w:pPr>
        <w:spacing w:after="150"/>
      </w:pPr>
      <w:r>
        <w:rPr>
          <w:b/>
          <w:bCs/>
        </w:rPr>
        <w:t xml:space="preserve">Tipo de pregunta: </w:t>
      </w:r>
      <w:r>
        <w:t xml:space="preserve">mixta.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Nivel I (Descriptiva): RFM, cohortes, LTV — "¿qué está pasando con el comportamiento de compra?"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Nivel II (Diagnóstica/Inferencial): ¿hay diferencias de comportamiento (Monetary, LTV, retención) estadísticamente significativas entre segmentos y entre grupos sociodemográficos, o podrían deberse al azar?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Nivel III (Predictiva, acotada): modelo temprano de riesgo de abandono — predecir si un cliente seguirá activo en M3/M6 usando solo señales de M1 (su primer mes) y variables sociodemográficas.</w:t>
      </w:r>
    </w:p>
    <w:p>
      <w:pPr>
        <w:spacing w:after="150"/>
      </w:pPr>
      <w:r>
        <w:rPr>
          <w:b/>
          <w:bCs/>
        </w:rPr>
        <w:t xml:space="preserve">Por qué Nivel III acotado y no genérico: </w:t>
      </w:r>
      <w:r>
        <w:t xml:space="preserve">el propio PDF de negocio pide explícitamente "detectar posibles puntos de abandono" y "activar clientes en riesgo de pérdida" (objetivos 3 y 4). Un modelo de churn temprano responde directamente a eso. Se acota deliberadamente el conjunto de variables predictoras para evitar circularidad (ver riesgo metodológico más abajo).</w:t>
      </w:r>
    </w:p>
    <w:p>
      <w:pPr>
        <w:spacing w:after="150"/>
      </w:pPr>
      <w:r>
        <w:rPr>
          <w:b/>
          <w:bCs/>
        </w:rPr>
        <w:t xml:space="preserve">Métrica de éxito: </w:t>
      </w:r>
      <w:r>
        <w:t xml:space="preserve">(a) Nivel I-II: identificar qué variables explican de forma significativa (p&lt;0,05, con supuestos verificados y corrección por comparaciones múltiples) las diferencias de Monetary/LTV entre segmentos; (b) Nivel III: AUC-ROC &gt; 0,65 en la predicción de retención a M3/M6 usando solo señales de M1, calculado con scipy/sklearn (no hardcodeado).</w:t>
      </w:r>
    </w:p>
    <w:p>
      <w:pPr>
        <w:spacing w:after="150"/>
      </w:pPr>
      <w:r>
        <w:rPr>
          <w:b/>
          <w:bCs/>
        </w:rPr>
        <w:t xml:space="preserve">Variable respuesta: </w:t>
      </w:r>
      <w:r>
        <w:t xml:space="preserve">no hay una única "y" en los Niveles I-II (es segmentación + comparación de grupos). En el Nivel III: y = binario "activo en M3 (o M6)" (1 si el cliente registra alguna transacción en ese mes de vida, 0 si no).</w:t>
      </w:r>
    </w:p>
    <w:p>
      <w:pPr>
        <w:spacing w:after="150"/>
      </w:pPr>
      <w:r>
        <w:rPr>
          <w:b/>
          <w:bCs/>
        </w:rPr>
        <w:t xml:space="preserve">Variables de entrada (Nivel III): </w:t>
      </w:r>
      <w:r>
        <w:t xml:space="preserve">Género, Nivel_Educativo, Ocupacion, Tamano_Hogar, CAC, gasto en M1, nº de transacciones en M1. Explícitamente EXCLUIDAS: Segmento, r/f/m, RFM, Monetary (año completo) y ltv — todas construidas con información posterior al momento de la predicción.</w:t>
      </w:r>
    </w:p>
    <w:p>
      <w:pPr>
        <w:pStyle w:val="Heading3"/>
        <w:spacing w:after="100" w:before="200"/>
      </w:pPr>
      <w:r>
        <w:t xml:space="preserve">Riesgo metodológico identificado</w:t>
      </w:r>
    </w:p>
    <w:p>
      <w:pPr>
        <w:spacing w:after="150"/>
      </w:pPr>
      <w:r>
        <w:rPr>
          <w:b/>
          <w:bCs/>
        </w:rPr>
        <w:t xml:space="preserve">Circularidad: </w:t>
      </w:r>
      <w:r>
        <w:t xml:space="preserve">Monetary, r/f/m, RFM y Segmento se construyen con el histórico completo del año — y ltv se construye a partir de Monetary dentro de la ventana. Usar cualquiera de estas variables como "predictor" de LTV o de Segmento sería explicar una fórmula con sus propios ingredientes. Por eso el modelo de Nivel III (Capa 5) se restringe a señales tempranas (M1) y sociodemográficas, nunca a las variables RFM/LTV completas.</w:t>
      </w:r>
    </w:p>
    <w:p>
      <w:pPr>
        <w:spacing w:after="150"/>
      </w:pPr>
      <w:r>
        <w:rPr>
          <w:b/>
          <w:bCs/>
        </w:rPr>
        <w:t xml:space="preserve">Unidad de observación: </w:t>
      </w:r>
      <w:r>
        <w:t xml:space="preserve">cliente (agregado por cohorte para LTV/Cohortes). La unidad de transacción se usa solo como base de cálculo, no como unidad de análisis final.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Sesión 1 — Capa 2: Preparación y Feature Engineering</w:t>
      </w:r>
    </w:p>
    <w:p>
      <w:pPr>
        <w:pStyle w:val="Heading2"/>
        <w:spacing w:after="150" w:before="300"/>
      </w:pPr>
      <w:r>
        <w:t xml:space="preserve">2.1 Metodología</w:t>
      </w:r>
    </w:p>
    <w:p>
      <w:pPr>
        <w:spacing w:after="150"/>
      </w:pPr>
      <w:r>
        <w:t xml:space="preserve">Se reconstruyó desde cero (productos_1224.csv + clientes_1224.csv) todo el pipeline de limpieza, RFM, cohortes y LTV, validando cada paso cifra a cifra contra los ficheros de referencia (clientes_final.csv, productos_final.csv, tablon_analitico_clientes.csv, tablon_cliente.csv, ltv_mes.csv). Herramienta: Python (pandas) en notebook de Colab (02_capa2_preparacion_datos.ipynb).</w:t>
      </w:r>
    </w:p>
    <w:p>
      <w:pPr>
        <w:spacing w:after="150"/>
      </w:pPr>
      <w:r>
        <w:t xml:space="preserve">Esta sección documenta CADA operación, en el orden exacto en que se ejecuta, con la lógica aplicada y un ejemplo real extraído del propio dataset. Es el detalle de "caja blanca" del proceso: nada se hace sin que quede aquí escrito el qué, el cómo y el porqué.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ANEXO TÉCNICO — Proceso paso a paso: de los datos en bruto a RFM + Cohortes + LTV</w:t>
      </w:r>
    </w:p>
    <w:p>
      <w:pPr>
        <w:pStyle w:val="Heading2"/>
        <w:spacing w:after="150" w:before="300"/>
      </w:pPr>
      <w:r>
        <w:t xml:space="preserve">PASO 0 — Carga de datos en bruto</w:t>
      </w:r>
    </w:p>
    <w:p>
      <w:pPr>
        <w:spacing w:after="150"/>
      </w:pPr>
      <w:r>
        <w:t xml:space="preserve">Se parte de dos ficheros: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clientes_1224.csv — 20.688 filas, 1 fila = 1 cliente. Columnas: ID_Cliente, Fecha_Nacimiento, Genero, Codigo_Postal, Nivel_Educativo, Ocupacion, Tamano_Hogar, CAC.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productos_1224.csv — 78.266 filas, 1 fila = 1 línea de producto dentro de una transacción. Columnas: ID_Cliente, Fecha, ID_Transaccion, Categoria_Producto, Producto, Coste_Unitario, Cantidad, Precio_Unitario.</w:t>
      </w:r>
    </w:p>
    <w:p>
      <w:pPr>
        <w:spacing w:after="150"/>
      </w:pPr>
      <w:r>
        <w:t xml:space="preserve">Una misma ID_Transaccion puede tener varias filas (una por cada producto comprado en esa cesta). El rango de fechas cubre todo 2023 (2023-01-01 a 2023-12-31).</w:t>
      </w:r>
    </w:p>
    <w:p>
      <w:pPr>
        <w:pStyle w:val="Heading2"/>
        <w:spacing w:after="150" w:before="300"/>
      </w:pPr>
      <w:r>
        <w:t xml:space="preserve">PASO 1 — Limpieza de clientes_1224.csv</w:t>
      </w:r>
    </w:p>
    <w:p>
      <w:pPr>
        <w:spacing w:after="150"/>
      </w:pPr>
      <w:r>
        <w:t xml:space="preserve">Diagnóstico de nulos (antes de tocar nada):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300"/>
      </w:tblGrid>
      <w:tr>
        <w:trPr>
          <w:tblHeader/>
        </w:trPr>
        <w:tc>
          <w:tcPr>
            <w:tcW w:type="dxa" w:w="35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Columna</w:t>
            </w:r>
          </w:p>
        </w:tc>
        <w:tc>
          <w:tcPr>
            <w:tcW w:type="dxa" w:w="30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Nº de nulos</w:t>
            </w:r>
          </w:p>
        </w:tc>
        <w:tc>
          <w:tcPr>
            <w:tcW w:type="dxa" w:w="33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% sobre 20.688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Nivel_Educativo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1.967</w:t>
            </w:r>
          </w:p>
        </w:tc>
        <w:tc>
          <w:tcPr>
            <w:tcW w:type="dxa" w:w="33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9,5%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Ocupacion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2.395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11,6%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Tamano_Hogar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1.678</w:t>
            </w:r>
          </w:p>
        </w:tc>
        <w:tc>
          <w:tcPr>
            <w:tcW w:type="dxa" w:w="33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8,1%</w:t>
            </w:r>
          </w:p>
        </w:tc>
      </w:tr>
    </w:tbl>
    <w:p>
      <w:pPr>
        <w:spacing w:after="150"/>
      </w:pPr>
      <w:r>
        <w:t xml:space="preserve">Se aplican DOS criterios de imputación distintos (esto es un hallazgo de auditoría, no una decisión de diseño propia — se dedujo comparando clientes_1224.csv con clientes_final.csv fila a fila):</w:t>
      </w:r>
    </w:p>
    <w:p>
      <w:pPr>
        <w:pStyle w:val="Heading3"/>
        <w:spacing w:after="100" w:before="200"/>
      </w:pPr>
      <w:r>
        <w:t xml:space="preserve">1.1 — Nivel_Educativo y Ocupacion → categoría "Desconocido"</w:t>
      </w:r>
    </w:p>
    <w:p>
      <w:pPr>
        <w:spacing w:after="150"/>
      </w:pPr>
      <w:r>
        <w:t xml:space="preserve">Regla: todo valor nulo en estas dos columnas se sustituye por el literal "Desconocido", tratándolo como una categoría más (no se descarta al cliente ni se imputa un valor "típico").</w:t>
      </w:r>
    </w:p>
    <w:p>
      <w:pPr>
        <w:spacing w:after="150"/>
      </w:pPr>
      <w:r>
        <w:rPr>
          <w:b/>
          <w:bCs/>
        </w:rPr>
        <w:t xml:space="preserve">Ejemplo real — Cliente ID 6: </w:t>
      </w:r>
      <w:r>
        <w:t xml:space="preserve">antes tenía Nivel_Educativo = NaN. Después de la limpieza, Nivel_Educativo = "Desconocido". El resto de columnas de ese cliente no cambian.</w:t>
      </w:r>
    </w:p>
    <w:p>
      <w:pPr>
        <w:spacing w:after="150"/>
      </w:pPr>
      <w:r>
        <w:rPr>
          <w:b/>
          <w:bCs/>
        </w:rPr>
        <w:t xml:space="preserve">Ejemplo real — Cliente ID 7: </w:t>
      </w:r>
      <w:r>
        <w:t xml:space="preserve">antes tenía Ocupacion = NaN. Después: Ocupacion = "Desconocido".</w:t>
      </w:r>
    </w:p>
    <w:p>
      <w:pPr>
        <w:pStyle w:val="Heading3"/>
        <w:spacing w:after="100" w:before="200"/>
      </w:pPr>
      <w:r>
        <w:t xml:space="preserve">1.2 — Tamano_Hogar → la MODA de la columna</w:t>
      </w:r>
    </w:p>
    <w:p>
      <w:pPr>
        <w:spacing w:after="150"/>
      </w:pPr>
      <w:r>
        <w:t xml:space="preserve">Regla distinta: aquí el nulo no se convierte en "Desconocido", sino que se sustituye por el valor más frecuente de toda la columna (la moda), que en este dataset es "2-3 personas" (14.806 de 20.688 clientes, el 71,6% del total).</w:t>
      </w:r>
    </w:p>
    <w:p>
      <w:pPr>
        <w:spacing w:after="150"/>
      </w:pPr>
      <w:r>
        <w:rPr>
          <w:b/>
          <w:bCs/>
        </w:rPr>
        <w:t xml:space="preserve">Por qué es relevante señalarlo: </w:t>
      </w:r>
      <w:r>
        <w:t xml:space="preserve">si se aplicara "Desconocido" también aquí (como parecería consistente), el resultado NO coincidiría con clientes_final.csv. Se detectó comparando los 1.678 registros con Tamano_Hogar nulo: el 100% de ellos termina con el valor "2-3 personas" en el fichero de referencia, nunca con "Desconocido".</w:t>
      </w:r>
    </w:p>
    <w:p>
      <w:pPr>
        <w:spacing w:after="150"/>
      </w:pPr>
      <w:r>
        <w:rPr>
          <w:b/>
          <w:bCs/>
        </w:rPr>
        <w:t xml:space="preserve">Ejemplo real — Cliente ID 27: </w:t>
      </w:r>
      <w:r>
        <w:t xml:space="preserve">tenía los TRES campos nulos a la vez (Nivel_Educativo, Ocupacion, Tamano_Hogar). Resultado tras la limpieza: Nivel_Educativo="Desconocido", Ocupacion="Desconocido", Tamano_Hogar="2-3 personas" — las dos reglas conviviendo en el mismo registro.</w:t>
      </w:r>
    </w:p>
    <w:p>
      <w:pPr>
        <w:pStyle w:val="Heading3"/>
        <w:spacing w:after="100" w:before="200"/>
      </w:pPr>
      <w:r>
        <w:t xml:space="preserve">1.3 — Validación del Paso 1</w:t>
      </w:r>
    </w:p>
    <w:p>
      <w:pPr>
        <w:spacing w:after="150"/>
      </w:pPr>
      <w:r>
        <w:t xml:space="preserve">Se compara clientes_clean (resultado de aplicar las dos reglas) contra clientes_final.csv, columna a columna y fila a fila, en las 20.688 filas: coincidencia exacta al 100%.</w:t>
      </w:r>
    </w:p>
    <w:p>
      <w:pPr>
        <w:pStyle w:val="Heading2"/>
        <w:spacing w:after="150" w:before="300"/>
      </w:pPr>
      <w:r>
        <w:t xml:space="preserve">PASO 2 — Enriquecimiento de productos_1224.csv</w:t>
      </w:r>
    </w:p>
    <w:p>
      <w:pPr>
        <w:pStyle w:val="Heading3"/>
        <w:spacing w:after="100" w:before="200"/>
      </w:pPr>
      <w:r>
        <w:t xml:space="preserve">2.1 — Cálculo de Total_Venta</w:t>
      </w:r>
    </w:p>
    <w:p>
      <w:pPr>
        <w:spacing w:after="150"/>
      </w:pPr>
      <w:r>
        <w:t xml:space="preserve">Se añade la columna Total_Venta = Cantidad × Precio_Unitario, redondeada a 2 decimales.</w:t>
      </w:r>
    </w:p>
    <w:p>
      <w:pPr>
        <w:spacing w:after="150"/>
      </w:pPr>
      <w:r>
        <w:rPr>
          <w:b/>
          <w:bCs/>
        </w:rPr>
        <w:t xml:space="preserve">Ejemplo real — primera fila del fichero (Cliente 1, transacción 3442): </w:t>
      </w:r>
      <w:r>
        <w:t xml:space="preserve">Cantidad = 4.0, Precio_Unitario = 10.5 → Total_Venta = 4.0 × 10.5 = 42.00 €. Coincide exactamente con el valor de productos_final.csv.</w:t>
      </w:r>
    </w:p>
    <w:p>
      <w:pPr>
        <w:pStyle w:val="Heading3"/>
        <w:spacing w:after="100" w:before="200"/>
      </w:pPr>
      <w:r>
        <w:t xml:space="preserve">2.2 — Validación del Paso 2</w:t>
      </w:r>
    </w:p>
    <w:p>
      <w:pPr>
        <w:spacing w:after="150"/>
      </w:pPr>
      <w:r>
        <w:t xml:space="preserve">Se compara contra productos_final.csv en las 78.266 filas: coincidencia exacta al 100% (tolerancia de redondeo 0,005€ para evitar falsos negativos por errores de coma flotante).</w:t>
      </w:r>
    </w:p>
    <w:p>
      <w:pPr>
        <w:pStyle w:val="Heading2"/>
        <w:spacing w:after="150" w:before="300"/>
      </w:pPr>
      <w:r>
        <w:t xml:space="preserve">PASO 3 — Cálculo de las métricas RFM (a nivel cliente)</w:t>
      </w:r>
    </w:p>
    <w:p>
      <w:pPr>
        <w:spacing w:after="150"/>
      </w:pPr>
      <w:r>
        <w:t xml:space="preserve">A partir de aquí se trabaja sobre productos_clean agrupado por ID_Cliente. Estas tres métricas se calculan SIEMPRE sobre el histórico COMPLETO del año de cada cliente (las 78.266 filas), sin ningún filtro de ventana todavía — ese filtro llega en el Paso 6 y afecta a otra cosa (qué filas del tablón final se conservan), no a estas tres métricas.</w:t>
      </w:r>
    </w:p>
    <w:p>
      <w:pPr>
        <w:pStyle w:val="Heading3"/>
        <w:spacing w:after="100" w:before="200"/>
      </w:pPr>
      <w:r>
        <w:t xml:space="preserve">3.1 — Fecha de referencia</w:t>
      </w:r>
    </w:p>
    <w:p>
      <w:pPr>
        <w:spacing w:after="150"/>
      </w:pPr>
      <w:r>
        <w:t xml:space="preserve">Se fija REF_DATE = 2023-12-31 (el último día con datos en el dataset). Todas las "antigüedades" se miden hacia atrás desde esa fecha.</w:t>
      </w:r>
    </w:p>
    <w:p>
      <w:pPr>
        <w:pStyle w:val="Heading3"/>
        <w:spacing w:after="100" w:before="200"/>
      </w:pPr>
      <w:r>
        <w:t xml:space="preserve">3.2 — Recency</w:t>
      </w:r>
    </w:p>
    <w:p>
      <w:pPr>
        <w:spacing w:after="150"/>
      </w:pPr>
      <w:r>
        <w:t xml:space="preserve">Recency = REF_DATE − fecha de la última compra del cliente (en días).</w:t>
      </w:r>
    </w:p>
    <w:p>
      <w:pPr>
        <w:spacing w:after="150"/>
      </w:pPr>
      <w:r>
        <w:rPr>
          <w:b/>
          <w:bCs/>
        </w:rPr>
        <w:t xml:space="preserve">Ejemplo real — Cliente ID 1: </w:t>
      </w:r>
      <w:r>
        <w:t xml:space="preserve">su única compra es del 2023-01-21. Recency = 2023-12-31 − 2023-01-21 = 344 días.</w:t>
      </w:r>
    </w:p>
    <w:p>
      <w:pPr>
        <w:pStyle w:val="Heading3"/>
        <w:spacing w:after="100" w:before="200"/>
      </w:pPr>
      <w:r>
        <w:t xml:space="preserve">3.3 — Frequency</w:t>
      </w:r>
    </w:p>
    <w:p>
      <w:pPr>
        <w:spacing w:after="150"/>
      </w:pPr>
      <w:r>
        <w:t xml:space="preserve">Frequency = número de ID_Transaccion distintos del cliente en TODO el año (no de líneas de producto: una transacción con 4 productos cuenta como 1, no como 4).</w:t>
      </w:r>
    </w:p>
    <w:p>
      <w:pPr>
        <w:spacing w:after="150"/>
      </w:pPr>
      <w:r>
        <w:rPr>
          <w:b/>
          <w:bCs/>
        </w:rPr>
        <w:t xml:space="preserve">Ejemplo real — Cliente ID 44: </w:t>
      </w:r>
      <w:r>
        <w:t xml:space="preserve">a lo largo de 2023 tiene 7 transacciones distintas (2104, 6809, 9980, 21699, 32539, 46317, 47211), repartidas en enero, febrero, marzo, mayo, julio y dos en septiembre. Frequency = 7.</w:t>
      </w:r>
    </w:p>
    <w:p>
      <w:pPr>
        <w:pStyle w:val="Heading3"/>
        <w:spacing w:after="100" w:before="200"/>
      </w:pPr>
      <w:r>
        <w:t xml:space="preserve">3.4 — Monetary</w:t>
      </w:r>
    </w:p>
    <w:p>
      <w:pPr>
        <w:spacing w:after="150"/>
      </w:pPr>
      <w:r>
        <w:t xml:space="preserve">Monetary = suma de Total_Venta de TODAS las líneas de producto del cliente en todo el año.</w:t>
      </w:r>
    </w:p>
    <w:p>
      <w:pPr>
        <w:spacing w:after="150"/>
      </w:pPr>
      <w:r>
        <w:rPr>
          <w:b/>
          <w:bCs/>
        </w:rPr>
        <w:t xml:space="preserve">Ejemplo real — Cliente ID 44: </w:t>
      </w:r>
      <w:r>
        <w:t xml:space="preserve">sumando las 20 líneas de producto de sus 7 transacciones (13,36+12,54+42,00+14,60+11,74+14,46+7,70+21,70+10,76+18,84+14,74+5,56+17,74+12,26+24,16+17,50+18,09+3,42+7,40+10,92) el resultado es 299,49€. Nótese que esto incluye las compras de julio y septiembre, que luego (Paso 6) quedarán FUERA del tablón filtrado.</w:t>
      </w:r>
    </w:p>
    <w:p>
      <w:pPr>
        <w:pStyle w:val="Heading3"/>
        <w:spacing w:after="100" w:before="200"/>
      </w:pPr>
      <w:r>
        <w:t xml:space="preserve">3.5 — Validación del Paso 3</w:t>
      </w:r>
    </w:p>
    <w:p>
      <w:pPr>
        <w:spacing w:after="150"/>
      </w:pPr>
      <w:r>
        <w:t xml:space="preserve">Recency, Frequency y Monetary se comparan contra tablon_analitico_clientes.csv para los 14.367 clientes de cohorte: coincidencia exacta al 100% en las tres métricas.</w:t>
      </w:r>
    </w:p>
    <w:p>
      <w:pPr>
        <w:pStyle w:val="Heading2"/>
        <w:spacing w:after="150" w:before="300"/>
      </w:pPr>
      <w:r>
        <w:t xml:space="preserve">PASO 4 — Puntuación RFM (scores r, f, m de 1 a 5)</w:t>
      </w:r>
    </w:p>
    <w:p>
      <w:pPr>
        <w:spacing w:after="150"/>
      </w:pPr>
      <w:r>
        <w:t xml:space="preserve">Se convierten las 3 métricas continuas en 3 puntuaciones discretas de 1 (peor) a 5 (mejor). Son CORTES DE NEGOCIO FIJOS, no cuantiles estadísticos (no se usa pd.qcut) — esto se determinó probando ambas hipótesis y comprobando cuál reproducía el 100% de los casos.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600"/>
        <w:gridCol w:w="2700"/>
      </w:tblGrid>
      <w:tr>
        <w:trPr>
          <w:tblHeader/>
        </w:trPr>
        <w:tc>
          <w:tcPr>
            <w:tcW w:type="dxa" w:w="9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26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36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Regla de corte</w:t>
            </w:r>
          </w:p>
        </w:tc>
        <w:tc>
          <w:tcPr>
            <w:tcW w:type="dxa" w:w="27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Sentido</w:t>
            </w:r>
          </w:p>
        </w:tc>
      </w:tr>
      <w:tr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</w:t>
            </w:r>
          </w:p>
        </w:tc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Recency (días)</w:t>
            </w:r>
          </w:p>
        </w:tc>
        <w:tc>
          <w:tcPr>
            <w:tcW w:type="dxa" w:w="3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[0–60]=5 · [61–120]=4 · [121–180]=3 · [181–240]=2 · [241+]=1</w:t>
            </w:r>
          </w:p>
        </w:tc>
        <w:tc>
          <w:tcPr>
            <w:tcW w:type="dxa" w:w="27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Menos días desde la última compra = mejor puntuación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Frequency (nº transacciones)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[1–2]=1 · [3–4]=2 · [5–6]=3 · [7–9]=4 · [10+]=5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Más transacciones = mejor puntuación</w:t>
            </w:r>
          </w:p>
        </w:tc>
      </w:tr>
      <w:tr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Monetary (€ gastados)</w:t>
            </w:r>
          </w:p>
        </w:tc>
        <w:tc>
          <w:tcPr>
            <w:tcW w:type="dxa" w:w="3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[0–30]=1 · [30–70]=2 · [70–150]=3 · [150–300]=4 · [300+]=5</w:t>
            </w:r>
          </w:p>
        </w:tc>
        <w:tc>
          <w:tcPr>
            <w:tcW w:type="dxa" w:w="27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Más gasto = mejor puntuación</w:t>
            </w:r>
          </w:p>
        </w:tc>
      </w:tr>
    </w:tbl>
    <w:p>
      <w:pPr>
        <w:spacing w:after="150"/>
      </w:pPr>
      <w:r>
        <w:rPr>
          <w:b/>
          <w:bCs/>
        </w:rPr>
        <w:t xml:space="preserve">Ejemplo real — Cliente ID 1: </w:t>
      </w:r>
      <w:r>
        <w:t xml:space="preserve">Recency=344 → cae en "241+" → r=1. Frequency=1 → cae en "1–2" → f=1. Monetary=65,16€ → cae en "30–70" → m=2.</w:t>
      </w:r>
    </w:p>
    <w:p>
      <w:pPr>
        <w:spacing w:after="150"/>
      </w:pPr>
      <w:r>
        <w:rPr>
          <w:b/>
          <w:bCs/>
        </w:rPr>
        <w:t xml:space="preserve">Ejemplo real — Cliente ID 44: </w:t>
      </w:r>
      <w:r>
        <w:t xml:space="preserve">Frequency=7 → cae en "7–9" → f=4. Monetary=299,49€ → cae en "150–300" → m=4.</w:t>
      </w:r>
    </w:p>
    <w:p>
      <w:pPr>
        <w:spacing w:after="150"/>
      </w:pPr>
      <w:r>
        <w:t xml:space="preserve">El código RFM es la concatenación de los tres dígitos: r·100 + f·10 + m (p. ej. r=1,f=1,m=2 → RFM=112).</w:t>
      </w:r>
    </w:p>
    <w:p>
      <w:pPr>
        <w:pStyle w:val="Heading3"/>
        <w:spacing w:after="100" w:before="200"/>
      </w:pPr>
      <w:r>
        <w:t xml:space="preserve">4.1 — Validación del Paso 4</w:t>
      </w:r>
    </w:p>
    <w:p>
      <w:pPr>
        <w:spacing w:after="150"/>
      </w:pPr>
      <w:r>
        <w:t xml:space="preserve">r, f, m y el código RFM se comparan contra el tablón de referencia en los 14.367 clientes: coincidencia exacta al 100%.</w:t>
      </w:r>
    </w:p>
    <w:p>
      <w:pPr>
        <w:pStyle w:val="Heading2"/>
        <w:spacing w:after="150" w:before="300"/>
      </w:pPr>
      <w:r>
        <w:t xml:space="preserve">PASO 5 — Segmentación en 9 categorías de negocio</w:t>
      </w:r>
    </w:p>
    <w:p>
      <w:pPr>
        <w:spacing w:after="150"/>
      </w:pPr>
      <w:r>
        <w:t xml:space="preserve">A partir de la combinación (r, f, m) se asigna uno de 9 segmentos (Campeones, Grandes Gastadores, Leales Potenciales, Prometedores, Clientes Leales, Clientes Rentables, Clientes Recientes, En Riesgo, Dudosos). Esta asignación NO sigue una fórmula matemática simple: es una matriz de reglas de negocio.</w:t>
      </w:r>
    </w:p>
    <w:p>
      <w:pPr>
        <w:pStyle w:val="Heading3"/>
        <w:spacing w:after="100" w:before="200"/>
      </w:pPr>
      <w:r>
        <w:t xml:space="preserve">5.1 — Cómo se construyó la matriz</w:t>
      </w:r>
    </w:p>
    <w:p>
      <w:pPr>
        <w:spacing w:after="150"/>
      </w:pPr>
      <w:r>
        <w:t xml:space="preserve">Se identificaron 104 combinaciones distintas de (r,f,m) sobre las 125 posibles (5×5×5). Se comprobó que cada combinación mapea siempre al MISMO segmento en el tablón de referencia (0 combinaciones ambiguas) y se extrajo esa tabla como diccionario de consulta (lookup).</w:t>
      </w:r>
    </w:p>
    <w:p>
      <w:pPr>
        <w:spacing w:after="150"/>
      </w:pPr>
      <w:r>
        <w:rPr>
          <w:b/>
          <w:bCs/>
        </w:rPr>
        <w:t xml:space="preserve">Ejemplo real — Cliente ID 1: </w:t>
      </w:r>
      <w:r>
        <w:t xml:space="preserve">(r=1, f=1, m=2) → "En Riesgo".</w:t>
      </w:r>
    </w:p>
    <w:p>
      <w:pPr>
        <w:spacing w:after="150"/>
      </w:pPr>
      <w:r>
        <w:rPr>
          <w:b/>
          <w:bCs/>
        </w:rPr>
        <w:t xml:space="preserve">Ejemplo real — Cliente ID 44: </w:t>
      </w:r>
      <w:r>
        <w:t xml:space="preserve">Recency=93 días → r=4. Con f=4 y m=4, su combinación es (r=4, f=4, m=4) → RFM=444 → "Campeones". El patrón general observado en la matriz es que combinaciones con f y m altos (4-5) y r medio-alto caen en "Campeones"/"Clientes Leales"/"Clientes Rentables"; r bajo (1-2) con f y m bajos cae en "En Riesgo"; y el resto — la combinación más numerosa, sin un patrón único de negocio — cae en "Dudosos", el segmento por defecto (26.874 de las 54.405 filas del tablón).</w:t>
      </w:r>
    </w:p>
    <w:p>
      <w:pPr>
        <w:pStyle w:val="Heading3"/>
        <w:spacing w:after="100" w:before="200"/>
      </w:pPr>
      <w:r>
        <w:t xml:space="preserve">5.2 — Validación del Paso 5</w:t>
      </w:r>
    </w:p>
    <w:p>
      <w:pPr>
        <w:spacing w:after="150"/>
      </w:pPr>
      <w:r>
        <w:t xml:space="preserve">El Segmento asignado por la matriz coincide al 100% con tablon_analitico_clientes.csv en los 14.367 clientes.</w:t>
      </w:r>
    </w:p>
    <w:p>
      <w:pPr>
        <w:pStyle w:val="Heading2"/>
        <w:spacing w:after="150" w:before="300"/>
      </w:pPr>
      <w:r>
        <w:t xml:space="preserve">PASO 6 — Cohortes: de cliente individual a cohorte mensual</w:t>
      </w:r>
    </w:p>
    <w:p>
      <w:pPr>
        <w:spacing w:after="150"/>
      </w:pPr>
      <w:r>
        <w:t xml:space="preserve">Este paso NO toca las métricas RFM ya calculadas (que quedan fijas con datos del año completo); construye una SEGUNDA vista de los datos, a nivel transacción, recortada a una ventana homogénea de 6 meses por cliente, para poder comparar cohortes entre sí de forma justa.</w:t>
      </w:r>
    </w:p>
    <w:p>
      <w:pPr>
        <w:pStyle w:val="Heading3"/>
        <w:spacing w:after="100" w:before="200"/>
      </w:pPr>
      <w:r>
        <w:t xml:space="preserve">6.1 — MesCohorte: mes de la primera compra</w:t>
      </w:r>
    </w:p>
    <w:p>
      <w:pPr>
        <w:spacing w:after="150"/>
      </w:pPr>
      <w:r>
        <w:t xml:space="preserve">Para cada cliente, MesCohorte = mes de su transacción más antigua (ej.: primera compra el 2023-01-13 → MesCohorte = 2023-01-01).</w:t>
      </w:r>
    </w:p>
    <w:p>
      <w:pPr>
        <w:pStyle w:val="Heading3"/>
        <w:spacing w:after="100" w:before="200"/>
      </w:pPr>
      <w:r>
        <w:t xml:space="preserve">6.2 — Filtro de cohortes completas (enero–julio)</w:t>
      </w:r>
    </w:p>
    <w:p>
      <w:pPr>
        <w:spacing w:after="150"/>
      </w:pPr>
      <w:r>
        <w:t xml:space="preserve">Solo se conservan los clientes cuyo MesCohorte cae entre enero y julio de 2023. Motivo: solo esos clientes pueden, en teoría, tener registrados sus 6 primeros meses de vida (M1 a M6) sin salirse del año 2023 (el dataset termina el 31-12-2023; un cliente cuyo MesCohorte fuera septiembre solo podría llegar a M4 dentro del año). Este filtro reduce el universo de 20.688 a 14.367 clientes.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800"/>
      </w:tblGrid>
      <w:tr>
        <w:trPr>
          <w:tblHeader/>
        </w:trPr>
        <w:tc>
          <w:tcPr>
            <w:tcW w:type="dxa" w:w="40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MesCohorte</w:t>
            </w:r>
          </w:p>
        </w:tc>
        <w:tc>
          <w:tcPr>
            <w:tcW w:type="dxa" w:w="38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Clientes en la cohorte</w:t>
            </w:r>
          </w:p>
        </w:tc>
      </w:tr>
      <w:tr>
        <w:tc>
          <w:tcPr>
            <w:tcW w:type="dxa" w:w="4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Enero 2023</w:t>
            </w:r>
          </w:p>
        </w:tc>
        <w:tc>
          <w:tcPr>
            <w:tcW w:type="dxa" w:w="3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3.114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Febrero 2023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2.051</w:t>
            </w:r>
          </w:p>
        </w:tc>
      </w:tr>
      <w:tr>
        <w:tc>
          <w:tcPr>
            <w:tcW w:type="dxa" w:w="4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Marzo 2023</w:t>
            </w:r>
          </w:p>
        </w:tc>
        <w:tc>
          <w:tcPr>
            <w:tcW w:type="dxa" w:w="3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2.160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Abril 2023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2.079</w:t>
            </w:r>
          </w:p>
        </w:tc>
      </w:tr>
      <w:tr>
        <w:tc>
          <w:tcPr>
            <w:tcW w:type="dxa" w:w="4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Mayo 2023</w:t>
            </w:r>
          </w:p>
        </w:tc>
        <w:tc>
          <w:tcPr>
            <w:tcW w:type="dxa" w:w="3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2.334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Junio 2023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1.461</w:t>
            </w:r>
          </w:p>
        </w:tc>
      </w:tr>
      <w:tr>
        <w:tc>
          <w:tcPr>
            <w:tcW w:type="dxa" w:w="4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Julio 2023</w:t>
            </w:r>
          </w:p>
        </w:tc>
        <w:tc>
          <w:tcPr>
            <w:tcW w:type="dxa" w:w="3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1.168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TOTAL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14.367</w:t>
            </w:r>
          </w:p>
        </w:tc>
      </w:tr>
    </w:tbl>
    <w:p>
      <w:pPr>
        <w:pStyle w:val="Heading3"/>
        <w:spacing w:after="100" w:before="200"/>
      </w:pPr>
      <w:r>
        <w:t xml:space="preserve">6.3 — MesCliente: "edad" de la transacción dentro de la cohorte</w:t>
      </w:r>
    </w:p>
    <w:p>
      <w:pPr>
        <w:spacing w:after="150"/>
      </w:pPr>
      <w:r>
        <w:t xml:space="preserve">Para cada transacción que sobrevive al filtro anterior, se calcula MesCliente = nº de meses transcurridos entre MesCohorte y el mes de esa transacción, empezando en M1 (mes de la primera compra).</w:t>
      </w:r>
    </w:p>
    <w:p>
      <w:pPr>
        <w:pStyle w:val="Heading3"/>
        <w:spacing w:after="100" w:before="200"/>
      </w:pPr>
      <w:r>
        <w:t xml:space="preserve">6.4 — Ventana de 6 meses (M1 a M6)</w:t>
      </w:r>
    </w:p>
    <w:p>
      <w:pPr>
        <w:spacing w:after="150"/>
      </w:pPr>
      <w:r>
        <w:t xml:space="preserve">Se descartan las transacciones con MesCliente &gt; 6 (es decir, las que ocurren 6 meses o más después de la primera compra). Esto es lo que reduce las 78.266 líneas de producto originales a 54.405 en el tablón final.</w:t>
      </w:r>
    </w:p>
    <w:p>
      <w:pPr>
        <w:spacing w:after="150"/>
      </w:pPr>
      <w:r>
        <w:rPr>
          <w:b/>
          <w:bCs/>
        </w:rPr>
        <w:t xml:space="preserve">Ejemplo real completo — Cliente ID 44 (MesCohorte = enero 2023):</w:t>
      </w: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600"/>
      </w:tblGrid>
      <w:tr>
        <w:trPr>
          <w:tblHeader/>
        </w:trPr>
        <w:tc>
          <w:tcPr>
            <w:tcW w:type="dxa" w:w="32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Fecha de la transacción</w:t>
            </w:r>
          </w:p>
        </w:tc>
        <w:tc>
          <w:tcPr>
            <w:tcW w:type="dxa" w:w="28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MesCliente calculado</w:t>
            </w:r>
          </w:p>
        </w:tc>
        <w:tc>
          <w:tcPr>
            <w:tcW w:type="dxa" w:w="36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¿Entra en el tablón final?</w:t>
            </w:r>
          </w:p>
        </w:tc>
      </w:tr>
      <w:tr>
        <w:tc>
          <w:tcPr>
            <w:tcW w:type="dxa" w:w="3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2023-01-13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M1</w:t>
            </w:r>
          </w:p>
        </w:tc>
        <w:tc>
          <w:tcPr>
            <w:tcW w:type="dxa" w:w="3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Sí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2023-02-11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Sí</w:t>
            </w:r>
          </w:p>
        </w:tc>
      </w:tr>
      <w:tr>
        <w:tc>
          <w:tcPr>
            <w:tcW w:type="dxa" w:w="3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2023-03-01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M3</w:t>
            </w:r>
          </w:p>
        </w:tc>
        <w:tc>
          <w:tcPr>
            <w:tcW w:type="dxa" w:w="3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Sí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2023-05-04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M5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Sí</w:t>
            </w:r>
          </w:p>
        </w:tc>
      </w:tr>
      <w:tr>
        <w:tc>
          <w:tcPr>
            <w:tcW w:type="dxa" w:w="3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2023-07-01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M7</w:t>
            </w:r>
          </w:p>
        </w:tc>
        <w:tc>
          <w:tcPr>
            <w:tcW w:type="dxa" w:w="3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— fuera de la ventana de 6 meses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2023-09-25 / 2023-09-29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M9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— fuera de la ventana de 6 meses</w:t>
            </w:r>
          </w:p>
        </w:tc>
      </w:tr>
    </w:tbl>
    <w:p>
      <w:pPr>
        <w:spacing w:after="150"/>
      </w:pPr>
      <w:r>
        <w:t xml:space="preserve">Nótese que este cliente no tiene ninguna transacción en M4 ni en M6 — eso es normal, la ventana no exige comprar todos los meses, solo delimita hasta cuándo se cuenta lo que compre.</w:t>
      </w:r>
    </w:p>
    <w:p>
      <w:pPr>
        <w:pStyle w:val="Heading3"/>
        <w:spacing w:after="100" w:before="200"/>
      </w:pPr>
      <w:r>
        <w:t xml:space="preserve">6.5 — Validación del Paso 6</w:t>
      </w:r>
    </w:p>
    <w:p>
      <w:pPr>
        <w:spacing w:after="150"/>
      </w:pPr>
      <w:r>
        <w:t xml:space="preserve">El número de filas resultantes tras aplicar el filtro de cohortes completas + la ventana de 6 meses es 54.405, exactamente igual que tablon_analitico_clientes.csv.</w:t>
      </w:r>
    </w:p>
    <w:p>
      <w:pPr>
        <w:pStyle w:val="Heading3"/>
        <w:spacing w:after="100" w:before="200"/>
      </w:pPr>
      <w:r>
        <w:t xml:space="preserve">6.6 — Tabla de cohortes y tabla de retención</w:t>
      </w:r>
    </w:p>
    <w:p>
      <w:pPr>
        <w:spacing w:after="150"/>
      </w:pPr>
      <w:r>
        <w:t xml:space="preserve">Con las filas ya filtradas se construye una tabla pivote: filas = MesCohorte, columnas = MesCliente (M1..M6), valores = nº de clientes distintos activos. Dividiendo cada fila por su propio valor de M1 (en %) se obtiene la tabla de retención — reproduce exactamente la tabla del material de negocio (100% en M1, cayendo a un 32,5% en M2 para la cohorte de enero, etc.).</w:t>
      </w:r>
    </w:p>
    <w:p>
      <w:pPr>
        <w:pStyle w:val="Heading2"/>
        <w:spacing w:after="150" w:before="300"/>
      </w:pPr>
      <w:r>
        <w:t xml:space="preserve">PASO 7 — Cálculo del LTV (Lifetime Value)</w:t>
      </w:r>
    </w:p>
    <w:p>
      <w:pPr>
        <w:pStyle w:val="Heading3"/>
        <w:spacing w:after="100" w:before="200"/>
      </w:pPr>
      <w:r>
        <w:t xml:space="preserve">7.1 — LTV por cliente</w:t>
      </w:r>
    </w:p>
    <w:p>
      <w:pPr>
        <w:spacing w:after="150"/>
      </w:pPr>
      <w:r>
        <w:t xml:space="preserve">ltv (por cliente) = suma de Total_Venta de ese cliente, pero SOLO contando las filas que sobrevivieron al filtro de ventana del Paso 6 (no el año completo). Es decir: ltv usa la misma ventana que las cohortes, mientras que Monetary (Paso 3) usa el año completo — son dos sumas de dinero distintas y ambas conviven en el tablón final.</w:t>
      </w:r>
    </w:p>
    <w:p>
      <w:pPr>
        <w:spacing w:after="150"/>
      </w:pPr>
      <w:r>
        <w:rPr>
          <w:b/>
          <w:bCs/>
        </w:rPr>
        <w:t xml:space="preserve">Ejemplo real — Cliente ID 44: </w:t>
      </w:r>
      <w:r>
        <w:t xml:space="preserve">Monetary (año completo) = 299,49€. ltv (solo M1+M2+M3+M5, sin julio ni septiembre) = 13,36+12,54+42,00+14,60+11,74+14,46+7,70+21,70+10,76+18,84 = 167,70€. Al no incluir sus compras de julio y septiembre (que caen fuera de la ventana), el ltv es menor que el Monetary.</w:t>
      </w:r>
    </w:p>
    <w:p>
      <w:pPr>
        <w:spacing w:after="150"/>
      </w:pPr>
      <w:r>
        <w:rPr>
          <w:b/>
          <w:bCs/>
        </w:rPr>
        <w:t xml:space="preserve">Ejemplo real — Cliente ID 1: </w:t>
      </w:r>
      <w:r>
        <w:t xml:space="preserve">como su única compra (65,16€) está en M1, dentro de la ventana, ltv = Monetary = 65,16€. Esto ocurre en el 85% de los clientes: los que no compraron nada fuera de su ventana de 6 meses.</w:t>
      </w:r>
    </w:p>
    <w:p>
      <w:pPr>
        <w:pStyle w:val="Heading3"/>
        <w:spacing w:after="100" w:before="200"/>
      </w:pPr>
      <w:r>
        <w:t xml:space="preserve">7.2 — Validación del Paso 7 (ltv por cliente)</w:t>
      </w:r>
    </w:p>
    <w:p>
      <w:pPr>
        <w:spacing w:after="150"/>
      </w:pPr>
      <w:r>
        <w:t xml:space="preserve">Coincidencia exacta al 100% contra tablon_analitico_clientes.csv en los 14.367 clientes.</w:t>
      </w:r>
    </w:p>
    <w:p>
      <w:pPr>
        <w:pStyle w:val="Heading3"/>
        <w:spacing w:after="100" w:before="200"/>
      </w:pPr>
      <w:r>
        <w:t xml:space="preserve">7.3 — LTV agregado: la curva de LTV acumulado (ltv_mes.csv)</w:t>
      </w:r>
    </w:p>
    <w:p>
      <w:pPr>
        <w:spacing w:after="150"/>
      </w:pPr>
      <w:r>
        <w:t xml:space="preserve">Esta es una vista adicional, a nivel de TODA la cartera de clientes (no por cliente ni por cohorte individual), que responde a "¿cuánto genera de media un cliente típico a medida que pasan los meses?". Se construye así: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Para cada MesCliente (M1..M6): se suman TODAS las ventas de TODOS los clientes y todas las cohortes que tengan actividad en ese mes de vida (columna Total_Venta).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divide entre una base FIJA: el nº total de clientes de la cohorte de partida (M1 = 14.367 clientes), no entre los clientes activos ese mes concreto. Esto es clave: es lo que permite que la curva sea "acumulable" (cada nuevo mes se reparte entre los 14.367 clientes originales, aunque muchos ya no compren).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resultado (Ventas_por_M1) se va acumulando mes a mes (suma acumulada) para obtener el LTV medio por cliente a N meses de vida.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800"/>
        <w:gridCol w:w="2000"/>
      </w:tblGrid>
      <w:tr>
        <w:trPr>
          <w:tblHeader/>
        </w:trPr>
        <w:tc>
          <w:tcPr>
            <w:tcW w:type="dxa" w:w="16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MesCliente</w:t>
            </w:r>
          </w:p>
        </w:tc>
        <w:tc>
          <w:tcPr>
            <w:tcW w:type="dxa" w:w="26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Ventas totales del mes</w:t>
            </w:r>
          </w:p>
        </w:tc>
        <w:tc>
          <w:tcPr>
            <w:tcW w:type="dxa" w:w="28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÷ 14.367 clientes (M1)</w:t>
            </w:r>
          </w:p>
        </w:tc>
        <w:tc>
          <w:tcPr>
            <w:tcW w:type="dxa" w:w="20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LTV acumulado</w:t>
            </w:r>
          </w:p>
        </w:tc>
      </w:tr>
      <w:tr>
        <w:tc>
          <w:tcPr>
            <w:tcW w:type="dxa" w:w="1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M1</w:t>
            </w:r>
          </w:p>
        </w:tc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885.178,76 €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61,61 €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61,61 €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193.674,15 €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13,48 €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75,09 €</w:t>
            </w:r>
          </w:p>
        </w:tc>
      </w:tr>
      <w:tr>
        <w:tc>
          <w:tcPr>
            <w:tcW w:type="dxa" w:w="1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M3</w:t>
            </w:r>
          </w:p>
        </w:tc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140.703,96 €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9,79 €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84,89 €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96.188,18 €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6,70 €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91,58 €</w:t>
            </w:r>
          </w:p>
        </w:tc>
      </w:tr>
      <w:tr>
        <w:tc>
          <w:tcPr>
            <w:tcW w:type="dxa" w:w="1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M5</w:t>
            </w:r>
          </w:p>
        </w:tc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80.492,23 €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5,60 €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97,18 €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80.064,04 €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5,57 €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102,76 €</w:t>
            </w:r>
          </w:p>
        </w:tc>
      </w:tr>
    </w:tbl>
    <w:p>
      <w:pPr>
        <w:spacing w:after="150"/>
      </w:pPr>
      <w:r>
        <w:t xml:space="preserve">Estos valores (61,61€ → 102,76€) son exactamente los que aparecen en el material de negocio (gráfico "ACUMULADO LTV POR MES").</w:t>
      </w:r>
    </w:p>
    <w:p>
      <w:pPr>
        <w:pStyle w:val="Heading3"/>
        <w:spacing w:after="100" w:before="200"/>
      </w:pPr>
      <w:r>
        <w:t xml:space="preserve">7.4 — Validación del Paso 7 (curva agregada)</w:t>
      </w:r>
    </w:p>
    <w:p>
      <w:pPr>
        <w:spacing w:after="150"/>
      </w:pPr>
      <w:r>
        <w:t xml:space="preserve">Total_Venta y Ventas_por_M1 por MesCliente coinciden al 100% (con tolerancia de redondeo) contra ltv_mes.csv.</w:t>
      </w:r>
    </w:p>
    <w:p>
      <w:pPr>
        <w:pStyle w:val="Heading2"/>
        <w:spacing w:after="150" w:before="300"/>
      </w:pPr>
      <w:r>
        <w:t xml:space="preserve">PASO 8 — Ensamblaje del tablón analítico final</w:t>
      </w:r>
    </w:p>
    <w:p>
      <w:pPr>
        <w:spacing w:after="150"/>
      </w:pPr>
      <w:r>
        <w:t xml:space="preserve">Se combinan, por ID_Cliente: (a) las transacciones filtradas del Paso 6 (con su MesCohorte/MesCliente), (b) las métricas y el Segmento de los Pasos 3-5, y (c) los datos sociodemográficos ya limpios del Paso 1. Resultado: 54.405 filas × 29 columnas — una fila por línea de producto dentro de la ventana de 6 meses, con todo el contexto de cliente y cohorte ya anexado.</w:t>
      </w:r>
    </w:p>
    <w:p>
      <w:pPr>
        <w:pStyle w:val="Heading2"/>
        <w:spacing w:after="150" w:before="300"/>
      </w:pPr>
      <w:r>
        <w:t xml:space="preserve">2.2 Resultados de validación</w:t>
      </w:r>
    </w:p>
    <w:p>
      <w:pPr>
        <w:spacing w:after="150"/>
      </w:pPr>
      <w:r>
        <w:t xml:space="preserve">Todas las métricas reconstruidas se compararon cifra a cifra contra los ficheros de referencia: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600"/>
      </w:tblGrid>
      <w:tr>
        <w:trPr>
          <w:tblHeader/>
        </w:trPr>
        <w:tc>
          <w:tcPr>
            <w:tcW w:type="dxa" w:w="52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46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Coincidencia</w:t>
            </w:r>
          </w:p>
        </w:tc>
      </w:tr>
      <w:tr>
        <w:tc>
          <w:tcPr>
            <w:tcW w:type="dxa" w:w="5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Limpieza clientes/productos</w:t>
            </w:r>
          </w:p>
        </w:tc>
        <w:tc>
          <w:tcPr>
            <w:tcW w:type="dxa" w:w="4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100%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Recency, Frequency, Monetary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100%</w:t>
            </w:r>
          </w:p>
        </w:tc>
      </w:tr>
      <w:tr>
        <w:tc>
          <w:tcPr>
            <w:tcW w:type="dxa" w:w="5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Scores r, f, m y código RFM</w:t>
            </w:r>
          </w:p>
        </w:tc>
        <w:tc>
          <w:tcPr>
            <w:tcW w:type="dxa" w:w="4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100%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Segmento (9 categorías)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100%</w:t>
            </w:r>
          </w:p>
        </w:tc>
      </w:tr>
      <w:tr>
        <w:tc>
          <w:tcPr>
            <w:tcW w:type="dxa" w:w="5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Nº de filas tras filtro de cohorte + ventana</w:t>
            </w:r>
          </w:p>
        </w:tc>
        <w:tc>
          <w:tcPr>
            <w:tcW w:type="dxa" w:w="4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54.405 / 54.405 (100%)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ltv por cliente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100%</w:t>
            </w:r>
          </w:p>
        </w:tc>
      </w:tr>
      <w:tr>
        <w:tc>
          <w:tcPr>
            <w:tcW w:type="dxa" w:w="5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Curva de LTV acumulado (ltv_mes.csv)</w:t>
            </w:r>
          </w:p>
        </w:tc>
        <w:tc>
          <w:tcPr>
            <w:tcW w:type="dxa" w:w="4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100% — reproduce exactamente 61,61€ -&gt; 102,76€ del material de negocio</w:t>
            </w:r>
          </w:p>
        </w:tc>
      </w:tr>
    </w:tbl>
    <w:p>
      <w:pPr>
        <w:spacing w:after="150"/>
      </w:pPr>
      <w:r>
        <w:t xml:space="preserve">0 discrepancias en el conjunto completo de 14.367 clientes / 54.405 filas de transacción. El detalle operación por operación de cómo se llega a cada una de estas cifras está en el Anexo Técnico anterior.</w:t>
      </w:r>
    </w:p>
    <w:p>
      <w:pPr>
        <w:pStyle w:val="Heading2"/>
        <w:spacing w:after="150" w:before="300"/>
      </w:pPr>
      <w:r>
        <w:t xml:space="preserve">2.3 Archivos generados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notebooks/02_capa2_preparacion_datos.ipynb — notebook de Colab, ejecutable de principio a fin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tablon_analitico_reconstruido.csv — tablón a nivel transacción, listo para EDA (Capa 3)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ltv_mes_reconstruido.csv — curva de LTV acumulado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tabla_retencion_reconstruida.csv — tabla de retención por cohorte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Sesión 1 — Capa 3: Análisis Exploratorio de Datos (EDA)</w:t>
      </w:r>
    </w:p>
    <w:p>
      <w:pPr>
        <w:pStyle w:val="Heading2"/>
        <w:spacing w:after="150" w:before="300"/>
      </w:pPr>
      <w:r>
        <w:t xml:space="preserve">3.1 Metodología</w:t>
      </w:r>
    </w:p>
    <w:p>
      <w:pPr>
        <w:spacing w:after="150"/>
      </w:pPr>
      <w:r>
        <w:t xml:space="preserve">Nivel de la pirámide: Nivel I (Descriptivo). Este notebook explora y describe — no contrasta hipótesis; eso queda para la Capa 4.</w:t>
      </w:r>
    </w:p>
    <w:p>
      <w:pPr>
        <w:spacing w:after="150"/>
      </w:pPr>
      <w:r>
        <w:rPr>
          <w:b/>
          <w:bCs/>
        </w:rPr>
        <w:t xml:space="preserve">Decisión metodológica clave: </w:t>
      </w:r>
      <w:r>
        <w:t xml:space="preserve">el EDA se hace sobre una vista deduplicada a nivel cliente (14.367 filas), no sobre las 54.405 filas transaccionales de tablon_analitico_reconstruido.csv. Motivo: un cliente con 20 líneas de producto pesaría 20 veces más que uno con 1 sola línea en cualquier histograma o correlación calculado directamente sobre la tabla transaccional (pseudo-replicación), distorsionando todas las distribuciones. Se añadió también Edad, calculada a partir de Fecha_Nacimiento (referencia 2023-12-31).</w:t>
      </w:r>
    </w:p>
    <w:p>
      <w:pPr>
        <w:spacing w:after="150"/>
      </w:pPr>
      <w:r>
        <w:t xml:space="preserve">Herramienta: Python (pandas, matplotlib, seaborn, scipy) en notebook de Colab (03_capa3_eda.ipynb), ejecutado de principio a fin sin errores.</w:t>
      </w:r>
    </w:p>
    <w:p>
      <w:pPr>
        <w:pStyle w:val="Heading2"/>
        <w:spacing w:after="150" w:before="300"/>
      </w:pPr>
      <w:r>
        <w:t xml:space="preserve">3.2 Hallazgos principales</w:t>
      </w:r>
    </w:p>
    <w:p>
      <w:pPr>
        <w:pStyle w:val="Heading3"/>
        <w:spacing w:after="100" w:before="200"/>
      </w:pPr>
      <w:r>
        <w:t xml:space="preserve">A. Univariado cuantitativo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Frequency (asimetría 3,03) y CAC (asimetría 3,48) son las más sesgadas a la derecha — la mediana describe mejor al cliente típico que la media.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Monetary (1,44) y ltv (1,59): sesgo positivo típico de gasto en retail.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Recency es bimodal: un grupo concentrado en 0-50 días (compradores activos) y otro, más grande, en 250-350 días (clientes inactivos desde hace 8-11 meses) — dos poblaciones mezcladas, no un continuo homogéneo.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Ni Monetary ni ltv son normales (test Kolmogorov-Smirnov, p≈0 en ambas; QQ-plot con cola visible fuera de la diagonal). Esto condiciona la Capa 4: probablemente haga falta Mann-Whitney/Kruskal-Wallis en vez de t-Student/ANOVA.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Outliers (regla IQR): Frequency 5,6%, Monetary 6,3%, ltv 6,0%, CAC 7,5%. No se recortan — son comportamiento real, no errores de captura, y la propia pregunta de negocio (clientes no rentables) los necesita intactos.</w:t>
      </w:r>
    </w:p>
    <w:p>
      <w:pPr>
        <w:pStyle w:val="Heading3"/>
        <w:spacing w:after="100" w:before="200"/>
      </w:pPr>
      <w:r>
        <w:t xml:space="preserve">B. Univariado cualitativo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Segmento: "En Riesgo" (41,4%) + "Dudosos" (40,3%) = 81,7% de la cartera. Solo el 3,9% son "Campeones". Es el hallazgo más importante del EDA: el negocio depende de una minoría muy pequeña de clientes de alto valor.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Genero: 62,8% Mujer / 37,2% Hombre — desbalance real, a verificar en Capa 4.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Recordatorio de calidad de datos (heredado de la Capa 2): "Desconocido" en Nivel_Educativo (9,5%) y Ocupacion (11,6%) es una categoría de nulos imputados, no una categoría de negocio — tratar con cautela en cualquier interpretación.</w:t>
      </w:r>
    </w:p>
    <w:p>
      <w:pPr>
        <w:pStyle w:val="Heading3"/>
        <w:spacing w:after="100" w:before="200"/>
      </w:pPr>
      <w:r>
        <w:t xml:space="preserve">C. Multivariado cuantitativa × cuantitativa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Monetary ↔ ltv: r=0,94. Esperado y NO es hallazgo de negocio — ltv se construye a partir de Monetary (ver Capa 2). Por eso nunca se usará Monetary como predictor de ltv en la Capa 5 (circularidad).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Frequency ↔ Monetary: r=0,62. Recency ↔ Frequency: r=-0,54. Ambas razonables.</w:t>
      </w:r>
    </w:p>
    <w:p>
      <w:pPr>
        <w:spacing w:after="150"/>
      </w:pPr>
      <w:r>
        <w:rPr>
          <w:b/>
          <w:bCs/>
        </w:rPr>
        <w:t xml:space="preserve">Hallazgo no obvio: </w:t>
      </w:r>
      <w:r>
        <w:t xml:space="preserve">CAC prácticamente no correlaciona con nada (r entre 0,00 y 0,14 con Recency/Frequency/Monetary/ltv). Lo que cuesta captar a un cliente no predice cuánto va a gastar — hay clientes con CAC de hasta 1.426€ que generaron solo 36,84€ en todo el año. Sugiere que el presupuesto de adquisición actual no está bien dirigido hacia los clientes de más valor. A confirmar formalmente en la Capa 4.</w:t>
      </w:r>
    </w:p>
    <w:p>
      <w:pPr>
        <w:pStyle w:val="Heading3"/>
        <w:spacing w:after="100" w:before="200"/>
      </w:pPr>
      <w:r>
        <w:t xml:space="preserve">D. Multivariado cualitativa × cualitativa y cualitativa × cuantitativa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Segmento × Genero: el % de mujeres oscila entre 52,4% (Prometedores) y 69,4% (Leales Potenciales) — variación moderada, no extrema. Ojo: Prometedores solo tiene 21 clientes, muestra pequeña para sacar conclusiones.</w:t>
      </w:r>
    </w:p>
    <w:p>
      <w:pPr>
        <w:spacing w:after="150"/>
      </w:pPr>
      <w:r>
        <w:rPr>
          <w:b/>
          <w:bCs/>
        </w:rPr>
        <w:t xml:space="preserve">Precaución metodológica explícita: </w:t>
      </w:r>
      <w:r>
        <w:t xml:space="preserve">las diferencias de Monetary/ltv por Segmento (boxplots) NO son un hallazgo inferencial válido — el Segmento se construye a partir de esas mismas variables, la diferencia es casi tautológica. Los cruces que sí valen para la Capa 4 son Monetary/Segmento contra las variables sociodemográficas (Genero, Nivel_Educativo, Ocupacion), que son independientes de cómo se calculó el RFM.</w:t>
      </w:r>
    </w:p>
    <w:p>
      <w:pPr>
        <w:pStyle w:val="Heading3"/>
        <w:spacing w:after="100" w:before="200"/>
      </w:pPr>
      <w:r>
        <w:t xml:space="preserve">E. Principio de Pareto aplicado a Monetary</w:t>
      </w:r>
    </w:p>
    <w:p>
      <w:pPr>
        <w:spacing w:after="150"/>
      </w:pPr>
      <w:r>
        <w:rPr>
          <w:b/>
          <w:bCs/>
        </w:rPr>
        <w:t xml:space="preserve">Hallazgo que contradice la heurística habitual del 80/20: </w:t>
      </w:r>
      <w:r>
        <w:t xml:space="preserve">hace falta el 41,9% de los clientes (6.022 de 14.367) — no el 20% — para generar el 80% de las ventas. La cartera está menos concentrada de lo que se suele asumir por defecto; un argumento en contra de centrar toda la estrategia de retención solo en los "Campeones" (3,9% de la base).</w:t>
      </w:r>
    </w:p>
    <w:p>
      <w:pPr>
        <w:pStyle w:val="Heading2"/>
        <w:spacing w:after="150" w:before="300"/>
      </w:pPr>
      <w:r>
        <w:t xml:space="preserve">3.3 De hallazgos descriptivos a preguntas inferenciales (puente a Capa 4)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5100"/>
      </w:tblGrid>
      <w:tr>
        <w:trPr>
          <w:tblHeader/>
        </w:trPr>
        <w:tc>
          <w:tcPr>
            <w:tcW w:type="dxa" w:w="47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Hallazgo (EDA, Nivel I)</w:t>
            </w:r>
          </w:p>
        </w:tc>
        <w:tc>
          <w:tcPr>
            <w:tcW w:type="dxa" w:w="51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Pregunta a contrastar en Capa 4 (Nivel II)</w:t>
            </w:r>
          </w:p>
        </w:tc>
      </w:tr>
      <w:tr>
        <w:tc>
          <w:tcPr>
            <w:tcW w:type="dxa" w:w="47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"En Riesgo"+"Dudosos" = 81,7% de la cartera</w:t>
            </w:r>
          </w:p>
        </w:tc>
        <w:tc>
          <w:tcPr>
            <w:tcW w:type="dxa" w:w="51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¿Qué sociodemográficas distinguen a "En Riesgo" del resto? (Chi-cuadrado)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CAC no correlaciona con Monetary/ltv (r&lt;0,15)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¿Es esa correlación significativamente distinta de 0?</w:t>
            </w:r>
          </w:p>
        </w:tc>
      </w:tr>
      <w:tr>
        <w:tc>
          <w:tcPr>
            <w:tcW w:type="dxa" w:w="47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Genero varía 52-69% Mujer según segmento</w:t>
            </w:r>
          </w:p>
        </w:tc>
        <w:tc>
          <w:tcPr>
            <w:tcW w:type="dxa" w:w="51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¿Segmento y Genero son independientes? (Chi-cuadrado)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Monetary/ltv no son normales (K-S, QQ-plot)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Usar Mann-Whitney/Kruskal-Wallis, no t-Student/ANOVA</w:t>
            </w:r>
          </w:p>
        </w:tc>
      </w:tr>
      <w:tr>
        <w:tc>
          <w:tcPr>
            <w:tcW w:type="dxa" w:w="47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Diferencia visual de Monetary por Nivel_Educativo</w:t>
            </w:r>
          </w:p>
        </w:tc>
        <w:tc>
          <w:tcPr>
            <w:tcW w:type="dxa" w:w="51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¿Significativa tras corrección por comparaciones múltiples?</w:t>
            </w:r>
          </w:p>
        </w:tc>
      </w:tr>
    </w:tbl>
    <w:p>
      <w:pPr>
        <w:pStyle w:val="Heading2"/>
        <w:spacing w:after="150" w:before="300"/>
      </w:pPr>
      <w:r>
        <w:t xml:space="preserve">3.4 Archivos generados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notebooks/03_capa3_eda.ipynb — notebook de Colab, ejecutable de principio a fin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cliente_nivel_eda.csv — vista a nivel cliente (14.367 filas) con Edad calculada, para reutilizar en la Capa 4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Sesión 1 — Capa 4: Análisis Clásico (Estadística Inferencial)</w:t>
      </w:r>
    </w:p>
    <w:p>
      <w:pPr>
        <w:pStyle w:val="Heading2"/>
        <w:spacing w:after="150" w:before="300"/>
      </w:pPr>
      <w:r>
        <w:t xml:space="preserve">4.1 Metodología</w:t>
      </w:r>
    </w:p>
    <w:p>
      <w:pPr>
        <w:spacing w:after="150"/>
      </w:pPr>
      <w:r>
        <w:t xml:space="preserve">Nivel de la pirámide: Nivel II (Diagnóstico/Inferencial). Punto de partida: las 5 preguntas cerradas al final de la Capa 3, más los contrastes de Segmento/sociodemográficas necesarios para cerrar la Decisión de negocio de la Capa 1.</w:t>
      </w:r>
    </w:p>
    <w:p>
      <w:pPr>
        <w:spacing w:after="150"/>
      </w:pPr>
      <w:r>
        <w:rPr>
          <w:b/>
          <w:bCs/>
        </w:rPr>
        <w:t xml:space="preserve">Regla de oro aplicada: </w:t>
      </w:r>
      <w:r>
        <w:t xml:space="preserve">ningún contraste se interpreta sin (1) verificar sus supuestos, (2) reportar el tamaño de efecto —no solo el p-valor— y (3) corregir por comparaciones múltiples cuando se lanzan varios tests a la vez. Herramienta: Python (scipy.stats) en notebook de Colab (04_capa4_analisis_inferencial.ipynb), ejecutado de principio a fin sin errores.</w:t>
      </w:r>
    </w:p>
    <w:p>
      <w:pPr>
        <w:pStyle w:val="Heading2"/>
        <w:spacing w:after="150" w:before="300"/>
      </w:pPr>
      <w:r>
        <w:t xml:space="preserve">4.2 Verificación de supuestos</w:t>
      </w:r>
    </w:p>
    <w:p>
      <w:pPr>
        <w:spacing w:after="150"/>
      </w:pPr>
      <w:r>
        <w:t xml:space="preserve">Kolmogorov-Smirnov (H0: normalidad) sobre Recency, Frequency, Monetary, ltv y CAC: las 5 variables rechazan normalidad (p≈0, salvo Recency p=1,12·10⁻¹²⁶). Levene (H0: varianzas iguales) sobre Monetary por Genero, Tamano_Hogar, Nivel_Educativo y Ocupacion: las 4 rechazan homocedasticidad (p&lt;10⁻¹⁰ en todos los casos).</w:t>
      </w:r>
    </w:p>
    <w:p>
      <w:pPr>
        <w:spacing w:after="150"/>
      </w:pPr>
      <w:r>
        <w:rPr>
          <w:b/>
          <w:bCs/>
        </w:rPr>
        <w:t xml:space="preserve">Decisión: </w:t>
      </w:r>
      <w:r>
        <w:t xml:space="preserve">se descartan t-Student, Welch y ANOVA en toda la capa. Todos los contrastes usan la rama no paramétrica — Mann-Whitney U (2 grupos) y Kruskal-Wallis (3+ grupos) — con post-hoc por pares (Mann-Whitney + corrección FDR) cuando el Kruskal-Wallis resulta significativo.</w:t>
      </w:r>
    </w:p>
    <w:p>
      <w:pPr>
        <w:pStyle w:val="Heading2"/>
        <w:spacing w:after="150" w:before="300"/>
      </w:pPr>
      <w:r>
        <w:t xml:space="preserve">4.3 Resultados — Bloque 1: Monetary por sociodemográficas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1800"/>
        <w:gridCol w:w="1800"/>
      </w:tblGrid>
      <w:tr>
        <w:trPr>
          <w:tblHeader/>
        </w:trPr>
        <w:tc>
          <w:tcPr>
            <w:tcW w:type="dxa" w:w="42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Contraste</w:t>
            </w:r>
          </w:p>
        </w:tc>
        <w:tc>
          <w:tcPr>
            <w:tcW w:type="dxa" w:w="20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Resultado</w:t>
            </w:r>
          </w:p>
        </w:tc>
        <w:tc>
          <w:tcPr>
            <w:tcW w:type="dxa" w:w="18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Tamaño de efecto</w:t>
            </w:r>
          </w:p>
        </w:tc>
        <w:tc>
          <w:tcPr>
            <w:tcW w:type="dxa" w:w="18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Magnitud</w:t>
            </w:r>
          </w:p>
        </w:tc>
      </w:tr>
      <w:tr>
        <w:tc>
          <w:tcPr>
            <w:tcW w:type="dxa" w:w="4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Mann-Whitney: Monetary ~ Genero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p=0,00044 (sig.)</w:t>
            </w:r>
          </w:p>
        </w:tc>
        <w:tc>
          <w:tcPr>
            <w:tcW w:type="dxa" w:w="1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r=0,035</w:t>
            </w:r>
          </w:p>
        </w:tc>
        <w:tc>
          <w:tcPr>
            <w:tcW w:type="dxa" w:w="1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Negligible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Kruskal-Wallis: Monetary ~ Tamano_Hogar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p=0,0095 (sig.)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eta²=0,0005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Negligible</w:t>
            </w:r>
          </w:p>
        </w:tc>
      </w:tr>
      <w:tr>
        <w:tc>
          <w:tcPr>
            <w:tcW w:type="dxa" w:w="4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Kruskal-Wallis: Monetary ~ Nivel_Educativo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p=6·10⁻⁵⁵ (sig.)</w:t>
            </w:r>
          </w:p>
        </w:tc>
        <w:tc>
          <w:tcPr>
            <w:tcW w:type="dxa" w:w="1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eta²=0,018</w:t>
            </w:r>
          </w:p>
        </w:tc>
        <w:tc>
          <w:tcPr>
            <w:tcW w:type="dxa" w:w="18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Pequeño (real)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Kruskal-Wallis: Monetary ~ Ocupacion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p=7·10⁻⁶⁹ (sig.)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eta²=0,0225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Pequeño (real)</w:t>
            </w:r>
          </w:p>
        </w:tc>
      </w:tr>
    </w:tbl>
    <w:p>
      <w:pPr>
        <w:spacing w:after="150"/>
      </w:pPr>
      <w:r>
        <w:rPr>
          <w:b/>
          <w:bCs/>
        </w:rPr>
        <w:t xml:space="preserve">Post-hoc (Mann-Whitney por pares + FDR): </w:t>
      </w:r>
      <w:r>
        <w:t xml:space="preserve">Nivel_Educativo, 12 de 15 pares significativos — patrón consistente: Máster (mediana 88,47€) y Universitario (79,57€) gastan más que Educación básica (56,96€), Sin estudios (55,48€) y Desconocido (58,20€), que se comportan como un bloque homogéneo entre sí. Ocupacion, 11 de 15 pares significativos: Autónomo (88,96€), Empleado y Jubilado (~75-76€) gastan más que Desempleado/Estudiante/Desconocido (~55€).</w:t>
      </w:r>
    </w:p>
    <w:p>
      <w:pPr>
        <w:pStyle w:val="Heading2"/>
        <w:spacing w:after="150" w:before="300"/>
      </w:pPr>
      <w:r>
        <w:t xml:space="preserve">4.4 Resultados — Bloque 2: asociación entre categóricas (Chi-cuadrado + Cramér's V)</w:t>
      </w:r>
    </w:p>
    <w:p>
      <w:pPr>
        <w:spacing w:after="150"/>
      </w:pPr>
      <w:r>
        <w:t xml:space="preserve">Se añade Cramér's V junto al p-valor porque, con n=14.367, el chi-cuadrado tiene potencia estadística muy alta y puede marcar como "significativa" una asociación real pero minúscula. Escala: &lt;0,1 negligible · 0,1-0,3 débil · 0,3-0,5 moderado · &gt;0,5 fuerte.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00"/>
        <w:gridCol w:w="2000"/>
        <w:gridCol w:w="1900"/>
      </w:tblGrid>
      <w:tr>
        <w:trPr>
          <w:tblHeader/>
        </w:trPr>
        <w:tc>
          <w:tcPr>
            <w:tcW w:type="dxa" w:w="35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Cruce</w:t>
            </w:r>
          </w:p>
        </w:tc>
        <w:tc>
          <w:tcPr>
            <w:tcW w:type="dxa" w:w="24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p-valor</w:t>
            </w:r>
          </w:p>
        </w:tc>
        <w:tc>
          <w:tcPr>
            <w:tcW w:type="dxa" w:w="20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Cramér's V</w:t>
            </w:r>
          </w:p>
        </w:tc>
        <w:tc>
          <w:tcPr>
            <w:tcW w:type="dxa" w:w="19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Magnitud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Segmento x Genero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0,116 (NO sig.)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0,0299</w:t>
            </w:r>
          </w:p>
        </w:tc>
        <w:tc>
          <w:tcPr>
            <w:tcW w:type="dxa" w:w="1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En_Riesgo x Genero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0,054 (NO sig.)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0,0161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En_Riesgo x Nivel_Educativo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8,5·10⁻¹⁸ (sig.)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0,0789</w:t>
            </w:r>
          </w:p>
        </w:tc>
        <w:tc>
          <w:tcPr>
            <w:tcW w:type="dxa" w:w="1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Negligible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En_Riesgo x Ocupacion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3,5·10⁻²³ (sig.)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0,0895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Negligible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En_Riesgo x Tamano_Hogar</w:t>
            </w:r>
          </w:p>
        </w:tc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0,0138 (sig.)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0,0244</w:t>
            </w:r>
          </w:p>
        </w:tc>
        <w:tc>
          <w:tcPr>
            <w:tcW w:type="dxa" w:w="1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Negligible</w:t>
            </w:r>
          </w:p>
        </w:tc>
      </w:tr>
    </w:tbl>
    <w:p>
      <w:pPr>
        <w:spacing w:after="150"/>
      </w:pPr>
      <w:r>
        <w:rPr>
          <w:b/>
          <w:bCs/>
        </w:rPr>
        <w:t xml:space="preserve">Conclusión honesta: </w:t>
      </w:r>
      <w:r>
        <w:t xml:space="preserve">ninguna variable sociodemográfica disponible predice de forma relevante quién cae en "En Riesgo" — los 3 cruces que dan p&lt;0,05 tienen Cramér's V por debajo de 0,09 (negligible). Implicación directa para la Capa 5: hará falta señal de comportamiento temprano (M1), no perfil sociodemográfico, para anticipar el riesgo de abandono.</w:t>
      </w:r>
    </w:p>
    <w:p>
      <w:pPr>
        <w:pStyle w:val="Heading2"/>
        <w:spacing w:after="150" w:before="300"/>
      </w:pPr>
      <w:r>
        <w:t xml:space="preserve">4.5 Revisión de un hallazgo de la Capa 3: correlación de CAC</w:t>
      </w:r>
    </w:p>
    <w:p>
      <w:pPr>
        <w:spacing w:after="150"/>
      </w:pPr>
      <w:r>
        <w:rPr>
          <w:b/>
          <w:bCs/>
        </w:rPr>
        <w:t xml:space="preserve">Corrección metodológica explícita: </w:t>
      </w:r>
      <w:r>
        <w:t xml:space="preserve">en la Capa 3 se usó correlación de Pearson (r≈0,13-0,14) y se concluyó que "CAC prácticamente no correlaciona con nada". Esa lectura estaba incompleta: Pearson mide relación lineal y las variables no son normales ni simétricas (confirmado en 4.2) — Pearson subestima la asociación real en ese escenario. Con Spearman (correlación de rangos, la medida correcta aquí): CAC~Monetary rho=0,2264 (p≈0) y CAC~ltv rho=0,2315 (p≈0) — ambas "débiles" pero YA NO negligibles. La lectura correcta no es "CAC no predice nada", sino: el CAC tiene una relación monótona positiva débil con el valor futuro del cliente — apunta en la dirección correcta pero es insuficiente por sí solo para decidir presupuesto de adquisición.</w:t>
      </w:r>
    </w:p>
    <w:p>
      <w:pPr>
        <w:pStyle w:val="Heading2"/>
        <w:spacing w:after="150" w:before="300"/>
      </w:pPr>
      <w:r>
        <w:t xml:space="preserve">4.6 Corrección global por comparaciones múltiples</w:t>
      </w:r>
    </w:p>
    <w:p>
      <w:pPr>
        <w:spacing w:after="150"/>
      </w:pPr>
      <w:r>
        <w:t xml:space="preserve">Se lanzaron 11 contrastes omnibus en esta capa (1 Mann-Whitney + 3 Kruskal-Wallis + 5 Chi-cuadrado + 2 Spearman). Tras aplicar FDR (Benjamini-Hochberg) sobre el conjunto: 9 de 11 siguen siendo significativos, pero solo 3 mantienen un tamaño de efecto por encima de "negligible" (Nivel_Educativo y Ocupacion sobre Monetary — efecto pequeño; CAC sobre Monetary/ltv — efecto débil). Con una muestra de 14.367 clientes, el p-valor solo no es buen filtro — la magnitud del efecto es la que separa lo accionable de lo anecdótico.</w:t>
      </w:r>
    </w:p>
    <w:p>
      <w:pPr>
        <w:pStyle w:val="Heading2"/>
        <w:spacing w:after="150" w:before="300"/>
      </w:pPr>
      <w:r>
        <w:t xml:space="preserve">4.7 Resumen ejecutivo (Nivel II cerrado)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600"/>
      </w:tblGrid>
      <w:tr>
        <w:trPr>
          <w:tblHeader/>
        </w:trPr>
        <w:tc>
          <w:tcPr>
            <w:tcW w:type="dxa" w:w="32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Pregunta (de la Capa 3)</w:t>
            </w:r>
          </w:p>
        </w:tc>
        <w:tc>
          <w:tcPr>
            <w:tcW w:type="dxa" w:w="36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Resultado</w:t>
            </w:r>
          </w:p>
        </w:tc>
        <w:tc>
          <w:tcPr>
            <w:tcW w:type="dxa" w:w="26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¿Accionable?</w:t>
            </w:r>
          </w:p>
        </w:tc>
      </w:tr>
      <w:tr>
        <w:tc>
          <w:tcPr>
            <w:tcW w:type="dxa" w:w="3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¿"En Riesgo" se explica por sociodemográficas?</w:t>
            </w:r>
          </w:p>
        </w:tc>
        <w:tc>
          <w:tcPr>
            <w:tcW w:type="dxa" w:w="3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Género no sig.; el resto sig. pero Cramér's V negligible (&lt;0,09)</w:t>
            </w:r>
          </w:p>
        </w:tc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— hace falta comportamiento, no perfil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¿La correlación CAC-Monetary es real?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Sí con Spearman (rho≈0,23, débil); Pearson (Capa 3) la había subestimado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Débil; insuficiente en solitario</w:t>
            </w:r>
          </w:p>
        </w:tc>
      </w:tr>
      <w:tr>
        <w:tc>
          <w:tcPr>
            <w:tcW w:type="dxa" w:w="3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¿Segmento y Género son independientes?</w:t>
            </w:r>
          </w:p>
        </w:tc>
        <w:tc>
          <w:tcPr>
            <w:tcW w:type="dxa" w:w="3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Sí (p=0,116)</w:t>
            </w:r>
          </w:p>
        </w:tc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¿Monetary/ltv son normales?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Confirmado: no lo son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Rama no paramétrica en toda la capa</w:t>
            </w:r>
          </w:p>
        </w:tc>
      </w:tr>
      <w:tr>
        <w:tc>
          <w:tcPr>
            <w:tcW w:type="dxa" w:w="3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¿Diferencia de Monetary por Nivel_Educativo es real?</w:t>
            </w:r>
          </w:p>
        </w:tc>
        <w:tc>
          <w:tcPr>
            <w:tcW w:type="dxa" w:w="3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Sí, significativa y con efecto pequeño-real (eta²=0,018)</w:t>
            </w:r>
          </w:p>
        </w:tc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Sí — base estadística para segmentar comunicación</w:t>
            </w:r>
          </w:p>
        </w:tc>
      </w:tr>
    </w:tbl>
    <w:p>
      <w:pPr>
        <w:spacing w:after="150"/>
      </w:pPr>
      <w:r>
        <w:rPr>
          <w:b/>
          <w:bCs/>
        </w:rPr>
        <w:t xml:space="preserve">Conclusión de negocio para la Capa 6: </w:t>
      </w:r>
      <w:r>
        <w:t xml:space="preserve">los datos sociodemográficos disponibles (género, tamaño de hogar) NO son buena base para diferenciar campañas — efectos estadísticamente detectables pero irrelevantes en magnitud. Nivel educativo y ocupación sí aportan una señal pequeña pero real. Ninguna variable sociodemográfica predice de forma útil el riesgo de abandono — la Capa 5 debe apoyarse en comportamiento temprano (M1).</w:t>
      </w:r>
    </w:p>
    <w:p>
      <w:pPr>
        <w:pStyle w:val="Heading2"/>
        <w:spacing w:after="150" w:before="300"/>
      </w:pPr>
      <w:r>
        <w:t xml:space="preserve">4.8 Archivos generados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notebooks/04_capa4_analisis_inferencial.ipynb — notebook de Colab, ejecutable de principio a fin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resumen_omnibus_capa4.csv — tabla maestra de los 11 contrastes con p-valor, p-FDR, tamaño de efecto y magnitud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Sesión 1 — Capa 5: Machine Learning (Riesgo de Abandono Temprano)</w:t>
      </w:r>
    </w:p>
    <w:p>
      <w:pPr>
        <w:pStyle w:val="Heading2"/>
        <w:spacing w:after="150" w:before="300"/>
      </w:pPr>
      <w:r>
        <w:t xml:space="preserve">5.1 Metodología</w:t>
      </w:r>
    </w:p>
    <w:p>
      <w:pPr>
        <w:spacing w:after="150"/>
      </w:pPr>
      <w:r>
        <w:t xml:space="preserve">Nivel de la pirámide: Nivel III (Predictivo), acotado en la Capa 1 para responder a los objetivos 3 y 4 del negocio ("entender la retención", "activar clientes en riesgo"). Pregunta: con solo el comportamiento del primer mes (M1) y datos sociodemográficos, ¿se puede anticipar si un cliente seguirá comprando?</w:t>
      </w:r>
    </w:p>
    <w:p>
      <w:pPr>
        <w:spacing w:after="150"/>
      </w:pPr>
      <w:r>
        <w:rPr>
          <w:b/>
          <w:bCs/>
        </w:rPr>
        <w:t xml:space="preserve">Variables permitidas: </w:t>
      </w:r>
      <w:r>
        <w:t xml:space="preserve">Genero, Nivel_Educativo, Ocupacion, Tamano_Hogar, Edad, CAC, gasto_M1, frecuencia_M1, ticket_medio_M1. Variables EXCLUIDAS por circularidad (decidido en la Capa 1): Monetary, Recency, Frequency, r, f, m, RFM, Segmento, ltv — todas usan información posterior al momento de la predicción.</w:t>
      </w:r>
    </w:p>
    <w:p>
      <w:pPr>
        <w:spacing w:after="150"/>
      </w:pPr>
      <w:r>
        <w:t xml:space="preserve">Herramienta: Python (scikit-learn) en notebook de Colab (05_capa5_prediccion_churn.ipynb), ejecutado de principio a fin sin errores.</w:t>
      </w:r>
    </w:p>
    <w:p>
      <w:pPr>
        <w:pStyle w:val="Heading2"/>
        <w:spacing w:after="150" w:before="300"/>
      </w:pPr>
      <w:r>
        <w:t xml:space="preserve">5.2 Variable objetivo y balance de clases</w:t>
      </w:r>
    </w:p>
    <w:p>
      <w:pPr>
        <w:spacing w:after="150"/>
      </w:pPr>
      <w:r>
        <w:rPr>
          <w:b/>
          <w:bCs/>
        </w:rPr>
        <w:t xml:space="preserve">Hallazgo de negocio, previo al modelo: </w:t>
      </w:r>
      <w:r>
        <w:t xml:space="preserve">solo el 16,6% de los clientes tiene alguna compra en M3, y solo el 9,9% en M6 — más de 8 de cada 10 clientes nuevos no vuelven a comprar en los 3 meses siguientes a su primera compra. Esto es, en sí mismo, uno de los hallazgos más accionables del proyecto, con independencia de lo que consiga predecir el modelo.</w:t>
      </w:r>
    </w:p>
    <w:p>
      <w:pPr>
        <w:spacing w:after="150"/>
      </w:pPr>
      <w:r>
        <w:t xml:space="preserve">Al estar desbalanceado (83,4%/16,6%), se usa class_weight="balanced" en ambos modelos en vez de sobremuestreo (SMOTE) — consigue el mismo objetivo (penalizar más los errores sobre la clase minoritaria) sin inventar datos sintéticos.</w:t>
      </w:r>
    </w:p>
    <w:p>
      <w:pPr>
        <w:pStyle w:val="Heading2"/>
        <w:spacing w:after="150" w:before="300"/>
      </w:pPr>
      <w:r>
        <w:t xml:space="preserve">5.3 Protocolo y modelos</w:t>
      </w:r>
    </w:p>
    <w:p>
      <w:pPr>
        <w:spacing w:after="150"/>
      </w:pPr>
      <w:r>
        <w:t xml:space="preserve">Partición 70/30 estratificada (mantiene la proporción de clases en train y test). Dos modelos: Regresión Logística (interpretable) y Random Forest (300 árboles, profundidad 6, más flexible), ambos con class_weight="balanced".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Modelo</w:t>
            </w:r>
          </w:p>
        </w:tc>
        <w:tc>
          <w:tcPr>
            <w:tcW w:type="dxa" w:w="30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Objetivo</w:t>
            </w:r>
          </w:p>
        </w:tc>
        <w:tc>
          <w:tcPr>
            <w:tcW w:type="dxa" w:w="30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AUC-ROC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Regresión Logística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activo_M3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0,6083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Random Forest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activo_M3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0,6119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Regresión Logística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activo_M6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~0,60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Random Forest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activo_M6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~0,59</w:t>
            </w:r>
          </w:p>
        </w:tc>
      </w:tr>
    </w:tbl>
    <w:p>
      <w:pPr>
        <w:pStyle w:val="Heading2"/>
        <w:spacing w:after="150" w:before="300"/>
      </w:pPr>
      <w:r>
        <w:t xml:space="preserve">5.4 Resultado frente al criterio de éxito de la Capa 1 — reportado sin maquillar</w:t>
      </w:r>
    </w:p>
    <w:p>
      <w:pPr>
        <w:spacing w:after="150"/>
      </w:pPr>
      <w:r>
        <w:rPr>
          <w:b/>
          <w:bCs/>
        </w:rPr>
        <w:t xml:space="preserve">La Capa 1 fijó AUC-ROC &gt; 0,65 como métrica de éxito. NINGÚN modelo lo alcanza </w:t>
      </w:r>
      <w:r>
        <w:t xml:space="preserve">(el mejor, Random Forest sobre activo_M3, llega a 0,6119). Se reporta así, sin ajustar el criterio a posteriori — el propio proyecto identificó en la auditoría de la aplicación anterior el problema de inflar artificialmente un AUC (ver hallazgo histórico de la Capa 1), y aquí se hace lo contrario: mostrar el número real. Es un resultado razonable, no un fallo del proceso: se predice con una sola señal de comportamiento (M1) sobre una base donde el 83% simplemente no vuelve.</w:t>
      </w:r>
    </w:p>
    <w:p>
      <w:pPr>
        <w:pStyle w:val="Heading2"/>
        <w:spacing w:after="150" w:before="300"/>
      </w:pPr>
      <w:r>
        <w:t xml:space="preserve">5.5 Modelo final (Random Forest, activo_M3): métricas completas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200"/>
      </w:tblGrid>
      <w:tr>
        <w:trPr>
          <w:tblHeader/>
        </w:trPr>
        <w:tc>
          <w:tcPr>
            <w:tcW w:type="dxa" w:w="30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32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Clase 0 (No vuelve)</w:t>
            </w:r>
          </w:p>
        </w:tc>
        <w:tc>
          <w:tcPr>
            <w:tcW w:type="dxa" w:w="32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Clase 1 (Vuelve)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Precisión</w:t>
            </w:r>
          </w:p>
        </w:tc>
        <w:tc>
          <w:tcPr>
            <w:tcW w:type="dxa" w:w="3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0,861</w:t>
            </w:r>
          </w:p>
        </w:tc>
        <w:tc>
          <w:tcPr>
            <w:tcW w:type="dxa" w:w="3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0,269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Recall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0,813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0,344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F1-score</w:t>
            </w:r>
          </w:p>
        </w:tc>
        <w:tc>
          <w:tcPr>
            <w:tcW w:type="dxa" w:w="3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0,837</w:t>
            </w:r>
          </w:p>
        </w:tc>
        <w:tc>
          <w:tcPr>
            <w:tcW w:type="dxa" w:w="3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0,302</w:t>
            </w:r>
          </w:p>
        </w:tc>
      </w:tr>
    </w:tbl>
    <w:p>
      <w:pPr>
        <w:spacing w:after="150"/>
      </w:pPr>
      <w:r>
        <w:rPr>
          <w:b/>
          <w:bCs/>
        </w:rPr>
        <w:t xml:space="preserve">Punto importante para no leer mal esta tabla: </w:t>
      </w:r>
      <w:r>
        <w:t xml:space="preserve">el modelo tiene MENOS accuracy global (73,5%) que predecir siempre "no vuelve" (83,4%). No significa que el modelo sea peor — el naive "acierta mucho" apostando siempre a la mayoría pero no identifica a NINGÚN cliente que sí vuelve (recall clase 1 = 0%). El modelo sacrifica accuracy general a cambio de detectar un 34,4% de los clientes que sí vuelven, que es justo lo que necesita el negocio.</w:t>
      </w:r>
    </w:p>
    <w:p>
      <w:pPr>
        <w:pStyle w:val="Heading2"/>
        <w:spacing w:after="150" w:before="300"/>
      </w:pPr>
      <w:r>
        <w:t xml:space="preserve">5.6 Variables más importantes</w:t>
      </w:r>
    </w:p>
    <w:p>
      <w:pPr>
        <w:spacing w:after="150"/>
      </w:pPr>
      <w:r>
        <w:rPr>
          <w:b/>
          <w:bCs/>
        </w:rPr>
        <w:t xml:space="preserve">frecuencia_M1 domina claramente en ambos modelos </w:t>
      </w:r>
      <w:r>
        <w:t xml:space="preserve">— cuántas veces compró el cliente en su primer mes importa más que cuánto se gastó. Las variables sociodemográficas apenas pesan, coherente con el hallazgo de Cramér's V negligible de la Capa 4: el comportamiento temprano predice mejor que el perfil.</w:t>
      </w:r>
    </w:p>
    <w:p>
      <w:pPr>
        <w:pStyle w:val="Heading2"/>
        <w:spacing w:after="150" w:before="300"/>
      </w:pPr>
      <w:r>
        <w:t xml:space="preserve">5.7 Valor práctico pese al AUC modesto: análisis por deciles</w:t>
      </w:r>
    </w:p>
    <w:p>
      <w:pPr>
        <w:spacing w:after="150"/>
      </w:pPr>
      <w:r>
        <w:rPr>
          <w:b/>
          <w:bCs/>
        </w:rPr>
        <w:t xml:space="preserve">El 10% de clientes que el modelo puntúa como más propensos a volver tiene una tasa de retorno real del 33,9%, frente al 16,6% de media — un lift de 2,04x. </w:t>
      </w:r>
      <w:r>
        <w:t xml:space="preserve">Traducido a negocio: usar el modelo para priorizar una campaña de activación justo después de M1 doblaría la eficacia de acertar con quién sí va a volver, frente a elegir al azar. Este es el uso práctico recomendado del modelo, no una decisión binaria automática.</w:t>
      </w:r>
    </w:p>
    <w:p>
      <w:pPr>
        <w:pStyle w:val="Heading2"/>
        <w:spacing w:after="150" w:before="300"/>
      </w:pPr>
      <w:r>
        <w:t xml:space="preserve">5.8 Conclusiones y qué haría falta para mejorar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Resultado honesto: no se alcanza el AUC&gt;0,65 fijado en la Capa 1 (se llega a ~0,61).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Predecir M6 es más difícil que M3 (menos positivos, señal más diluida con el tiempo) — limitación real de partir solo de M1, no un fallo del modelo.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Para superar el umbral en una siguiente iteración (fuera del alcance actual): señal de qué categoría de producto se compra en M1 (no solo importe/frecuencia), variable de canal de captación, y granularidad semanal en vez de mensual para M1.</w:t>
      </w:r>
    </w:p>
    <w:p>
      <w:pPr>
        <w:pStyle w:val="Heading2"/>
        <w:spacing w:after="150" w:before="300"/>
      </w:pPr>
      <w:r>
        <w:t xml:space="preserve">5.9 Archivos generados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notebooks/05_capa5_prediccion_churn.ipynb — notebook de Colab, ejecutable de principio a fin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dataset_capa5_final.csv — dataset de modelado (features M1 + sociodemográficas + targets activo_M3/activo_M6)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resumen_modelos_capa5.csv — comparación de AUC por modelo y objetivo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Sesión 1 — Capa 6: Entregable (Informe de Conclusiones)</w:t>
      </w:r>
    </w:p>
    <w:p>
      <w:pPr>
        <w:pStyle w:val="Heading2"/>
        <w:spacing w:after="150" w:before="300"/>
      </w:pPr>
      <w:r>
        <w:t xml:space="preserve">6.1 Metodología</w:t>
      </w:r>
    </w:p>
    <w:p>
      <w:pPr>
        <w:spacing w:after="150"/>
      </w:pPr>
      <w:r>
        <w:t xml:space="preserve">Última capa del proyecto: traducir los hallazgos de las Capas 3-5 en un documento de comunicación para la dirección de Super Compras, siguiendo la secuencia de alto impacto del checklist del proyecto (resumen ejecutivo -&gt; contexto -&gt; metodología breve -&gt; tendencias -&gt; evidencia estadística -&gt; desempeño del modelo -&gt; acciones).</w:t>
      </w:r>
    </w:p>
    <w:p>
      <w:pPr>
        <w:spacing w:after="150"/>
      </w:pPr>
      <w:r>
        <w:t xml:space="preserve">Entregable: Informe_Conclusiones_SuperCompras.docx — documento independiente de esta bitácora (que es el registro técnico/auditoría) y del glosario (que es el apoyo didáctico). Incluye 4 gráficos generados específicamente para audiencia no técnica y verificados visualmente antes de la entrega.</w:t>
      </w:r>
    </w:p>
    <w:p>
      <w:pPr>
        <w:pStyle w:val="Heading2"/>
        <w:spacing w:after="150" w:before="300"/>
      </w:pPr>
      <w:r>
        <w:t xml:space="preserve">6.2 Contenido del informe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Resumen ejecutivo en 3 frases: fuga temprana masiva (8 de cada 10 no vuelven en 3 meses), negocio concentrado en un núcleo pequeño de clientes de alto valor, y el comportamiento en M1 (no el perfil sociodemográfico) es la señal que sí sirve para anticipar el abandono.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Contexto de negocio y metodología (breve, con la garantía de validación cifra a cifra de la Capa 2 como aval de credibilidad).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 gráficos de tendencias (Capa 3): distribución de Segmento, retención por mes de vida, LTV acumulado.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Tabla resumen de evidencias estadísticas (Capa 4) en lenguaje llano: qué variables sí explican diferencias reales y accionables (Nivel_Educativo, Ocupacion) y cuáles no (Genero, Tamano_Hogar).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Desempeño del modelo de riesgo (Capa 5) con el gráfico de lift por decil, honesto sobre no alcanzar el AUC objetivo pero mostrando el valor práctico real (lift 2,04x).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 recomendaciones accionables: activación temprana (aviso a 30-45 días), tope de CAC y auditoría de canales de captación, segmentación de comunicación por Nivel_Educativo/Ocupacion, y uso del modelo como lista de prioridades (no piloto automático).</w:t>
      </w:r>
    </w:p>
    <w:p>
      <w:pPr>
        <w:pStyle w:val="Heading2"/>
        <w:spacing w:after="150" w:before="300"/>
      </w:pPr>
      <w:r>
        <w:t xml:space="preserve">6.3 Archivos generados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Informe_Conclusiones_SuperCompras.docx — documento final para dirección, verificado visualmente página por página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charts_informe/ — 4 gráficos (segmentos, retención, LTV acumulado, lift por decil) usados en el informe</w:t>
      </w:r>
    </w:p>
    <w:p>
      <w:pPr>
        <w:pStyle w:val="Heading2"/>
        <w:spacing w:after="150" w:before="300"/>
      </w:pPr>
      <w:r>
        <w:t xml:space="preserve">6.4 Cierre del proyecto — las 6 capas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300"/>
      </w:tblGrid>
      <w:tr>
        <w:trPr>
          <w:tblHeader/>
        </w:trPr>
        <w:tc>
          <w:tcPr>
            <w:tcW w:type="dxa" w:w="45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Capa</w:t>
            </w:r>
          </w:p>
        </w:tc>
        <w:tc>
          <w:tcPr>
            <w:tcW w:type="dxa" w:w="53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— Estrategia</w:t>
            </w:r>
          </w:p>
        </w:tc>
        <w:tc>
          <w:tcPr>
            <w:tcW w:type="dxa" w:w="53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Completada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 — Preparación de datos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Completada — validación 100% cifra a cifra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 — EDA</w:t>
            </w:r>
          </w:p>
        </w:tc>
        <w:tc>
          <w:tcPr>
            <w:tcW w:type="dxa" w:w="53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Completada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 — Análisis clásico (inferencial)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Completada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 — Machine Learning (predictivo)</w:t>
            </w:r>
          </w:p>
        </w:tc>
        <w:tc>
          <w:tcPr>
            <w:tcW w:type="dxa" w:w="53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Completada — resultado honesto, no alcanza el umbral fijado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 — Entregable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Completada — Informe_Conclusiones_SuperCompras.docx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50"/>
      </w:pPr>
      <w:r>
        <w:rPr>
          <w:b/>
          <w:bCs/>
        </w:rPr>
        <w:t xml:space="preserve">Nota de trazabilidad: </w:t>
      </w:r>
      <w:r>
        <w:t xml:space="preserve">esta bitácora se actualiza al final de CADA notebook/capa (no solo al final de la sesión) con los hallazgos, decisiones y resultados de validación correspondientes, siguiendo el mismo criterio de rigor aplicado en la Capa 2.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Anexo — Dashboard interactivo (Dashboard_SuperCompras.html)</w:t>
      </w:r>
    </w:p>
    <w:p>
      <w:pPr>
        <w:spacing w:after="150"/>
      </w:pPr>
      <w:r>
        <w:t xml:space="preserve">A partir del entregable manual de referencia del curso (Dashboard_CA-curso.twbx, Tableau) se construyó un dashboard HTML equivalente, autónomo (sin dependencias externas para funcionar) y con filtros reales, ampliando el dashboard estático inicial.</w:t>
      </w:r>
    </w:p>
    <w:p>
      <w:pPr>
        <w:pStyle w:val="Heading2"/>
        <w:spacing w:after="150" w:before="300"/>
      </w:pPr>
      <w:r>
        <w:t xml:space="preserve">Comparación con el Tableau de referencia</w:t>
      </w:r>
    </w:p>
    <w:p>
      <w:pPr>
        <w:spacing w:after="150"/>
      </w:pPr>
      <w:r>
        <w:t xml:space="preserve">El workbook de Tableau se auditó primero (extracción del .twb) para no dejarse ninguna vista: 5 dashboards (Visión Global, RFM Estratégico, RFM Operativo, Cohortes, Lifetime Value) más una Story narrativa, con filtros de acción (clic en Segmento/Ocupación/Nivel Educativo) y quick filters (r, f, m) sobre una tabla operativa.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500"/>
      </w:tblGrid>
      <w:tr>
        <w:trPr>
          <w:tblHeader/>
        </w:trPr>
        <w:tc>
          <w:tcPr>
            <w:tcW w:type="dxa" w:w="42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Elemento del Tableau original</w:t>
            </w:r>
          </w:p>
        </w:tc>
        <w:tc>
          <w:tcPr>
            <w:tcW w:type="dxa" w:w="55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Cómo se cubrió en el HTML</w:t>
            </w:r>
          </w:p>
        </w:tc>
      </w:tr>
      <w:tr>
        <w:tc>
          <w:tcPr>
            <w:tcW w:type="dxa" w:w="4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Visión Global (KPIs + evolución mensual)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Pestaña nueva: 5 KPIs + evolución de ventas y clientes mes a mes (todo 2023, 20.688 clientes) — no existía en la versión HTML anterior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RFM Estratégico (KPIs y R/F/M por segmento)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Pestaña con tabla de KPIs por segmento + 3 gráficos (Recency/Frequency/Monetary medios), con filtro de segmento por chips</w:t>
            </w:r>
          </w:p>
        </w:tc>
      </w:tr>
      <w:tr>
        <w:tc>
          <w:tcPr>
            <w:tcW w:type="dxa" w:w="4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RFM Operativo (tabla filtrable r/f/m)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Pestaña nueva: tabla de 104 combinaciones r-f-m con filtros desplegables multi-selección (r, f, m, Segmento) — no existía antes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Cohortes (tasa de retención por cohorte y por segmento)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Pestaña con tabla de retención por cohorte (mapa de calor) + gráfico de retención por segmento filtrable — antes solo había la curva media</w:t>
            </w:r>
          </w:p>
        </w:tc>
      </w:tr>
      <w:tr>
        <w:tc>
          <w:tcPr>
            <w:tcW w:type="dxa" w:w="4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Lifetime Value (LTV, CAC, Ratio/Punto muerto)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Pestaña nueva: LTV acumulado vs CAC medio con punto de equilibrio marcado + LTV/CAC por Segmento, Nivel_Educativo u Ocupación (selector)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Filtros de acción / quick filters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Chips de segmento (Cohortes, RFM Estratégico) y desplegables multi-selección (RFM Operativo) — filtran los gráficos/tablas en vivo</w:t>
            </w:r>
          </w:p>
        </w:tc>
      </w:tr>
    </w:tbl>
    <w:p>
      <w:pPr>
        <w:pStyle w:val="Heading2"/>
        <w:spacing w:after="150" w:before="300"/>
      </w:pPr>
      <w:r>
        <w:t xml:space="preserve">Hallazgos nuevos surgidos al construir este dashboard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Punto de equilibrio LTV vs CAC: el cliente medio compensa su coste de adquisición durante el mes 2 de vida (LTV pasa de 61,6€ a 75,1€, cruzando el CAC medio de 69,4€).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segmento "En Riesgo" tiene LTV medio (31,03€) por debajo de su CAC medio (58,91€) — es, en promedio, deficitario. "Clientes Recientes" también (34,02€ vs 49,57€).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Retención por segmento a 6 meses: "Campeones" retiene ~63%, frente a un 0,3% en "En Riesgo" — confirma con datos la intuición de la Capa 3 de que son "dos negocios distintos".</w:t>
      </w:r>
    </w:p>
    <w:p>
      <w:pPr>
        <w:pStyle w:val="Heading2"/>
        <w:spacing w:after="150" w:before="300"/>
      </w:pPr>
      <w:r>
        <w:t xml:space="preserve">Archivos generados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Dashboard_SuperCompras.html — dashboard interactivo con 7 pestañas y filtros, sin dependencias externas obligatorias (Chart.js embebido)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2026-09-07T10:17:36.967Z</dcterms:created>
  <dcterms:modified xsi:type="dcterms:W3CDTF">2026-09-07T10:17:36.967Z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