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1E3A5F" w:val="clear"/>
            <w:tcMar>
              <w:top w:type="dxa" w:w="600"/>
              <w:left w:type="dxa" w:w="500"/>
              <w:bottom w:type="dxa" w:w="500"/>
              <w:right w:type="dxa" w:w="500"/>
            </w:tcMar>
          </w:tcPr>
          <w:p>
            <w:pPr>
              <w:spacing w:after="160"/>
              <w:jc w:val="center"/>
            </w:pPr>
            <w:r>
              <w:rPr>
                <w:rFonts w:ascii="Arial" w:cs="Arial" w:eastAsia="Arial" w:hAnsi="Arial"/>
                <w:b/>
                <w:bCs/>
                <w:color w:val="FFFFFF"/>
                <w:sz w:val="56"/>
                <w:szCs w:val="56"/>
              </w:rPr>
              <w:t xml:space="preserve">CUSTOMER ANALYTICS</w:t>
            </w:r>
          </w:p>
          <w:p>
            <w:pPr>
              <w:spacing w:after="120"/>
              <w:jc w:val="center"/>
            </w:pPr>
            <w:r>
              <w:rPr>
                <w:rFonts w:ascii="Arial" w:cs="Arial" w:eastAsia="Arial" w:hAnsi="Arial"/>
                <w:color w:val="93C5FD"/>
                <w:sz w:val="32"/>
                <w:szCs w:val="32"/>
              </w:rPr>
              <w:t xml:space="preserve">Análisis Integral de Clientes</w:t>
            </w:r>
          </w:p>
          <w:p>
            <w:pPr>
              <w:spacing w:after="80" w:before="160"/>
              <w:jc w:val="center"/>
            </w:pPr>
            <w:r>
              <w:rPr>
                <w:rFonts w:ascii="Arial" w:cs="Arial" w:eastAsia="Arial" w:hAnsi="Arial"/>
                <w:color w:val="CBD5E1"/>
                <w:sz w:val="22"/>
                <w:szCs w:val="22"/>
              </w:rPr>
              <w:t xml:space="preserve">EDA  ·  Segmentación RFM  ·  Plan de Marketing</w:t>
            </w:r>
          </w:p>
          <w:p>
            <w:pPr>
              <w:jc w:val="center"/>
            </w:pPr>
            <w:r>
              <w:rPr>
                <w:rFonts w:ascii="Arial" w:cs="Arial" w:eastAsia="Arial" w:hAnsi="Arial"/>
                <w:color w:val="94A3B8"/>
                <w:sz w:val="20"/>
                <w:szCs w:val="20"/>
              </w:rPr>
              <w:t xml:space="preserve">Ejercicio 2023 — Presentación a Dirección General</w:t>
            </w:r>
          </w:p>
        </w:tc>
      </w:tr>
    </w:tbl>
    <w:p>
      <w:pPr>
        <w:spacing w:after="0" w:before="40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18"/>
                <w:szCs w:val="18"/>
              </w:rPr>
              <w:t xml:space="preserve">Notebooks analizados</w:t>
            </w:r>
          </w:p>
        </w:tc>
        <w:tc>
          <w:tcPr>
            <w:tcW w:type="dxa" w:w="66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8"/>
                <w:szCs w:val="18"/>
              </w:rPr>
              <w:t xml:space="preserve">01_EDA.ipynb  ·  02_Análisis_RFM.ipynb</w:t>
            </w:r>
          </w:p>
        </w:tc>
      </w:tr>
      <w:tr>
        <w:tc>
          <w:tcPr>
            <w:tcW w:type="dxa" w:w="24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18"/>
                <w:szCs w:val="18"/>
              </w:rPr>
              <w:t xml:space="preserve">Fuentes de datos</w:t>
            </w:r>
          </w:p>
        </w:tc>
        <w:tc>
          <w:tcPr>
            <w:tcW w:type="dxa" w:w="66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8"/>
                <w:szCs w:val="18"/>
              </w:rPr>
              <w:t xml:space="preserve">productos_1224.csv  ·  clientes_1224.csv → productos_final.csv  ·  clientes_final.csv</w:t>
            </w:r>
          </w:p>
        </w:tc>
      </w:tr>
      <w:tr>
        <w:tc>
          <w:tcPr>
            <w:tcW w:type="dxa" w:w="24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18"/>
                <w:szCs w:val="18"/>
              </w:rPr>
              <w:t xml:space="preserve">Período</w:t>
            </w:r>
          </w:p>
        </w:tc>
        <w:tc>
          <w:tcPr>
            <w:tcW w:type="dxa" w:w="66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8"/>
                <w:szCs w:val="18"/>
              </w:rPr>
              <w:t xml:space="preserve">1 enero 2023 — 31 diciembre 2023</w:t>
            </w:r>
          </w:p>
        </w:tc>
      </w:tr>
      <w:tr>
        <w:tc>
          <w:tcPr>
            <w:tcW w:type="dxa" w:w="24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18"/>
                <w:szCs w:val="18"/>
              </w:rPr>
              <w:t xml:space="preserve">Volumen</w:t>
            </w:r>
          </w:p>
        </w:tc>
        <w:tc>
          <w:tcPr>
            <w:tcW w:type="dxa" w:w="66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8"/>
                <w:szCs w:val="18"/>
              </w:rPr>
              <w:t xml:space="preserve">78.266 registros · 20.688 clientes únicos · 43.547 transacciones</w:t>
            </w:r>
          </w:p>
        </w:tc>
      </w:tr>
      <w:tr>
        <w:tc>
          <w:tcPr>
            <w:tcW w:type="dxa" w:w="24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center"/>
          </w:tcPr>
          <w:p>
            <w:pPr>
              <w:jc w:val="left"/>
            </w:pPr>
            <w:r>
              <w:rPr>
                <w:rFonts w:ascii="Arial" w:cs="Arial" w:eastAsia="Arial" w:hAnsi="Arial"/>
                <w:b/>
                <w:bCs/>
                <w:color w:val="DC2626"/>
                <w:sz w:val="18"/>
                <w:szCs w:val="18"/>
              </w:rPr>
              <w:t xml:space="preserve">Clasificación</w:t>
            </w:r>
          </w:p>
        </w:tc>
        <w:tc>
          <w:tcPr>
            <w:tcW w:type="dxa" w:w="66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DC2626"/>
                <w:sz w:val="18"/>
                <w:szCs w:val="18"/>
              </w:rPr>
              <w:t xml:space="preserve">CONFIDENCIAL — Uso exclusivo Dirección General</w:t>
            </w:r>
          </w:p>
        </w:tc>
      </w:tr>
    </w:tbl>
    <w:p>
      <w:pPr>
        <w:spacing w:after="0" w:before="160"/>
      </w:pPr>
      <w:r>
        <w:t xml:space="preserve"/>
      </w:r>
    </w:p>
    <w:p>
      <w:r>
        <w:br w:type="page"/>
      </w:r>
    </w:p>
    <w:p>
      <w:pPr>
        <w:pStyle w:val="Heading1"/>
        <w:pBdr>
          <w:bottom w:val="single" w:color="2563EB" w:sz="8" w:space="1"/>
        </w:pBdr>
        <w:spacing w:after="160" w:before="360"/>
      </w:pPr>
      <w:r>
        <w:rPr>
          <w:rFonts w:ascii="Arial" w:cs="Arial" w:eastAsia="Arial" w:hAnsi="Arial"/>
          <w:b/>
          <w:bCs/>
          <w:color w:val="1E3A5F"/>
          <w:sz w:val="36"/>
          <w:szCs w:val="36"/>
        </w:rPr>
        <w:t xml:space="preserve">1. Resumen Ejecutivo</w:t>
      </w:r>
    </w:p>
    <w:p>
      <w:pPr>
        <w:spacing w:after="80" w:before="80"/>
        <w:jc w:val="left"/>
      </w:pPr>
      <w:r>
        <w:rPr>
          <w:rFonts w:ascii="Arial" w:cs="Arial" w:eastAsia="Arial" w:hAnsi="Arial"/>
          <w:b w:val="false"/>
          <w:bCs w:val="false"/>
          <w:color w:val="333333"/>
          <w:sz w:val="20"/>
          <w:szCs w:val="20"/>
        </w:rPr>
        <w:t xml:space="preserve">Este informe consolida los resultados del análisis exploratorio de datos (EDA) y la segmentación RFM realizados sobre los datos de clientes y transacciones del ejercicio 2023. Los hallazgos están organizados en tres bloques: calidad de datos y métricas de negocio, comportamiento de compra por dimensión RFM, y segmentación accionable con propuesta de campañas de marketing.</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none" w:color="FFFFFF" w:sz="0"/>
              <w:left w:val="none" w:color="FFFFFF" w:sz="0"/>
              <w:bottom w:val="none" w:color="FFFFFF" w:sz="0"/>
              <w:right w:val="none" w:color="FFFFFF" w:sz="0"/>
            </w:tcBorders>
            <w:shd w:fill="DBEAFE" w:val="clear"/>
            <w:tcMar>
              <w:top w:type="dxa" w:w="140"/>
              <w:left w:type="dxa" w:w="140"/>
              <w:bottom w:type="dxa" w:w="140"/>
              <w:right w:type="dxa" w:w="140"/>
            </w:tcMar>
          </w:tcPr>
          <w:p>
            <w:pPr>
              <w:jc w:val="center"/>
            </w:pPr>
            <w:r>
              <w:rPr>
                <w:rFonts w:ascii="Arial" w:cs="Arial" w:eastAsia="Arial" w:hAnsi="Arial"/>
                <w:color w:val="1E3A5F"/>
                <w:sz w:val="16"/>
                <w:szCs w:val="16"/>
              </w:rPr>
              <w:t xml:space="preserve">Revenue Total</w:t>
            </w:r>
          </w:p>
          <w:p>
            <w:pPr>
              <w:jc w:val="center"/>
            </w:pPr>
            <w:r>
              <w:rPr>
                <w:rFonts w:ascii="Arial" w:cs="Arial" w:eastAsia="Arial" w:hAnsi="Arial"/>
                <w:b/>
                <w:bCs/>
                <w:color w:val="1E3A5F"/>
                <w:sz w:val="38"/>
                <w:szCs w:val="38"/>
              </w:rPr>
              <w:t xml:space="preserve">€2,15M</w:t>
            </w:r>
          </w:p>
          <w:p>
            <w:pPr>
              <w:jc w:val="center"/>
            </w:pPr>
            <w:r>
              <w:rPr>
                <w:rFonts w:ascii="Arial" w:cs="Arial" w:eastAsia="Arial" w:hAnsi="Arial"/>
                <w:color w:val="475569"/>
                <w:sz w:val="15"/>
                <w:szCs w:val="15"/>
              </w:rPr>
              <w:t xml:space="preserve">Año 2023</w:t>
            </w:r>
          </w:p>
        </w:tc>
        <w:tc>
          <w:tcPr>
            <w:tcW w:type="dxa" w:w="2268"/>
            <w:tcBorders>
              <w:top w:val="none" w:color="FFFFFF" w:sz="0"/>
              <w:left w:val="none" w:color="FFFFFF" w:sz="0"/>
              <w:bottom w:val="none" w:color="FFFFFF" w:sz="0"/>
              <w:right w:val="none" w:color="FFFFFF" w:sz="0"/>
            </w:tcBorders>
            <w:shd w:fill="D1FAE5" w:val="clear"/>
            <w:tcMar>
              <w:top w:type="dxa" w:w="140"/>
              <w:left w:type="dxa" w:w="140"/>
              <w:bottom w:type="dxa" w:w="140"/>
              <w:right w:type="dxa" w:w="140"/>
            </w:tcMar>
          </w:tcPr>
          <w:p>
            <w:pPr>
              <w:jc w:val="center"/>
            </w:pPr>
            <w:r>
              <w:rPr>
                <w:rFonts w:ascii="Arial" w:cs="Arial" w:eastAsia="Arial" w:hAnsi="Arial"/>
                <w:color w:val="1E3A5F"/>
                <w:sz w:val="16"/>
                <w:szCs w:val="16"/>
              </w:rPr>
              <w:t xml:space="preserve">Margen Bruto</w:t>
            </w:r>
          </w:p>
          <w:p>
            <w:pPr>
              <w:jc w:val="center"/>
            </w:pPr>
            <w:r>
              <w:rPr>
                <w:rFonts w:ascii="Arial" w:cs="Arial" w:eastAsia="Arial" w:hAnsi="Arial"/>
                <w:b/>
                <w:bCs/>
                <w:color w:val="1E3A5F"/>
                <w:sz w:val="38"/>
                <w:szCs w:val="38"/>
              </w:rPr>
              <w:t xml:space="preserve">30,1%</w:t>
            </w:r>
          </w:p>
          <w:p>
            <w:pPr>
              <w:jc w:val="center"/>
            </w:pPr>
            <w:r>
              <w:rPr>
                <w:rFonts w:ascii="Arial" w:cs="Arial" w:eastAsia="Arial" w:hAnsi="Arial"/>
                <w:color w:val="475569"/>
                <w:sz w:val="15"/>
                <w:szCs w:val="15"/>
              </w:rPr>
              <w:t xml:space="preserve">€645.996 absoluto</w:t>
            </w:r>
          </w:p>
        </w:tc>
        <w:tc>
          <w:tcPr>
            <w:tcW w:type="dxa" w:w="2268"/>
            <w:tcBorders>
              <w:top w:val="none" w:color="FFFFFF" w:sz="0"/>
              <w:left w:val="none" w:color="FFFFFF" w:sz="0"/>
              <w:bottom w:val="none" w:color="FFFFFF" w:sz="0"/>
              <w:right w:val="none" w:color="FFFFFF" w:sz="0"/>
            </w:tcBorders>
            <w:shd w:fill="FEF3C7" w:val="clear"/>
            <w:tcMar>
              <w:top w:type="dxa" w:w="140"/>
              <w:left w:type="dxa" w:w="140"/>
              <w:bottom w:type="dxa" w:w="140"/>
              <w:right w:type="dxa" w:w="140"/>
            </w:tcMar>
          </w:tcPr>
          <w:p>
            <w:pPr>
              <w:jc w:val="center"/>
            </w:pPr>
            <w:r>
              <w:rPr>
                <w:rFonts w:ascii="Arial" w:cs="Arial" w:eastAsia="Arial" w:hAnsi="Arial"/>
                <w:color w:val="1E3A5F"/>
                <w:sz w:val="16"/>
                <w:szCs w:val="16"/>
              </w:rPr>
              <w:t xml:space="preserve">LTV medio</w:t>
            </w:r>
          </w:p>
          <w:p>
            <w:pPr>
              <w:jc w:val="center"/>
            </w:pPr>
            <w:r>
              <w:rPr>
                <w:rFonts w:ascii="Arial" w:cs="Arial" w:eastAsia="Arial" w:hAnsi="Arial"/>
                <w:b/>
                <w:bCs/>
                <w:color w:val="1E3A5F"/>
                <w:sz w:val="38"/>
                <w:szCs w:val="38"/>
              </w:rPr>
              <w:t xml:space="preserve">€103,82</w:t>
            </w:r>
          </w:p>
          <w:p>
            <w:pPr>
              <w:jc w:val="center"/>
            </w:pPr>
            <w:r>
              <w:rPr>
                <w:rFonts w:ascii="Arial" w:cs="Arial" w:eastAsia="Arial" w:hAnsi="Arial"/>
                <w:color w:val="475569"/>
                <w:sz w:val="15"/>
                <w:szCs w:val="15"/>
              </w:rPr>
              <w:t xml:space="preserve">Mediana: €61,92</w:t>
            </w:r>
          </w:p>
        </w:tc>
        <w:tc>
          <w:tcPr>
            <w:tcW w:type="dxa" w:w="2268"/>
            <w:tcBorders>
              <w:top w:val="none" w:color="FFFFFF" w:sz="0"/>
              <w:left w:val="none" w:color="FFFFFF" w:sz="0"/>
              <w:bottom w:val="none" w:color="FFFFFF" w:sz="0"/>
              <w:right w:val="none" w:color="FFFFFF" w:sz="0"/>
            </w:tcBorders>
            <w:shd w:fill="FEE2E2" w:val="clear"/>
            <w:tcMar>
              <w:top w:type="dxa" w:w="140"/>
              <w:left w:type="dxa" w:w="140"/>
              <w:bottom w:type="dxa" w:w="140"/>
              <w:right w:type="dxa" w:w="140"/>
            </w:tcMar>
          </w:tcPr>
          <w:p>
            <w:pPr>
              <w:jc w:val="center"/>
            </w:pPr>
            <w:r>
              <w:rPr>
                <w:rFonts w:ascii="Arial" w:cs="Arial" w:eastAsia="Arial" w:hAnsi="Arial"/>
                <w:color w:val="1E3A5F"/>
                <w:sz w:val="16"/>
                <w:szCs w:val="16"/>
              </w:rPr>
              <w:t xml:space="preserve">Clientes 1 compra</w:t>
            </w:r>
          </w:p>
          <w:p>
            <w:pPr>
              <w:jc w:val="center"/>
            </w:pPr>
            <w:r>
              <w:rPr>
                <w:rFonts w:ascii="Arial" w:cs="Arial" w:eastAsia="Arial" w:hAnsi="Arial"/>
                <w:b/>
                <w:bCs/>
                <w:color w:val="1E3A5F"/>
                <w:sz w:val="38"/>
                <w:szCs w:val="38"/>
              </w:rPr>
              <w:t xml:space="preserve">56,1%</w:t>
            </w:r>
          </w:p>
          <w:p>
            <w:pPr>
              <w:jc w:val="center"/>
            </w:pPr>
            <w:r>
              <w:rPr>
                <w:rFonts w:ascii="Arial" w:cs="Arial" w:eastAsia="Arial" w:hAnsi="Arial"/>
                <w:color w:val="475569"/>
                <w:sz w:val="15"/>
                <w:szCs w:val="15"/>
              </w:rPr>
              <w:t xml:space="preserve">11.606 clientes</w:t>
            </w:r>
          </w:p>
        </w:tc>
      </w:tr>
    </w:tbl>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FEE2E2" w:val="clear"/>
            <w:tcMar>
              <w:top w:type="dxa" w:w="160"/>
              <w:left w:type="dxa" w:w="200"/>
              <w:bottom w:type="dxa" w:w="160"/>
              <w:right w:type="dxa" w:w="200"/>
            </w:tcMar>
          </w:tcPr>
          <w:p>
            <w:r>
              <w:rPr>
                <w:rFonts w:ascii="Arial" w:cs="Arial" w:eastAsia="Arial" w:hAnsi="Arial"/>
                <w:b/>
                <w:bCs/>
                <w:color w:val="DC2626"/>
                <w:sz w:val="22"/>
                <w:szCs w:val="22"/>
              </w:rPr>
              <w:t xml:space="preserve">⚠  Señal crítica: baja recurrencia y alta inactividad</w:t>
            </w:r>
          </w:p>
          <w:p>
            <w:pPr>
              <w:spacing w:before="60"/>
            </w:pPr>
            <w:r>
              <w:rPr>
                <w:rFonts w:ascii="Arial" w:cs="Arial" w:eastAsia="Arial" w:hAnsi="Arial"/>
                <w:color w:val="333333"/>
                <w:sz w:val="18"/>
                <w:szCs w:val="18"/>
              </w:rPr>
              <w:t xml:space="preserve">Recencia media de 168,5 días — el cliente promedio lleva más de 5 meses sin comprar.</w:t>
            </w:r>
          </w:p>
          <w:p>
            <w:pPr>
              <w:spacing w:before="60"/>
            </w:pPr>
            <w:r>
              <w:rPr>
                <w:rFonts w:ascii="Arial" w:cs="Arial" w:eastAsia="Arial" w:hAnsi="Arial"/>
                <w:color w:val="333333"/>
                <w:sz w:val="18"/>
                <w:szCs w:val="18"/>
              </w:rPr>
              <w:t xml:space="preserve">El 47,4% de los clientes no ha comprado en los últimos 6 meses (Recency &gt; 180 días).</w:t>
            </w:r>
          </w:p>
          <w:p>
            <w:pPr>
              <w:spacing w:before="60"/>
            </w:pPr>
            <w:r>
              <w:rPr>
                <w:rFonts w:ascii="Arial" w:cs="Arial" w:eastAsia="Arial" w:hAnsi="Arial"/>
                <w:color w:val="333333"/>
                <w:sz w:val="18"/>
                <w:szCs w:val="18"/>
              </w:rPr>
              <w:t xml:space="preserve">Solo el 14,8% de los clientes ha realizado más de 3 compras. El 56,1% compra una única vez.</w:t>
            </w:r>
          </w:p>
          <w:p>
            <w:pPr>
              <w:spacing w:before="60"/>
            </w:pPr>
            <w:r>
              <w:rPr>
                <w:rFonts w:ascii="Arial" w:cs="Arial" w:eastAsia="Arial" w:hAnsi="Arial"/>
                <w:color w:val="333333"/>
                <w:sz w:val="18"/>
                <w:szCs w:val="18"/>
              </w:rPr>
              <w:t xml:space="preserve">El ratio LTV/CAC es 1,46x, muy por debajo del umbral saludable de 3x.</w:t>
            </w:r>
          </w:p>
        </w:tc>
      </w:tr>
    </w:tbl>
    <w:p>
      <w:pPr>
        <w:spacing w:after="0" w:before="14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D1FAE5" w:val="clear"/>
            <w:tcMar>
              <w:top w:type="dxa" w:w="160"/>
              <w:left w:type="dxa" w:w="200"/>
              <w:bottom w:type="dxa" w:w="160"/>
              <w:right w:type="dxa" w:w="200"/>
            </w:tcMar>
          </w:tcPr>
          <w:p>
            <w:r>
              <w:rPr>
                <w:rFonts w:ascii="Arial" w:cs="Arial" w:eastAsia="Arial" w:hAnsi="Arial"/>
                <w:b/>
                <w:bCs/>
                <w:color w:val="059669"/>
                <w:sz w:val="22"/>
                <w:szCs w:val="22"/>
              </w:rPr>
              <w:t xml:space="preserve">✓  Fortaleza: concentración de valor identificada y accionable</w:t>
            </w:r>
          </w:p>
          <w:p>
            <w:pPr>
              <w:spacing w:before="60"/>
            </w:pPr>
            <w:r>
              <w:rPr>
                <w:rFonts w:ascii="Arial" w:cs="Arial" w:eastAsia="Arial" w:hAnsi="Arial"/>
                <w:color w:val="333333"/>
                <w:sz w:val="18"/>
                <w:szCs w:val="18"/>
              </w:rPr>
              <w:t xml:space="preserve">8.624 clientes (41,7% de la base) generan el 80% de los ingresos — concentración alta pero accionable.</w:t>
            </w:r>
          </w:p>
          <w:p>
            <w:pPr>
              <w:spacing w:before="60"/>
            </w:pPr>
            <w:r>
              <w:rPr>
                <w:rFonts w:ascii="Arial" w:cs="Arial" w:eastAsia="Arial" w:hAnsi="Arial"/>
                <w:color w:val="333333"/>
                <w:sz w:val="18"/>
                <w:szCs w:val="18"/>
              </w:rPr>
              <w:t xml:space="preserve">Los Campeones (582 clientes) tienen una recencia media de 8 días y frecuencia media de 22 compras.</w:t>
            </w:r>
          </w:p>
          <w:p>
            <w:pPr>
              <w:spacing w:before="60"/>
            </w:pPr>
            <w:r>
              <w:rPr>
                <w:rFonts w:ascii="Arial" w:cs="Arial" w:eastAsia="Arial" w:hAnsi="Arial"/>
                <w:color w:val="333333"/>
                <w:sz w:val="18"/>
                <w:szCs w:val="18"/>
              </w:rPr>
              <w:t xml:space="preserve">Los Grandes Gastadores (1.409 clientes) representan el 16,7% del revenue con ticket medio de €254,66.</w:t>
            </w:r>
          </w:p>
        </w:tc>
      </w:tr>
    </w:tbl>
    <w:p>
      <w:pPr>
        <w:spacing w:after="0" w:before="160"/>
      </w:pPr>
      <w:r>
        <w:t xml:space="preserve"/>
      </w:r>
    </w:p>
    <w:p>
      <w:r>
        <w:br w:type="page"/>
      </w:r>
    </w:p>
    <w:p>
      <w:pPr>
        <w:pStyle w:val="Heading1"/>
        <w:pBdr>
          <w:bottom w:val="single" w:color="2563EB" w:sz="8" w:space="1"/>
        </w:pBdr>
        <w:spacing w:after="160" w:before="360"/>
      </w:pPr>
      <w:r>
        <w:rPr>
          <w:rFonts w:ascii="Arial" w:cs="Arial" w:eastAsia="Arial" w:hAnsi="Arial"/>
          <w:b/>
          <w:bCs/>
          <w:color w:val="1E3A5F"/>
          <w:sz w:val="36"/>
          <w:szCs w:val="36"/>
        </w:rPr>
        <w:t xml:space="preserve">2. Análisis Exploratorio de Datos (EDA)</w:t>
      </w:r>
    </w:p>
    <w:p>
      <w:pPr>
        <w:pStyle w:val="Heading2"/>
        <w:spacing w:after="100" w:before="280"/>
      </w:pPr>
      <w:r>
        <w:rPr>
          <w:rFonts w:ascii="Arial" w:cs="Arial" w:eastAsia="Arial" w:hAnsi="Arial"/>
          <w:b/>
          <w:bCs/>
          <w:color w:val="1E3A5F"/>
          <w:sz w:val="26"/>
          <w:szCs w:val="26"/>
        </w:rPr>
        <w:t xml:space="preserve">2.1 Calidad de los datos</w:t>
      </w:r>
    </w:p>
    <w:p>
      <w:pPr>
        <w:spacing w:after="80" w:before="80"/>
        <w:jc w:val="left"/>
      </w:pPr>
      <w:r>
        <w:rPr>
          <w:rFonts w:ascii="Arial" w:cs="Arial" w:eastAsia="Arial" w:hAnsi="Arial"/>
          <w:b w:val="false"/>
          <w:bCs w:val="false"/>
          <w:color w:val="333333"/>
          <w:sz w:val="20"/>
          <w:szCs w:val="20"/>
        </w:rPr>
        <w:t xml:space="preserve">El análisis de calidad revela un dataset de productos limpio y un fichero de clientes con nulos en variables categóricas no críticas, tratados durante el proceso de preparación.</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1000"/>
        <w:gridCol w:w="2672"/>
      </w:tblGrid>
      <w:tr>
        <w:trPr>
          <w:tblHeader/>
        </w:trPr>
        <w:tc>
          <w:tcPr>
            <w:tcW w:type="dxa" w:w="24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Dataset</w:t>
            </w:r>
          </w:p>
        </w:tc>
        <w:tc>
          <w:tcPr>
            <w:tcW w:type="dxa" w:w="12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Registros</w:t>
            </w:r>
          </w:p>
        </w:tc>
        <w:tc>
          <w:tcPr>
            <w:tcW w:type="dxa" w:w="18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Nulos</w:t>
            </w:r>
          </w:p>
        </w:tc>
        <w:tc>
          <w:tcPr>
            <w:tcW w:type="dxa" w:w="10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Duplicados</w:t>
            </w:r>
          </w:p>
        </w:tc>
        <w:tc>
          <w:tcPr>
            <w:tcW w:type="dxa" w:w="2672"/>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Acción tomada</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productos_1224.csv</w:t>
            </w:r>
          </w:p>
        </w:tc>
        <w:tc>
          <w:tcPr>
            <w:tcW w:type="dxa" w:w="1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78.266</w:t>
            </w:r>
          </w:p>
        </w:tc>
        <w:tc>
          <w:tcPr>
            <w:tcW w:type="dxa" w:w="1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0 en todas las columnas</w:t>
            </w:r>
          </w:p>
        </w:tc>
        <w:tc>
          <w:tcPr>
            <w:tcW w:type="dxa" w:w="1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0</w:t>
            </w:r>
          </w:p>
        </w:tc>
        <w:tc>
          <w:tcPr>
            <w:tcW w:type="dxa" w:w="26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Ninguna — datos completos</w:t>
            </w:r>
          </w:p>
        </w:tc>
      </w:tr>
      <w:tr>
        <w:tc>
          <w:tcPr>
            <w:tcW w:type="dxa" w:w="24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clientes_1224.csv — Nivel_Educativo</w:t>
            </w:r>
          </w:p>
        </w:tc>
        <w:tc>
          <w:tcPr>
            <w:tcW w:type="dxa" w:w="12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18.721 / 20.688</w:t>
            </w:r>
          </w:p>
        </w:tc>
        <w:tc>
          <w:tcPr>
            <w:tcW w:type="dxa" w:w="18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1.967 nulos (9,5%)</w:t>
            </w:r>
          </w:p>
        </w:tc>
        <w:tc>
          <w:tcPr>
            <w:tcW w:type="dxa" w:w="10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w:t>
            </w:r>
          </w:p>
        </w:tc>
        <w:tc>
          <w:tcPr>
            <w:tcW w:type="dxa" w:w="26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Imputado como 'Desconocido'</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clientes_1224.csv — Ocupacion</w:t>
            </w:r>
          </w:p>
        </w:tc>
        <w:tc>
          <w:tcPr>
            <w:tcW w:type="dxa" w:w="1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18.293 / 20.688</w:t>
            </w:r>
          </w:p>
        </w:tc>
        <w:tc>
          <w:tcPr>
            <w:tcW w:type="dxa" w:w="1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2.395 nulos (11,6%)</w:t>
            </w:r>
          </w:p>
        </w:tc>
        <w:tc>
          <w:tcPr>
            <w:tcW w:type="dxa" w:w="1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w:t>
            </w:r>
          </w:p>
        </w:tc>
        <w:tc>
          <w:tcPr>
            <w:tcW w:type="dxa" w:w="26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Imputado como 'Desconocido'</w:t>
            </w:r>
          </w:p>
        </w:tc>
      </w:tr>
      <w:tr>
        <w:tc>
          <w:tcPr>
            <w:tcW w:type="dxa" w:w="24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clientes_1224.csv — Tamano_Hogar</w:t>
            </w:r>
          </w:p>
        </w:tc>
        <w:tc>
          <w:tcPr>
            <w:tcW w:type="dxa" w:w="12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19.010 / 20.688</w:t>
            </w:r>
          </w:p>
        </w:tc>
        <w:tc>
          <w:tcPr>
            <w:tcW w:type="dxa" w:w="18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1.678 nulos (8,1%)</w:t>
            </w:r>
          </w:p>
        </w:tc>
        <w:tc>
          <w:tcPr>
            <w:tcW w:type="dxa" w:w="10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w:t>
            </w:r>
          </w:p>
        </w:tc>
        <w:tc>
          <w:tcPr>
            <w:tcW w:type="dxa" w:w="26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Imputado con moda: '2-3 personas'</w:t>
            </w:r>
          </w:p>
        </w:tc>
      </w:tr>
    </w:tbl>
    <w:p>
      <w:pPr>
        <w:spacing w:after="0" w:before="160"/>
      </w:pPr>
      <w:r>
        <w:t xml:space="preserve"/>
      </w:r>
    </w:p>
    <w:p>
      <w:pPr>
        <w:spacing w:after="80" w:before="80"/>
        <w:jc w:val="left"/>
      </w:pPr>
      <w:r>
        <w:rPr>
          <w:rFonts w:ascii="Arial" w:cs="Arial" w:eastAsia="Arial" w:hAnsi="Arial"/>
          <w:b w:val="false"/>
          <w:bCs w:val="false"/>
          <w:color w:val="333333"/>
          <w:sz w:val="20"/>
          <w:szCs w:val="20"/>
        </w:rPr>
        <w:t xml:space="preserve">Decisión metodológica: la imputación de Tamaño_Hogar con la moda es adecuada al tratarse de una variable categórica ordinal con poca dispersión (71,5% concentrado en '2-3 personas'). Para Nivel_Educativo y Ocupación, la categoría 'Desconocido' preserva la integridad del dataset sin introducir sesgos en los análisis segmentados.</w:t>
      </w:r>
    </w:p>
    <w:p>
      <w:pPr>
        <w:spacing w:after="0" w:before="120"/>
      </w:pPr>
      <w:r>
        <w:t xml:space="preserve"/>
      </w:r>
    </w:p>
    <w:p>
      <w:pPr>
        <w:pStyle w:val="Heading2"/>
        <w:spacing w:after="100" w:before="280"/>
      </w:pPr>
      <w:r>
        <w:rPr>
          <w:rFonts w:ascii="Arial" w:cs="Arial" w:eastAsia="Arial" w:hAnsi="Arial"/>
          <w:b/>
          <w:bCs/>
          <w:color w:val="1E3A5F"/>
          <w:sz w:val="26"/>
          <w:szCs w:val="26"/>
        </w:rPr>
        <w:t xml:space="preserve">2.2 Corrección de tipologías</w:t>
      </w:r>
    </w:p>
    <w:p>
      <w:pPr>
        <w:spacing w:after="80" w:before="80"/>
        <w:jc w:val="left"/>
      </w:pPr>
      <w:r>
        <w:rPr>
          <w:rFonts w:ascii="Arial" w:cs="Arial" w:eastAsia="Arial" w:hAnsi="Arial"/>
          <w:b w:val="false"/>
          <w:bCs w:val="false"/>
          <w:color w:val="333333"/>
          <w:sz w:val="20"/>
          <w:szCs w:val="20"/>
        </w:rPr>
        <w:t xml:space="preserve">Se identificaron y corrigieron dos transformaciones de tipos de dato necesarias para el análisis posterior:</w:t>
      </w:r>
    </w:p>
    <w:p>
      <w:pPr>
        <w:spacing w:after="0" w:before="80"/>
      </w:pPr>
      <w:r>
        <w:t xml:space="preserve"/>
      </w:r>
    </w:p>
    <w:p>
      <w:pPr>
        <w:pStyle w:val="ListParagraph"/>
        <w:numPr>
          <w:ilvl w:val="0"/>
          <w:numId w:val="2"/>
        </w:numPr>
        <w:spacing w:after="60" w:before="60"/>
      </w:pPr>
      <w:r>
        <w:rPr>
          <w:rFonts w:ascii="Arial" w:cs="Arial" w:eastAsia="Arial" w:hAnsi="Arial"/>
          <w:b/>
          <w:bCs/>
          <w:color w:val="1E3A5F"/>
          <w:sz w:val="20"/>
          <w:szCs w:val="20"/>
        </w:rPr>
        <w:t xml:space="preserve">pd.to_datetime() — la columna se cargaba como object. Crítico para el cálculo de Recency. </w:t>
      </w:r>
      <w:r>
        <w:rPr>
          <w:rFonts w:ascii="Arial" w:cs="Arial" w:eastAsia="Arial" w:hAnsi="Arial"/>
          <w:color w:val="444444"/>
          <w:sz w:val="20"/>
          <w:szCs w:val="20"/>
        </w:rPr>
        <w:t xml:space="preserve">productos['Fecha']:</w:t>
      </w:r>
    </w:p>
    <w:p>
      <w:pPr>
        <w:pStyle w:val="ListParagraph"/>
        <w:numPr>
          <w:ilvl w:val="0"/>
          <w:numId w:val="2"/>
        </w:numPr>
        <w:spacing w:after="60" w:before="60"/>
      </w:pPr>
      <w:r>
        <w:rPr>
          <w:rFonts w:ascii="Arial" w:cs="Arial" w:eastAsia="Arial" w:hAnsi="Arial"/>
          <w:b/>
          <w:bCs/>
          <w:color w:val="1E3A5F"/>
          <w:sz w:val="20"/>
          <w:szCs w:val="20"/>
        </w:rPr>
        <w:t xml:space="preserve">pd.to_datetime() — necesario para futuros análisis de segmentación demográfica. </w:t>
      </w:r>
      <w:r>
        <w:rPr>
          <w:rFonts w:ascii="Arial" w:cs="Arial" w:eastAsia="Arial" w:hAnsi="Arial"/>
          <w:color w:val="444444"/>
          <w:sz w:val="20"/>
          <w:szCs w:val="20"/>
        </w:rPr>
        <w:t xml:space="preserve">clientes['Fecha_Nacimiento']:</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r>
              <w:rPr>
                <w:rFonts w:ascii="Arial" w:cs="Arial" w:eastAsia="Arial" w:hAnsi="Arial"/>
                <w:b/>
                <w:bCs/>
                <w:color w:val="1E3A5F"/>
                <w:sz w:val="22"/>
                <w:szCs w:val="22"/>
              </w:rPr>
              <w:t xml:space="preserve">Nota técnica para el equipo</w:t>
            </w:r>
          </w:p>
          <w:p>
            <w:pPr>
              <w:spacing w:before="60"/>
            </w:pPr>
            <w:r>
              <w:rPr>
                <w:rFonts w:ascii="Arial" w:cs="Arial" w:eastAsia="Arial" w:hAnsi="Arial"/>
                <w:color w:val="333333"/>
                <w:sz w:val="18"/>
                <w:szCs w:val="18"/>
              </w:rPr>
              <w:t xml:space="preserve">Al exportar a CSV con .to_csv(), los tipos datetime se pierden. En el notebook 02_RFM se resuelve usando el parámetro parse_dates=['Fecha'] en la lectura, que es la práctica correcta para garantizar reproducibilidad del pipeline.</w:t>
            </w:r>
          </w:p>
        </w:tc>
      </w:tr>
    </w:tbl>
    <w:p>
      <w:pPr>
        <w:spacing w:after="0" w:before="140"/>
      </w:pPr>
      <w:r>
        <w:t xml:space="preserve"/>
      </w:r>
    </w:p>
    <w:p>
      <w:pPr>
        <w:pStyle w:val="Heading2"/>
        <w:spacing w:after="100" w:before="280"/>
      </w:pPr>
      <w:r>
        <w:rPr>
          <w:rFonts w:ascii="Arial" w:cs="Arial" w:eastAsia="Arial" w:hAnsi="Arial"/>
          <w:b/>
          <w:bCs/>
          <w:color w:val="1E3A5F"/>
          <w:sz w:val="26"/>
          <w:szCs w:val="26"/>
        </w:rPr>
        <w:t xml:space="preserve">2.3 Creación de la variable Total_Venta</w:t>
      </w:r>
    </w:p>
    <w:p>
      <w:pPr>
        <w:spacing w:after="80" w:before="80"/>
        <w:jc w:val="left"/>
      </w:pPr>
      <w:r>
        <w:rPr>
          <w:rFonts w:ascii="Arial" w:cs="Arial" w:eastAsia="Arial" w:hAnsi="Arial"/>
          <w:b w:val="false"/>
          <w:bCs w:val="false"/>
          <w:color w:val="333333"/>
          <w:sz w:val="20"/>
          <w:szCs w:val="20"/>
        </w:rPr>
        <w:t xml:space="preserve">Se construyó la variable de venta total como producto de cantidad y precio unitario:</w:t>
      </w:r>
    </w:p>
    <w:p>
      <w:pPr>
        <w:spacing w:after="0" w:before="60"/>
      </w:pPr>
      <w:r>
        <w:t xml:space="preserve"/>
      </w:r>
    </w:p>
    <w:p>
      <w:pPr>
        <w:shd w:fill="F8FAFC" w:val="clear"/>
        <w:spacing w:after="80" w:before="80"/>
      </w:pPr>
      <w:r>
        <w:rPr>
          <w:rFonts w:ascii="Courier New" w:cs="Courier New" w:eastAsia="Courier New" w:hAnsi="Courier New"/>
          <w:color w:val="1E40AF"/>
          <w:sz w:val="16"/>
          <w:szCs w:val="16"/>
        </w:rPr>
        <w:t xml:space="preserve">productos['Total_Venta'] = productos['Cantidad'] * productos['Precio_Unitario']</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72"/>
      </w:tblGrid>
      <w:tr>
        <w:trPr>
          <w:tblHeader/>
        </w:trPr>
        <w:tc>
          <w:tcPr>
            <w:tcW w:type="dxa" w:w="20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Estadístico</w:t>
            </w:r>
          </w:p>
        </w:tc>
        <w:tc>
          <w:tcPr>
            <w:tcW w:type="dxa" w:w="20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Total_Venta (€)</w:t>
            </w:r>
          </w:p>
        </w:tc>
        <w:tc>
          <w:tcPr>
            <w:tcW w:type="dxa" w:w="5072"/>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Interpretación</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Media</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27,44</w:t>
            </w:r>
          </w:p>
        </w:tc>
        <w:tc>
          <w:tcPr>
            <w:tcW w:type="dxa" w:w="50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Venta media por línea de pedido</w:t>
            </w:r>
          </w:p>
        </w:tc>
      </w:tr>
      <w:tr>
        <w:tc>
          <w:tcPr>
            <w:tcW w:type="dxa" w:w="20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Mediana</w:t>
            </w:r>
          </w:p>
        </w:tc>
        <w:tc>
          <w:tcPr>
            <w:tcW w:type="dxa" w:w="20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19,00</w:t>
            </w:r>
          </w:p>
        </w:tc>
        <w:tc>
          <w:tcPr>
            <w:tcW w:type="dxa" w:w="50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Distribución sesgada a la derecha — hay transacciones de alto valor</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P75</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32,64</w:t>
            </w:r>
          </w:p>
        </w:tc>
        <w:tc>
          <w:tcPr>
            <w:tcW w:type="dxa" w:w="50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El 75% de las líneas está por debajo de €32,64</w:t>
            </w:r>
          </w:p>
        </w:tc>
      </w:tr>
      <w:tr>
        <w:tc>
          <w:tcPr>
            <w:tcW w:type="dxa" w:w="20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Máximo</w:t>
            </w:r>
          </w:p>
        </w:tc>
        <w:tc>
          <w:tcPr>
            <w:tcW w:type="dxa" w:w="20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479,80</w:t>
            </w:r>
          </w:p>
        </w:tc>
        <w:tc>
          <w:tcPr>
            <w:tcW w:type="dxa" w:w="50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Sin anomalías — revisadas y confirmadas como normales</w:t>
            </w:r>
          </w:p>
        </w:tc>
      </w:tr>
    </w:tbl>
    <w:p>
      <w:pPr>
        <w:spacing w:after="0" w:before="160"/>
      </w:pPr>
      <w:r>
        <w:t xml:space="preserve"/>
      </w:r>
    </w:p>
    <w:p>
      <w:pPr>
        <w:pStyle w:val="Heading2"/>
        <w:spacing w:after="100" w:before="280"/>
      </w:pPr>
      <w:r>
        <w:rPr>
          <w:rFonts w:ascii="Arial" w:cs="Arial" w:eastAsia="Arial" w:hAnsi="Arial"/>
          <w:b/>
          <w:bCs/>
          <w:color w:val="1E3A5F"/>
          <w:sz w:val="26"/>
          <w:szCs w:val="26"/>
        </w:rPr>
        <w:t xml:space="preserve">2.4 Perfil demográfico de la base de clientes</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72"/>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w:t>
            </w:r>
          </w:p>
        </w:tc>
        <w:tc>
          <w:tcPr>
            <w:tcW w:type="dxa" w:w="32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Distribución principal</w:t>
            </w:r>
          </w:p>
        </w:tc>
        <w:tc>
          <w:tcPr>
            <w:tcW w:type="dxa" w:w="3672"/>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Observación</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Género</w:t>
            </w:r>
          </w:p>
        </w:tc>
        <w:tc>
          <w:tcPr>
            <w:tcW w:type="dxa" w:w="3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Mujer 62,3% (12.886) · Hombre 37,7% (7.802)</w:t>
            </w:r>
          </w:p>
        </w:tc>
        <w:tc>
          <w:tcPr>
            <w:tcW w:type="dxa" w:w="36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Base de clientes mayoritariamente femenina</w:t>
            </w:r>
          </w:p>
        </w:tc>
      </w:tr>
      <w:tr>
        <w:tc>
          <w:tcPr>
            <w:tcW w:type="dxa" w:w="22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Ocupación</w:t>
            </w:r>
          </w:p>
        </w:tc>
        <w:tc>
          <w:tcPr>
            <w:tcW w:type="dxa" w:w="32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Empleado 28% · Autónomo 25,7% · Desempleado 15,9%</w:t>
            </w:r>
          </w:p>
        </w:tc>
        <w:tc>
          <w:tcPr>
            <w:tcW w:type="dxa" w:w="36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Perfil económicamente activo predominante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Nivel Educativo</w:t>
            </w:r>
          </w:p>
        </w:tc>
        <w:tc>
          <w:tcPr>
            <w:tcW w:type="dxa" w:w="3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Bachillerato 23,9% · Máster 23,1% · Universitario 21,6%</w:t>
            </w:r>
          </w:p>
        </w:tc>
        <w:tc>
          <w:tcPr>
            <w:tcW w:type="dxa" w:w="36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Nivel formativo medio-alto</w:t>
            </w:r>
          </w:p>
        </w:tc>
      </w:tr>
      <w:tr>
        <w:tc>
          <w:tcPr>
            <w:tcW w:type="dxa" w:w="22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Tamaño Hogar</w:t>
            </w:r>
          </w:p>
        </w:tc>
        <w:tc>
          <w:tcPr>
            <w:tcW w:type="dxa" w:w="32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2-3 personas 79,8% · 4-5 personas 15,6% · 1 persona 4,7%</w:t>
            </w:r>
          </w:p>
        </w:tc>
        <w:tc>
          <w:tcPr>
            <w:tcW w:type="dxa" w:w="36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Hogares de tamaño medio dominantes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CAC (media/mediana)</w:t>
            </w:r>
          </w:p>
        </w:tc>
        <w:tc>
          <w:tcPr>
            <w:tcW w:type="dxa" w:w="3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€71,06 / €47,81</w:t>
            </w:r>
          </w:p>
        </w:tc>
        <w:tc>
          <w:tcPr>
            <w:tcW w:type="dxa" w:w="36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Alta dispersión — 3 outliers extremos (&gt;€1.000)</w:t>
            </w:r>
          </w:p>
        </w:tc>
      </w:tr>
    </w:tbl>
    <w:p>
      <w:pPr>
        <w:spacing w:after="0" w:before="100"/>
      </w:pPr>
      <w:r>
        <w:t xml:space="preserve"/>
      </w:r>
    </w:p>
    <w:p>
      <w:pPr>
        <w:spacing w:after="80" w:before="80"/>
        <w:jc w:val="left"/>
      </w:pPr>
      <w:r>
        <w:rPr>
          <w:rFonts w:ascii="Arial" w:cs="Arial" w:eastAsia="Arial" w:hAnsi="Arial"/>
          <w:b w:val="false"/>
          <w:bCs w:val="false"/>
          <w:color w:val="475569"/>
          <w:sz w:val="20"/>
          <w:szCs w:val="20"/>
        </w:rPr>
        <w:t xml:space="preserve">Los 3 outliers de CAC identificados (€1.089,83 · €1.876,77 · €1.426,00) corresponden a clientes universitarios empleados con hogar de 4-5 personas. Su coste de adquisición es 15-25x la mediana. Se recomienda investigar el canal de captación asociado.</w:t>
      </w:r>
    </w:p>
    <w:p>
      <w:pPr>
        <w:spacing w:after="0" w:before="160"/>
      </w:pPr>
      <w:r>
        <w:t xml:space="preserve"/>
      </w:r>
    </w:p>
    <w:p>
      <w:r>
        <w:br w:type="page"/>
      </w:r>
    </w:p>
    <w:p>
      <w:pPr>
        <w:pStyle w:val="Heading1"/>
        <w:pBdr>
          <w:bottom w:val="single" w:color="2563EB" w:sz="8" w:space="1"/>
        </w:pBdr>
        <w:spacing w:after="160" w:before="360"/>
      </w:pPr>
      <w:r>
        <w:rPr>
          <w:rFonts w:ascii="Arial" w:cs="Arial" w:eastAsia="Arial" w:hAnsi="Arial"/>
          <w:b/>
          <w:bCs/>
          <w:color w:val="1E3A5F"/>
          <w:sz w:val="36"/>
          <w:szCs w:val="36"/>
        </w:rPr>
        <w:t xml:space="preserve">3. Análisis RFM — Comportamiento de Compra</w:t>
      </w:r>
    </w:p>
    <w:p>
      <w:pPr>
        <w:spacing w:after="80" w:before="80"/>
        <w:jc w:val="left"/>
      </w:pPr>
      <w:r>
        <w:rPr>
          <w:rFonts w:ascii="Arial" w:cs="Arial" w:eastAsia="Arial" w:hAnsi="Arial"/>
          <w:b w:val="false"/>
          <w:bCs w:val="false"/>
          <w:color w:val="333333"/>
          <w:sz w:val="20"/>
          <w:szCs w:val="20"/>
        </w:rPr>
        <w:t xml:space="preserve">El análisis RFM evalúa a cada cliente en tres dimensiones independientes. Se ha optado por cortes basados en valores de negocio (pd.cut con bins personalizados) en lugar de cortes percentiles (pd.qcut), lo que permite que los segmentos reflejen la realidad de comportamiento de la base y no distribuciones artificialmente equilibradas.</w:t>
      </w:r>
    </w:p>
    <w:p>
      <w:pPr>
        <w:spacing w:after="0" w:before="80"/>
      </w:pPr>
      <w:r>
        <w:t xml:space="preserve"/>
      </w:r>
    </w:p>
    <w:p>
      <w:pPr>
        <w:pStyle w:val="Heading2"/>
        <w:spacing w:after="100" w:before="280"/>
      </w:pPr>
      <w:r>
        <w:rPr>
          <w:rFonts w:ascii="Arial" w:cs="Arial" w:eastAsia="Arial" w:hAnsi="Arial"/>
          <w:b/>
          <w:bCs/>
          <w:color w:val="1E3A5F"/>
          <w:sz w:val="26"/>
          <w:szCs w:val="26"/>
        </w:rPr>
        <w:t xml:space="preserve">3.1 Recency — Tiempo desde la última compra</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3972"/>
      </w:tblGrid>
      <w:tr>
        <w:trPr>
          <w:tblHeader/>
        </w:trPr>
        <w:tc>
          <w:tcPr>
            <w:tcW w:type="dxa" w:w="32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Métrica</w:t>
            </w:r>
          </w:p>
        </w:tc>
        <w:tc>
          <w:tcPr>
            <w:tcW w:type="dxa" w:w="19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Valor</w:t>
            </w:r>
          </w:p>
        </w:tc>
        <w:tc>
          <w:tcPr>
            <w:tcW w:type="dxa" w:w="3972"/>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Lectura de negocio</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Recencia media</w:t>
            </w:r>
          </w:p>
        </w:tc>
        <w:tc>
          <w:tcPr>
            <w:tcW w:type="dxa" w:w="19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168,5 días</w:t>
            </w:r>
          </w:p>
        </w:tc>
        <w:tc>
          <w:tcPr>
            <w:tcW w:type="dxa" w:w="39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El cliente promedio lleva 5,6 meses sin comprar</w:t>
            </w:r>
          </w:p>
        </w:tc>
      </w:tr>
      <w:tr>
        <w:tc>
          <w:tcPr>
            <w:tcW w:type="dxa" w:w="32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Recencia mediana</w:t>
            </w:r>
          </w:p>
        </w:tc>
        <w:tc>
          <w:tcPr>
            <w:tcW w:type="dxa" w:w="19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166 días</w:t>
            </w:r>
          </w:p>
        </w:tc>
        <w:tc>
          <w:tcPr>
            <w:tcW w:type="dxa" w:w="39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Confirmado: la mayoría está inactiva más de 5 meses</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Clientes activos últimos 30 días</w:t>
            </w:r>
          </w:p>
        </w:tc>
        <w:tc>
          <w:tcPr>
            <w:tcW w:type="dxa" w:w="19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3.171 (15,3%)</w:t>
            </w:r>
          </w:p>
        </w:tc>
        <w:tc>
          <w:tcPr>
            <w:tcW w:type="dxa" w:w="39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Solo 1 de cada 7 clientes compró en el último mes</w:t>
            </w:r>
          </w:p>
        </w:tc>
      </w:tr>
      <w:tr>
        <w:tc>
          <w:tcPr>
            <w:tcW w:type="dxa" w:w="32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Clientes activos últimos 90 días</w:t>
            </w:r>
          </w:p>
        </w:tc>
        <w:tc>
          <w:tcPr>
            <w:tcW w:type="dxa" w:w="19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7.045 (34,1%)</w:t>
            </w:r>
          </w:p>
        </w:tc>
        <w:tc>
          <w:tcPr>
            <w:tcW w:type="dxa" w:w="39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Apenas un tercio de la base está activa</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Clientes inactivos &gt; 6 meses</w:t>
            </w:r>
          </w:p>
        </w:tc>
        <w:tc>
          <w:tcPr>
            <w:tcW w:type="dxa" w:w="19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9.801 (47,4%)</w:t>
            </w:r>
          </w:p>
        </w:tc>
        <w:tc>
          <w:tcPr>
            <w:tcW w:type="dxa" w:w="39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Casi la mitad de la base, en riesgo de pérdida definitiva</w:t>
            </w:r>
          </w:p>
        </w:tc>
      </w:tr>
    </w:tbl>
    <w:p>
      <w:pPr>
        <w:spacing w:after="0" w:before="100"/>
      </w:pPr>
      <w:r>
        <w:t xml:space="preserve"/>
      </w:r>
    </w:p>
    <w:p>
      <w:pPr>
        <w:spacing w:after="80" w:before="80"/>
        <w:jc w:val="left"/>
      </w:pPr>
      <w:r>
        <w:rPr>
          <w:rFonts w:ascii="Arial" w:cs="Arial" w:eastAsia="Arial" w:hAnsi="Arial"/>
          <w:b/>
          <w:bCs/>
          <w:color w:val="333333"/>
          <w:sz w:val="20"/>
          <w:szCs w:val="20"/>
        </w:rPr>
        <w:t xml:space="preserve">Criterio de corte aplicado — 5 bandas de 60 días:</w:t>
      </w:r>
    </w:p>
    <w:p>
      <w:pPr>
        <w:spacing w:after="0" w:before="60"/>
      </w:pPr>
      <w:r>
        <w:t xml:space="preserve"/>
      </w:r>
    </w:p>
    <w:p>
      <w:pPr>
        <w:shd w:fill="F8FAFC" w:val="clear"/>
        <w:spacing w:after="80" w:before="80"/>
      </w:pPr>
      <w:r>
        <w:rPr>
          <w:rFonts w:ascii="Courier New" w:cs="Courier New" w:eastAsia="Courier New" w:hAnsi="Courier New"/>
          <w:color w:val="1E40AF"/>
          <w:sz w:val="16"/>
          <w:szCs w:val="16"/>
        </w:rPr>
        <w:t xml:space="preserve">pd.cut(rfm['Recency'], bins=[0, 60, 120, 180, 240, max], labels=[5, 4, 3, 2, 1], include_lowest=True)</w:t>
      </w:r>
    </w:p>
    <w:p>
      <w:pPr>
        <w:spacing w:after="0" w:before="80"/>
      </w:pPr>
      <w:r>
        <w:t xml:space="preserve"/>
      </w:r>
    </w:p>
    <w:p>
      <w:pPr>
        <w:spacing w:after="80" w:before="80"/>
        <w:jc w:val="left"/>
      </w:pPr>
      <w:r>
        <w:rPr>
          <w:rFonts w:ascii="Arial" w:cs="Arial" w:eastAsia="Arial" w:hAnsi="Arial"/>
          <w:b w:val="false"/>
          <w:bCs w:val="false"/>
          <w:color w:val="475569"/>
          <w:sz w:val="20"/>
          <w:szCs w:val="20"/>
        </w:rPr>
        <w:t xml:space="preserve">La lógica inversa de las etiquetas (máximo score al mínimo tiempo) es correcta: un cliente que compró ayer vale más que uno que compró hace un año.</w:t>
      </w:r>
    </w:p>
    <w:p>
      <w:pPr>
        <w:spacing w:after="0" w:before="140"/>
      </w:pPr>
      <w:r>
        <w:t xml:space="preserve"/>
      </w:r>
    </w:p>
    <w:p>
      <w:pPr>
        <w:pStyle w:val="Heading2"/>
        <w:spacing w:after="100" w:before="280"/>
      </w:pPr>
      <w:r>
        <w:rPr>
          <w:rFonts w:ascii="Arial" w:cs="Arial" w:eastAsia="Arial" w:hAnsi="Arial"/>
          <w:b/>
          <w:bCs/>
          <w:color w:val="1E3A5F"/>
          <w:sz w:val="26"/>
          <w:szCs w:val="26"/>
        </w:rPr>
        <w:t xml:space="preserve">3.2 Frequency — Número de transacciones</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3972"/>
      </w:tblGrid>
      <w:tr>
        <w:trPr>
          <w:tblHeader/>
        </w:trPr>
        <w:tc>
          <w:tcPr>
            <w:tcW w:type="dxa" w:w="32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Métrica</w:t>
            </w:r>
          </w:p>
        </w:tc>
        <w:tc>
          <w:tcPr>
            <w:tcW w:type="dxa" w:w="19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Valor</w:t>
            </w:r>
          </w:p>
        </w:tc>
        <w:tc>
          <w:tcPr>
            <w:tcW w:type="dxa" w:w="3972"/>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Lectura de negocio</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Frecuencia media</w:t>
            </w:r>
          </w:p>
        </w:tc>
        <w:tc>
          <w:tcPr>
            <w:tcW w:type="dxa" w:w="19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2,11 pedidos</w:t>
            </w:r>
          </w:p>
        </w:tc>
        <w:tc>
          <w:tcPr>
            <w:tcW w:type="dxa" w:w="39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Recurrencia críticamente baja</w:t>
            </w:r>
          </w:p>
        </w:tc>
      </w:tr>
      <w:tr>
        <w:tc>
          <w:tcPr>
            <w:tcW w:type="dxa" w:w="32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Clientes con 1 sola compra</w:t>
            </w:r>
          </w:p>
        </w:tc>
        <w:tc>
          <w:tcPr>
            <w:tcW w:type="dxa" w:w="19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11.606 (56,1%)</w:t>
            </w:r>
          </w:p>
        </w:tc>
        <w:tc>
          <w:tcPr>
            <w:tcW w:type="dxa" w:w="39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Más de la mitad nunca repitió</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Clientes con &gt; 3 compras</w:t>
            </w:r>
          </w:p>
        </w:tc>
        <w:tc>
          <w:tcPr>
            <w:tcW w:type="dxa" w:w="19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3.062 (14,8%)</w:t>
            </w:r>
          </w:p>
        </w:tc>
        <w:tc>
          <w:tcPr>
            <w:tcW w:type="dxa" w:w="39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Segmento minoritario pero valioso</w:t>
            </w:r>
          </w:p>
        </w:tc>
      </w:tr>
      <w:tr>
        <w:tc>
          <w:tcPr>
            <w:tcW w:type="dxa" w:w="32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Clientes con ≥ 10 compras</w:t>
            </w:r>
          </w:p>
        </w:tc>
        <w:tc>
          <w:tcPr>
            <w:tcW w:type="dxa" w:w="19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253 (1,2%)</w:t>
            </w:r>
          </w:p>
        </w:tc>
        <w:tc>
          <w:tcPr>
            <w:tcW w:type="dxa" w:w="39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Núcleo ultra-fiel de la base</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Cliente más fiel (ID 1703)</w:t>
            </w:r>
          </w:p>
        </w:tc>
        <w:tc>
          <w:tcPr>
            <w:tcW w:type="dxa" w:w="19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31 pedidos</w:t>
            </w:r>
          </w:p>
        </w:tc>
        <w:tc>
          <w:tcPr>
            <w:tcW w:type="dxa" w:w="39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Recencia de solo 8 días — perfil ideal</w:t>
            </w:r>
          </w:p>
        </w:tc>
      </w:tr>
    </w:tbl>
    <w:p>
      <w:pPr>
        <w:spacing w:after="0" w:before="100"/>
      </w:pPr>
      <w:r>
        <w:t xml:space="preserve"/>
      </w:r>
    </w:p>
    <w:p>
      <w:pPr>
        <w:spacing w:after="80" w:before="80"/>
        <w:jc w:val="left"/>
      </w:pPr>
      <w:r>
        <w:rPr>
          <w:rFonts w:ascii="Arial" w:cs="Arial" w:eastAsia="Arial" w:hAnsi="Arial"/>
          <w:b/>
          <w:bCs/>
          <w:color w:val="333333"/>
          <w:sz w:val="20"/>
          <w:szCs w:val="20"/>
        </w:rPr>
        <w:t xml:space="preserve">Criterio de corte aplicado — bins no lineales adaptados a la distribución real:</w:t>
      </w:r>
    </w:p>
    <w:p>
      <w:pPr>
        <w:spacing w:after="0" w:before="60"/>
      </w:pPr>
      <w:r>
        <w:t xml:space="preserve"/>
      </w:r>
    </w:p>
    <w:p>
      <w:pPr>
        <w:shd w:fill="F8FAFC" w:val="clear"/>
        <w:spacing w:after="80" w:before="80"/>
      </w:pPr>
      <w:r>
        <w:rPr>
          <w:rFonts w:ascii="Courier New" w:cs="Courier New" w:eastAsia="Courier New" w:hAnsi="Courier New"/>
          <w:color w:val="1E40AF"/>
          <w:sz w:val="16"/>
          <w:szCs w:val="16"/>
        </w:rPr>
        <w:t xml:space="preserve">pd.cut(rfm['Frequency'], bins=[1, 2, 4, 6, 9, max], labels=[1, 2, 3, 4, 5], include_lowest=True)</w:t>
      </w:r>
    </w:p>
    <w:p>
      <w:pPr>
        <w:spacing w:after="0" w:before="80"/>
      </w:pPr>
      <w:r>
        <w:t xml:space="preserve"/>
      </w:r>
    </w:p>
    <w:p>
      <w:pPr>
        <w:spacing w:after="80" w:before="80"/>
        <w:jc w:val="left"/>
      </w:pPr>
      <w:r>
        <w:rPr>
          <w:rFonts w:ascii="Arial" w:cs="Arial" w:eastAsia="Arial" w:hAnsi="Arial"/>
          <w:b w:val="false"/>
          <w:bCs w:val="false"/>
          <w:color w:val="475569"/>
          <w:sz w:val="20"/>
          <w:szCs w:val="20"/>
        </w:rPr>
        <w:t xml:space="preserve">La alta concentración en frecuencia=1 (56,1%) hace inviable un corte lineal. Los bins personalizados permiten distinguir significativamente entre compradores ocasionales, habituales y leales.</w:t>
      </w:r>
    </w:p>
    <w:p>
      <w:pPr>
        <w:spacing w:after="0" w:before="140"/>
      </w:pPr>
      <w:r>
        <w:t xml:space="preserve"/>
      </w:r>
    </w:p>
    <w:p>
      <w:pPr>
        <w:pStyle w:val="Heading2"/>
        <w:spacing w:after="100" w:before="280"/>
      </w:pPr>
      <w:r>
        <w:rPr>
          <w:rFonts w:ascii="Arial" w:cs="Arial" w:eastAsia="Arial" w:hAnsi="Arial"/>
          <w:b/>
          <w:bCs/>
          <w:color w:val="1E3A5F"/>
          <w:sz w:val="26"/>
          <w:szCs w:val="26"/>
        </w:rPr>
        <w:t xml:space="preserve">3.3 Monetary — Valor económico acumulado</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3972"/>
      </w:tblGrid>
      <w:tr>
        <w:trPr>
          <w:tblHeader/>
        </w:trPr>
        <w:tc>
          <w:tcPr>
            <w:tcW w:type="dxa" w:w="32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Métrica</w:t>
            </w:r>
          </w:p>
        </w:tc>
        <w:tc>
          <w:tcPr>
            <w:tcW w:type="dxa" w:w="19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Valor</w:t>
            </w:r>
          </w:p>
        </w:tc>
        <w:tc>
          <w:tcPr>
            <w:tcW w:type="dxa" w:w="3972"/>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Lectura de negocio</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Gasto medio por cliente</w:t>
            </w:r>
          </w:p>
        </w:tc>
        <w:tc>
          <w:tcPr>
            <w:tcW w:type="dxa" w:w="19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€103,82</w:t>
            </w:r>
          </w:p>
        </w:tc>
        <w:tc>
          <w:tcPr>
            <w:tcW w:type="dxa" w:w="39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Alta dispersión (std: €107,36)</w:t>
            </w:r>
          </w:p>
        </w:tc>
      </w:tr>
      <w:tr>
        <w:tc>
          <w:tcPr>
            <w:tcW w:type="dxa" w:w="32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Gasto mediano por cliente</w:t>
            </w:r>
          </w:p>
        </w:tc>
        <w:tc>
          <w:tcPr>
            <w:tcW w:type="dxa" w:w="19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€61,92</w:t>
            </w:r>
          </w:p>
        </w:tc>
        <w:tc>
          <w:tcPr>
            <w:tcW w:type="dxa" w:w="39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El 50% gasta menos de €62 — base muy polarizada</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P75</w:t>
            </w:r>
          </w:p>
        </w:tc>
        <w:tc>
          <w:tcPr>
            <w:tcW w:type="dxa" w:w="19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€141,30</w:t>
            </w:r>
          </w:p>
        </w:tc>
        <w:tc>
          <w:tcPr>
            <w:tcW w:type="dxa" w:w="39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Solo el 25% supera los €141</w:t>
            </w:r>
          </w:p>
        </w:tc>
      </w:tr>
      <w:tr>
        <w:tc>
          <w:tcPr>
            <w:tcW w:type="dxa" w:w="32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Máximo</w:t>
            </w:r>
          </w:p>
        </w:tc>
        <w:tc>
          <w:tcPr>
            <w:tcW w:type="dxa" w:w="19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€500,00</w:t>
            </w:r>
          </w:p>
        </w:tc>
        <w:tc>
          <w:tcPr>
            <w:tcW w:type="dxa" w:w="39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Techo de gasto en el período</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Clientes que generan el 80% revenue</w:t>
            </w:r>
          </w:p>
        </w:tc>
        <w:tc>
          <w:tcPr>
            <w:tcW w:type="dxa" w:w="19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8.624 (41,7%)</w:t>
            </w:r>
          </w:p>
        </w:tc>
        <w:tc>
          <w:tcPr>
            <w:tcW w:type="dxa" w:w="39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Concentración Pareto: 40% de clientes = 80% ventas</w:t>
            </w:r>
          </w:p>
        </w:tc>
      </w:tr>
    </w:tbl>
    <w:p>
      <w:pPr>
        <w:spacing w:after="0" w:before="100"/>
      </w:pPr>
      <w:r>
        <w:t xml:space="preserve"/>
      </w:r>
    </w:p>
    <w:p>
      <w:pPr>
        <w:spacing w:after="80" w:before="80"/>
        <w:jc w:val="left"/>
      </w:pPr>
      <w:r>
        <w:rPr>
          <w:rFonts w:ascii="Arial" w:cs="Arial" w:eastAsia="Arial" w:hAnsi="Arial"/>
          <w:b/>
          <w:bCs/>
          <w:color w:val="333333"/>
          <w:sz w:val="20"/>
          <w:szCs w:val="20"/>
        </w:rPr>
        <w:t xml:space="preserve">Criterio de corte aplicado — bandas basadas en ticket medio de negocio:</w:t>
      </w:r>
    </w:p>
    <w:p>
      <w:pPr>
        <w:spacing w:after="0" w:before="60"/>
      </w:pPr>
      <w:r>
        <w:t xml:space="preserve"/>
      </w:r>
    </w:p>
    <w:p>
      <w:pPr>
        <w:shd w:fill="F8FAFC" w:val="clear"/>
        <w:spacing w:after="80" w:before="80"/>
      </w:pPr>
      <w:r>
        <w:rPr>
          <w:rFonts w:ascii="Courier New" w:cs="Courier New" w:eastAsia="Courier New" w:hAnsi="Courier New"/>
          <w:color w:val="1E40AF"/>
          <w:sz w:val="16"/>
          <w:szCs w:val="16"/>
        </w:rPr>
        <w:t xml:space="preserve">pd.cut(rfm['Monetary'], bins=[0, 30, 70, 150, 300, max], labels=[1, 2, 3, 4, 5])</w:t>
      </w:r>
    </w:p>
    <w:p>
      <w:pPr>
        <w:spacing w:after="0" w:before="80"/>
      </w:pPr>
      <w:r>
        <w:t xml:space="preserve"/>
      </w:r>
    </w:p>
    <w:p>
      <w:pPr>
        <w:spacing w:after="80" w:before="80"/>
        <w:jc w:val="left"/>
      </w:pPr>
      <w:r>
        <w:rPr>
          <w:rFonts w:ascii="Arial" w:cs="Arial" w:eastAsia="Arial" w:hAnsi="Arial"/>
          <w:b w:val="false"/>
          <w:bCs w:val="false"/>
          <w:color w:val="475569"/>
          <w:sz w:val="20"/>
          <w:szCs w:val="20"/>
        </w:rPr>
        <w:t xml:space="preserve">Los puntos de corte (€30, €70, €150, €300) están alineados con los cuartiles reales de la distribución y permiten distinguir claramente entre clientes de bajo, medio, alto y muy alto valor.</w:t>
      </w:r>
    </w:p>
    <w:p>
      <w:pPr>
        <w:spacing w:after="0" w:before="160"/>
      </w:pPr>
      <w:r>
        <w:t xml:space="preserve"/>
      </w:r>
    </w:p>
    <w:p>
      <w:r>
        <w:br w:type="page"/>
      </w:r>
    </w:p>
    <w:p>
      <w:pPr>
        <w:pStyle w:val="Heading1"/>
        <w:pBdr>
          <w:bottom w:val="single" w:color="2563EB" w:sz="8" w:space="1"/>
        </w:pBdr>
        <w:spacing w:after="160" w:before="360"/>
      </w:pPr>
      <w:r>
        <w:rPr>
          <w:rFonts w:ascii="Arial" w:cs="Arial" w:eastAsia="Arial" w:hAnsi="Arial"/>
          <w:b/>
          <w:bCs/>
          <w:color w:val="1E3A5F"/>
          <w:sz w:val="36"/>
          <w:szCs w:val="36"/>
        </w:rPr>
        <w:t xml:space="preserve">4. Segmentación RFM — Resultados</w:t>
      </w:r>
    </w:p>
    <w:p>
      <w:pPr>
        <w:spacing w:after="80" w:before="80"/>
        <w:jc w:val="left"/>
      </w:pPr>
      <w:r>
        <w:rPr>
          <w:rFonts w:ascii="Arial" w:cs="Arial" w:eastAsia="Arial" w:hAnsi="Arial"/>
          <w:b w:val="false"/>
          <w:bCs w:val="false"/>
          <w:color w:val="333333"/>
          <w:sz w:val="20"/>
          <w:szCs w:val="20"/>
        </w:rPr>
        <w:t xml:space="preserve">Combinando las tres puntuaciones mediante una función de segmentación personalizada, se obtienen 9 segmentos accionables. La clave del código RFM de 3 dígitos permite a cualquier analista identificar el perfil exacto de cada cliente (ej. '555' = Campeón perfecto, '111' = inactivo total).</w:t>
      </w:r>
    </w:p>
    <w:p>
      <w:pPr>
        <w:spacing w:after="0" w:before="120"/>
      </w:pPr>
      <w:r>
        <w:t xml:space="preserve"/>
      </w:r>
    </w:p>
    <w:p>
      <w:pPr>
        <w:pStyle w:val="Heading2"/>
        <w:spacing w:after="100" w:before="280"/>
      </w:pPr>
      <w:r>
        <w:rPr>
          <w:rFonts w:ascii="Arial" w:cs="Arial" w:eastAsia="Arial" w:hAnsi="Arial"/>
          <w:b/>
          <w:bCs/>
          <w:color w:val="1E3A5F"/>
          <w:sz w:val="26"/>
          <w:szCs w:val="26"/>
        </w:rPr>
        <w:t xml:space="preserve">4.1 Tabla de segmentos</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800"/>
        <w:gridCol w:w="1200"/>
        <w:gridCol w:w="800"/>
        <w:gridCol w:w="900"/>
        <w:gridCol w:w="700"/>
        <w:gridCol w:w="1572"/>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Segmento</w:t>
            </w:r>
          </w:p>
        </w:tc>
        <w:tc>
          <w:tcPr>
            <w:tcW w:type="dxa" w:w="9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Clientes</w:t>
            </w:r>
          </w:p>
        </w:tc>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 Base</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Revenue</w:t>
            </w:r>
          </w:p>
        </w:tc>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 Revenue</w:t>
            </w:r>
          </w:p>
        </w:tc>
        <w:tc>
          <w:tcPr>
            <w:tcW w:type="dxa" w:w="9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 media</w:t>
            </w:r>
          </w:p>
        </w:tc>
        <w:tc>
          <w:tcPr>
            <w:tcW w:type="dxa" w:w="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 media</w:t>
            </w:r>
          </w:p>
        </w:tc>
        <w:tc>
          <w:tcPr>
            <w:tcW w:type="dxa" w:w="1572"/>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 media (€)</w:t>
            </w:r>
          </w:p>
        </w:tc>
      </w:tr>
      <w:tr>
        <w:tc>
          <w:tcPr>
            <w:tcW w:type="dxa" w:w="220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center"/>
          </w:tcPr>
          <w:p>
            <w:pPr>
              <w:jc w:val="left"/>
            </w:pPr>
            <w:r>
              <w:rPr>
                <w:rFonts w:ascii="Arial" w:cs="Arial" w:eastAsia="Arial" w:hAnsi="Arial"/>
                <w:b/>
                <w:bCs/>
                <w:color w:val="059669"/>
                <w:sz w:val="17"/>
                <w:szCs w:val="17"/>
              </w:rPr>
              <w:t xml:space="preserve">Campeones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582</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2,8%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€193.377</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9,0%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8d</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22x</w:t>
            </w:r>
          </w:p>
        </w:tc>
        <w:tc>
          <w:tcPr>
            <w:tcW w:type="dxa" w:w="15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€332,26</w:t>
            </w:r>
          </w:p>
        </w:tc>
      </w:tr>
      <w:tr>
        <w:tc>
          <w:tcPr>
            <w:tcW w:type="dxa" w:w="220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vAlign w:val="center"/>
          </w:tcPr>
          <w:p>
            <w:pPr>
              <w:jc w:val="left"/>
            </w:pPr>
            <w:r>
              <w:rPr>
                <w:rFonts w:ascii="Arial" w:cs="Arial" w:eastAsia="Arial" w:hAnsi="Arial"/>
                <w:b/>
                <w:bCs/>
                <w:color w:val="059669"/>
                <w:sz w:val="17"/>
                <w:szCs w:val="17"/>
              </w:rPr>
              <w:t xml:space="preserve">Clientes Leales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67</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0,3%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€7.802</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0,4%</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w:t>
            </w:r>
          </w:p>
        </w:tc>
        <w:tc>
          <w:tcPr>
            <w:tcW w:type="dxa" w:w="15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€116,45</w:t>
            </w:r>
          </w:p>
        </w:tc>
      </w:tr>
      <w:tr>
        <w:tc>
          <w:tcPr>
            <w:tcW w:type="dxa" w:w="2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bCs/>
                <w:color w:val="7C3AED"/>
                <w:sz w:val="17"/>
                <w:szCs w:val="17"/>
              </w:rPr>
              <w:t xml:space="preserve">Leales Potenciales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65</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0,3%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€7.470</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0,3%</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w:t>
            </w:r>
          </w:p>
        </w:tc>
        <w:tc>
          <w:tcPr>
            <w:tcW w:type="dxa" w:w="15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€114,93</w:t>
            </w:r>
          </w:p>
        </w:tc>
      </w:tr>
      <w:tr>
        <w:tc>
          <w:tcPr>
            <w:tcW w:type="dxa" w:w="22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17"/>
                <w:szCs w:val="17"/>
              </w:rPr>
              <w:t xml:space="preserve">Clientes Rentables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39</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0,2%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€12.695</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0,6%</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w:t>
            </w:r>
          </w:p>
        </w:tc>
        <w:tc>
          <w:tcPr>
            <w:tcW w:type="dxa" w:w="15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€325,52</w:t>
            </w:r>
          </w:p>
        </w:tc>
      </w:tr>
      <w:tr>
        <w:tc>
          <w:tcPr>
            <w:tcW w:type="dxa" w:w="22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center"/>
          </w:tcPr>
          <w:p>
            <w:pPr>
              <w:jc w:val="left"/>
            </w:pPr>
            <w:r>
              <w:rPr>
                <w:rFonts w:ascii="Arial" w:cs="Arial" w:eastAsia="Arial" w:hAnsi="Arial"/>
                <w:b/>
                <w:bCs/>
                <w:color w:val="D97706"/>
                <w:sz w:val="17"/>
                <w:szCs w:val="17"/>
              </w:rPr>
              <w:t xml:space="preserve">Grandes Gastadores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1.409</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6,8%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€358.809</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16,7%</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w:t>
            </w:r>
          </w:p>
        </w:tc>
        <w:tc>
          <w:tcPr>
            <w:tcW w:type="dxa" w:w="15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€254,66</w:t>
            </w:r>
          </w:p>
        </w:tc>
      </w:tr>
      <w:tr>
        <w:tc>
          <w:tcPr>
            <w:tcW w:type="dxa" w:w="22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center"/>
          </w:tcPr>
          <w:p>
            <w:pPr>
              <w:jc w:val="left"/>
            </w:pPr>
            <w:r>
              <w:rPr>
                <w:rFonts w:ascii="Arial" w:cs="Arial" w:eastAsia="Arial" w:hAnsi="Arial"/>
                <w:b/>
                <w:bCs/>
                <w:color w:val="2563EB"/>
                <w:sz w:val="17"/>
                <w:szCs w:val="17"/>
              </w:rPr>
              <w:t xml:space="preserve">Clientes Recientes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3.933</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19,0%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€133.473</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6,2%</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w:t>
            </w:r>
          </w:p>
        </w:tc>
        <w:tc>
          <w:tcPr>
            <w:tcW w:type="dxa" w:w="15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€33,94</w:t>
            </w:r>
          </w:p>
        </w:tc>
      </w:tr>
      <w:tr>
        <w:tc>
          <w:tcPr>
            <w:tcW w:type="dxa" w:w="2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bCs/>
                <w:color w:val="7C3AED"/>
                <w:sz w:val="17"/>
                <w:szCs w:val="17"/>
              </w:rPr>
              <w:t xml:space="preserve">Prometedores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21</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0,1%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€2.463</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0,1%</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w:t>
            </w:r>
          </w:p>
        </w:tc>
        <w:tc>
          <w:tcPr>
            <w:tcW w:type="dxa" w:w="15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€117,30</w:t>
            </w:r>
          </w:p>
        </w:tc>
      </w:tr>
      <w:tr>
        <w:tc>
          <w:tcPr>
            <w:tcW w:type="dxa" w:w="22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center"/>
          </w:tcPr>
          <w:p>
            <w:pPr>
              <w:jc w:val="left"/>
            </w:pPr>
            <w:r>
              <w:rPr>
                <w:rFonts w:ascii="Arial" w:cs="Arial" w:eastAsia="Arial" w:hAnsi="Arial"/>
                <w:b/>
                <w:bCs/>
                <w:color w:val="D97706"/>
                <w:sz w:val="17"/>
                <w:szCs w:val="17"/>
              </w:rPr>
              <w:t xml:space="preserve">Dudosos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8.621</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41,7%</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€1.247.012</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58,1%</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w:t>
            </w:r>
          </w:p>
        </w:tc>
        <w:tc>
          <w:tcPr>
            <w:tcW w:type="dxa" w:w="15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€144,65</w:t>
            </w:r>
          </w:p>
        </w:tc>
      </w:tr>
      <w:tr>
        <w:tc>
          <w:tcPr>
            <w:tcW w:type="dxa" w:w="22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center"/>
          </w:tcPr>
          <w:p>
            <w:pPr>
              <w:jc w:val="left"/>
            </w:pPr>
            <w:r>
              <w:rPr>
                <w:rFonts w:ascii="Arial" w:cs="Arial" w:eastAsia="Arial" w:hAnsi="Arial"/>
                <w:b/>
                <w:bCs/>
                <w:color w:val="DC2626"/>
                <w:sz w:val="17"/>
                <w:szCs w:val="17"/>
              </w:rPr>
              <w:t xml:space="preserve">En Riesgo</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5.951</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28,8%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€184.710</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8,6%</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w:t>
            </w:r>
          </w:p>
        </w:tc>
        <w:tc>
          <w:tcPr>
            <w:tcW w:type="dxa" w:w="15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18"/>
                <w:szCs w:val="18"/>
              </w:rPr>
              <w:t xml:space="preserve">€31,04</w:t>
            </w:r>
          </w:p>
        </w:tc>
      </w:tr>
    </w:tbl>
    <w:p>
      <w:pPr>
        <w:spacing w:after="0" w:before="160"/>
      </w:pPr>
      <w:r>
        <w:t xml:space="preserve"/>
      </w:r>
    </w:p>
    <w:p>
      <w:pPr>
        <w:pStyle w:val="Heading2"/>
        <w:spacing w:after="100" w:before="280"/>
      </w:pPr>
      <w:r>
        <w:rPr>
          <w:rFonts w:ascii="Arial" w:cs="Arial" w:eastAsia="Arial" w:hAnsi="Arial"/>
          <w:b/>
          <w:bCs/>
          <w:color w:val="1E3A5F"/>
          <w:sz w:val="26"/>
          <w:szCs w:val="26"/>
        </w:rPr>
        <w:t xml:space="preserve">4.2 Interpretación de los segmentos clave</w:t>
      </w:r>
    </w:p>
    <w:p>
      <w:pPr>
        <w:spacing w:after="0" w:before="80"/>
      </w:pPr>
      <w:r>
        <w:t xml:space="preserve"/>
      </w:r>
    </w:p>
    <w:p>
      <w:pPr>
        <w:spacing w:after="80" w:before="200"/>
      </w:pPr>
      <w:r>
        <w:rPr>
          <w:rFonts w:ascii="Arial" w:cs="Arial" w:eastAsia="Arial" w:hAnsi="Arial"/>
          <w:b/>
          <w:bCs/>
          <w:color w:val="2563EB"/>
          <w:sz w:val="22"/>
          <w:szCs w:val="22"/>
        </w:rPr>
        <w:t xml:space="preserve">Dudosos (8.621 clientes — 58,1% del revenue)</w:t>
      </w:r>
    </w:p>
    <w:p>
      <w:pPr>
        <w:spacing w:after="80" w:before="80"/>
        <w:jc w:val="left"/>
      </w:pPr>
      <w:r>
        <w:rPr>
          <w:rFonts w:ascii="Arial" w:cs="Arial" w:eastAsia="Arial" w:hAnsi="Arial"/>
          <w:b w:val="false"/>
          <w:bCs w:val="false"/>
          <w:color w:val="333333"/>
          <w:sz w:val="20"/>
          <w:szCs w:val="20"/>
        </w:rPr>
        <w:t xml:space="preserve">El segmento más grande y el que más revenue acumula es también el más heterogéneo. Agrupa clientes con patrones inconsistentes: alta recencia o alta monetización en aislamiento, sin combinar bien las tres dimensiones. El nombre 'Dudosos' refleja que su comportamiento futuro es incierto. Dentro de este segmento conviven el cliente 22623 (Recency=10, F=1, Monetary=€365,25) con el cliente 4 (Recency=52, F=2, Monetary=€139,85). Una subsegmentación por código RFM permitiría acciones más precisas.</w:t>
      </w:r>
    </w:p>
    <w:p>
      <w:pPr>
        <w:spacing w:after="0" w:before="80"/>
      </w:pPr>
      <w:r>
        <w:t xml:space="preserve"/>
      </w:r>
    </w:p>
    <w:p>
      <w:pPr>
        <w:spacing w:after="80" w:before="200"/>
      </w:pPr>
      <w:r>
        <w:rPr>
          <w:rFonts w:ascii="Arial" w:cs="Arial" w:eastAsia="Arial" w:hAnsi="Arial"/>
          <w:b/>
          <w:bCs/>
          <w:color w:val="2563EB"/>
          <w:sz w:val="22"/>
          <w:szCs w:val="22"/>
        </w:rPr>
        <w:t xml:space="preserve">En Riesgo (5.951 clientes — 8,6% del revenue)</w:t>
      </w:r>
    </w:p>
    <w:p>
      <w:pPr>
        <w:spacing w:after="80" w:before="80"/>
        <w:jc w:val="left"/>
      </w:pPr>
      <w:r>
        <w:rPr>
          <w:rFonts w:ascii="Arial" w:cs="Arial" w:eastAsia="Arial" w:hAnsi="Arial"/>
          <w:b w:val="false"/>
          <w:bCs w:val="false"/>
          <w:color w:val="333333"/>
          <w:sz w:val="20"/>
          <w:szCs w:val="20"/>
        </w:rPr>
        <w:t xml:space="preserve">Clientes con baja recencia, frecuencia y valor monetario. Representan casi el 29% de la base y son los que más probablemente han abandonado. El revenue medio por cliente es de solo €31,04, lo que sugiere que muchos compraron poco y hace tiempo. Son candidatos prioritarios a campaña de reactivación de bajo coste.</w:t>
      </w:r>
    </w:p>
    <w:p>
      <w:pPr>
        <w:spacing w:after="0" w:before="80"/>
      </w:pPr>
      <w:r>
        <w:t xml:space="preserve"/>
      </w:r>
    </w:p>
    <w:p>
      <w:pPr>
        <w:spacing w:after="80" w:before="200"/>
      </w:pPr>
      <w:r>
        <w:rPr>
          <w:rFonts w:ascii="Arial" w:cs="Arial" w:eastAsia="Arial" w:hAnsi="Arial"/>
          <w:b/>
          <w:bCs/>
          <w:color w:val="2563EB"/>
          <w:sz w:val="22"/>
          <w:szCs w:val="22"/>
        </w:rPr>
        <w:t xml:space="preserve">Grandes Gastadores (1.409 clientes — 16,7% del revenue)</w:t>
      </w:r>
    </w:p>
    <w:p>
      <w:pPr>
        <w:spacing w:after="80" w:before="80"/>
        <w:jc w:val="left"/>
      </w:pPr>
      <w:r>
        <w:rPr>
          <w:rFonts w:ascii="Arial" w:cs="Arial" w:eastAsia="Arial" w:hAnsi="Arial"/>
          <w:b w:val="false"/>
          <w:bCs w:val="false"/>
          <w:color w:val="333333"/>
          <w:sz w:val="20"/>
          <w:szCs w:val="20"/>
        </w:rPr>
        <w:t xml:space="preserve">Clientes con alto valor monetario pero recencia o frecuencia no excelentes. Gastan mucho cuando compran (€254,66 de media) pero no lo hacen con regularidad. El riesgo es perderlos por falta de engagement. Son el objetivo ideal de campañas de upselling y cross-selling.</w:t>
      </w:r>
    </w:p>
    <w:p>
      <w:pPr>
        <w:spacing w:after="0" w:before="80"/>
      </w:pPr>
      <w:r>
        <w:t xml:space="preserve"/>
      </w:r>
    </w:p>
    <w:p>
      <w:pPr>
        <w:spacing w:after="80" w:before="200"/>
      </w:pPr>
      <w:r>
        <w:rPr>
          <w:rFonts w:ascii="Arial" w:cs="Arial" w:eastAsia="Arial" w:hAnsi="Arial"/>
          <w:b/>
          <w:bCs/>
          <w:color w:val="2563EB"/>
          <w:sz w:val="22"/>
          <w:szCs w:val="22"/>
        </w:rPr>
        <w:t xml:space="preserve">Clientes Recientes (3.933 clientes — 6,2% del revenue)</w:t>
      </w:r>
    </w:p>
    <w:p>
      <w:pPr>
        <w:spacing w:after="80" w:before="80"/>
        <w:jc w:val="left"/>
      </w:pPr>
      <w:r>
        <w:rPr>
          <w:rFonts w:ascii="Arial" w:cs="Arial" w:eastAsia="Arial" w:hAnsi="Arial"/>
          <w:b w:val="false"/>
          <w:bCs w:val="false"/>
          <w:color w:val="333333"/>
          <w:sz w:val="20"/>
          <w:szCs w:val="20"/>
        </w:rPr>
        <w:t xml:space="preserve">Han comprado recientemente pero con baja frecuencia (generalmente 1 vez) y bajo valor. Son el perfil de cliente nuevo o de primera compra. El gasto medio de €33,94 indica tickets pequeños. La oportunidad está en convertirlos en compradores recurrentes mediante campañas de segundo pedido con incentivo de bajo coste.</w:t>
      </w:r>
    </w:p>
    <w:p>
      <w:pPr>
        <w:spacing w:after="0" w:before="140"/>
      </w:pPr>
      <w:r>
        <w:t xml:space="preserve"/>
      </w:r>
    </w:p>
    <w:p>
      <w:r>
        <w:br w:type="page"/>
      </w:r>
    </w:p>
    <w:p>
      <w:pPr>
        <w:pStyle w:val="Heading1"/>
        <w:pBdr>
          <w:bottom w:val="single" w:color="2563EB" w:sz="8" w:space="1"/>
        </w:pBdr>
        <w:spacing w:after="160" w:before="360"/>
      </w:pPr>
      <w:r>
        <w:rPr>
          <w:rFonts w:ascii="Arial" w:cs="Arial" w:eastAsia="Arial" w:hAnsi="Arial"/>
          <w:b/>
          <w:bCs/>
          <w:color w:val="1E3A5F"/>
          <w:sz w:val="36"/>
          <w:szCs w:val="36"/>
        </w:rPr>
        <w:t xml:space="preserve">5. Plan de Marketing por Segmento</w:t>
      </w:r>
    </w:p>
    <w:p>
      <w:pPr>
        <w:spacing w:after="80" w:before="80"/>
        <w:jc w:val="left"/>
      </w:pPr>
      <w:r>
        <w:rPr>
          <w:rFonts w:ascii="Arial" w:cs="Arial" w:eastAsia="Arial" w:hAnsi="Arial"/>
          <w:b w:val="false"/>
          <w:bCs w:val="false"/>
          <w:color w:val="333333"/>
          <w:sz w:val="20"/>
          <w:szCs w:val="20"/>
        </w:rPr>
        <w:t xml:space="preserve">El análisis RFM permite diseñar tres campañas diferenciadas, cada una dirigida a un bloque de segmentos con mecánicas y objetivos distintos. El criterio de priorización es el impacto potencial de revenue frente al coste estimado de activación.</w:t>
      </w:r>
    </w:p>
    <w:p>
      <w:pPr>
        <w:spacing w:after="0" w:before="120"/>
      </w:pPr>
      <w:r>
        <w:t xml:space="preserve"/>
      </w:r>
    </w:p>
    <w:p>
      <w:pPr>
        <w:pStyle w:val="Heading2"/>
        <w:spacing w:after="100" w:before="280"/>
      </w:pPr>
      <w:r>
        <w:rPr>
          <w:rFonts w:ascii="Arial" w:cs="Arial" w:eastAsia="Arial" w:hAnsi="Arial"/>
          <w:b/>
          <w:bCs/>
          <w:color w:val="1E3A5F"/>
          <w:sz w:val="26"/>
          <w:szCs w:val="26"/>
        </w:rPr>
        <w:t xml:space="preserve">5.1 Campaña 1 — Reactivación</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FEE2E2" w:val="clear"/>
            <w:tcMar>
              <w:top w:type="dxa" w:w="160"/>
              <w:left w:type="dxa" w:w="200"/>
              <w:bottom w:type="dxa" w:w="160"/>
              <w:right w:type="dxa" w:w="200"/>
            </w:tcMar>
          </w:tcPr>
          <w:p>
            <w:r>
              <w:rPr>
                <w:rFonts w:ascii="Arial" w:cs="Arial" w:eastAsia="Arial" w:hAnsi="Arial"/>
                <w:b/>
                <w:bCs/>
                <w:color w:val="DC2626"/>
                <w:sz w:val="22"/>
                <w:szCs w:val="22"/>
              </w:rPr>
              <w:t xml:space="preserve">Objetivo: recuperar clientes dormidos antes de que se pierdan definitivamente</w:t>
            </w:r>
          </w:p>
          <w:p>
            <w:pPr>
              <w:spacing w:before="60"/>
            </w:pPr>
            <w:r>
              <w:rPr>
                <w:rFonts w:ascii="Arial" w:cs="Arial" w:eastAsia="Arial" w:hAnsi="Arial"/>
                <w:color w:val="333333"/>
                <w:sz w:val="18"/>
                <w:szCs w:val="18"/>
              </w:rPr>
              <w:t xml:space="preserve">Segmentos: En Riesgo + Dudosos (inactivos) = 14.572 clientes</w:t>
            </w:r>
          </w:p>
          <w:p>
            <w:pPr>
              <w:spacing w:before="60"/>
            </w:pPr>
            <w:r>
              <w:rPr>
                <w:rFonts w:ascii="Arial" w:cs="Arial" w:eastAsia="Arial" w:hAnsi="Arial"/>
                <w:color w:val="333333"/>
                <w:sz w:val="18"/>
                <w:szCs w:val="18"/>
              </w:rPr>
              <w:t xml:space="preserve">Revenue histórico acumulado: +€1.431.721 — representan la mayor masa de valor de la base.</w:t>
            </w:r>
          </w:p>
          <w:p>
            <w:pPr>
              <w:spacing w:before="60"/>
            </w:pPr>
            <w:r>
              <w:rPr>
                <w:rFonts w:ascii="Arial" w:cs="Arial" w:eastAsia="Arial" w:hAnsi="Arial"/>
                <w:color w:val="333333"/>
                <w:sz w:val="18"/>
                <w:szCs w:val="18"/>
              </w:rPr>
              <w:t xml:space="preserve">Mecánica: email personalizado con oferta de reactivación basada en categoría de producto más comprada.</w:t>
            </w:r>
          </w:p>
          <w:p>
            <w:pPr>
              <w:spacing w:before="60"/>
            </w:pPr>
            <w:r>
              <w:rPr>
                <w:rFonts w:ascii="Arial" w:cs="Arial" w:eastAsia="Arial" w:hAnsi="Arial"/>
                <w:color w:val="333333"/>
                <w:sz w:val="18"/>
                <w:szCs w:val="18"/>
              </w:rPr>
              <w:t xml:space="preserve">KPI objetivo: tasa de reactivación ≥ 5% → recuperación estimada de 729 clientes activos.</w:t>
            </w:r>
          </w:p>
        </w:tc>
      </w:tr>
    </w:tbl>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3000"/>
        <w:gridCol w:w="1272"/>
      </w:tblGrid>
      <w:tr>
        <w:trPr>
          <w:tblHeader/>
        </w:trPr>
        <w:tc>
          <w:tcPr>
            <w:tcW w:type="dxa" w:w="20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Segmento</w:t>
            </w:r>
          </w:p>
        </w:tc>
        <w:tc>
          <w:tcPr>
            <w:tcW w:type="dxa" w:w="12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Clientes</w:t>
            </w:r>
          </w:p>
        </w:tc>
        <w:tc>
          <w:tcPr>
            <w:tcW w:type="dxa" w:w="16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Revenue histórico</w:t>
            </w:r>
          </w:p>
        </w:tc>
        <w:tc>
          <w:tcPr>
            <w:tcW w:type="dxa" w:w="30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Mecánica recomendada</w:t>
            </w:r>
          </w:p>
        </w:tc>
        <w:tc>
          <w:tcPr>
            <w:tcW w:type="dxa" w:w="1272"/>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KPI</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En Riesgo</w:t>
            </w:r>
          </w:p>
        </w:tc>
        <w:tc>
          <w:tcPr>
            <w:tcW w:type="dxa" w:w="1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5.951</w:t>
            </w:r>
          </w:p>
        </w:tc>
        <w:tc>
          <w:tcPr>
            <w:tcW w:type="dxa" w:w="16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€184.710</w:t>
            </w:r>
          </w:p>
        </w:tc>
        <w:tc>
          <w:tcPr>
            <w:tcW w:type="dxa" w:w="3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Email 'te echamos de menos' + descuento 10%</w:t>
            </w:r>
          </w:p>
        </w:tc>
        <w:tc>
          <w:tcPr>
            <w:tcW w:type="dxa" w:w="12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Reactivar ≥5%</w:t>
            </w:r>
          </w:p>
        </w:tc>
      </w:tr>
      <w:tr>
        <w:tc>
          <w:tcPr>
            <w:tcW w:type="dxa" w:w="20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Dudosos (inactivos)</w:t>
            </w:r>
          </w:p>
        </w:tc>
        <w:tc>
          <w:tcPr>
            <w:tcW w:type="dxa" w:w="12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~8.621</w:t>
            </w:r>
          </w:p>
        </w:tc>
        <w:tc>
          <w:tcPr>
            <w:tcW w:type="dxa" w:w="16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€1.247.012</w:t>
            </w:r>
          </w:p>
        </w:tc>
        <w:tc>
          <w:tcPr>
            <w:tcW w:type="dxa" w:w="30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Segmentar por código RFM + oferta personalizada</w:t>
            </w:r>
          </w:p>
        </w:tc>
        <w:tc>
          <w:tcPr>
            <w:tcW w:type="dxa" w:w="12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Reactivar ≥3%</w:t>
            </w:r>
          </w:p>
        </w:tc>
      </w:tr>
    </w:tbl>
    <w:p>
      <w:pPr>
        <w:spacing w:after="0" w:before="160"/>
      </w:pPr>
      <w:r>
        <w:t xml:space="preserve"/>
      </w:r>
    </w:p>
    <w:p>
      <w:pPr>
        <w:pStyle w:val="Heading2"/>
        <w:spacing w:after="100" w:before="280"/>
      </w:pPr>
      <w:r>
        <w:rPr>
          <w:rFonts w:ascii="Arial" w:cs="Arial" w:eastAsia="Arial" w:hAnsi="Arial"/>
          <w:b/>
          <w:bCs/>
          <w:color w:val="1E3A5F"/>
          <w:sz w:val="26"/>
          <w:szCs w:val="26"/>
        </w:rPr>
        <w:t xml:space="preserve">5.2 Campaña 2 — Conversión de compradores únicos</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r>
              <w:rPr>
                <w:rFonts w:ascii="Arial" w:cs="Arial" w:eastAsia="Arial" w:hAnsi="Arial"/>
                <w:b/>
                <w:bCs/>
                <w:color w:val="D97706"/>
                <w:sz w:val="22"/>
                <w:szCs w:val="22"/>
              </w:rPr>
              <w:t xml:space="preserve">Objetivo: convertir la primera compra en hábito de compra recurrente</w:t>
            </w:r>
          </w:p>
          <w:p>
            <w:pPr>
              <w:spacing w:before="60"/>
            </w:pPr>
            <w:r>
              <w:rPr>
                <w:rFonts w:ascii="Arial" w:cs="Arial" w:eastAsia="Arial" w:hAnsi="Arial"/>
                <w:color w:val="333333"/>
                <w:sz w:val="18"/>
                <w:szCs w:val="18"/>
              </w:rPr>
              <w:t xml:space="preserve">Segmentos: Clientes Recientes + Prometedores + Clientes Rentables = 3.993 clientes</w:t>
            </w:r>
          </w:p>
          <w:p>
            <w:pPr>
              <w:spacing w:before="60"/>
            </w:pPr>
            <w:r>
              <w:rPr>
                <w:rFonts w:ascii="Arial" w:cs="Arial" w:eastAsia="Arial" w:hAnsi="Arial"/>
                <w:color w:val="333333"/>
                <w:sz w:val="18"/>
                <w:szCs w:val="18"/>
              </w:rPr>
              <w:t xml:space="preserve">El 56,1% de toda la base compra solo 1 vez — cada conversión al segundo pedido duplica el LTV esperado.</w:t>
            </w:r>
          </w:p>
          <w:p>
            <w:pPr>
              <w:spacing w:before="60"/>
            </w:pPr>
            <w:r>
              <w:rPr>
                <w:rFonts w:ascii="Arial" w:cs="Arial" w:eastAsia="Arial" w:hAnsi="Arial"/>
                <w:color w:val="333333"/>
                <w:sz w:val="18"/>
                <w:szCs w:val="18"/>
              </w:rPr>
              <w:t xml:space="preserve">Mecánica: email automático post-compra a las 2 semanas con incentivo de segundo pedido (€5 dto. / envío gratis).</w:t>
            </w:r>
          </w:p>
          <w:p>
            <w:pPr>
              <w:spacing w:before="60"/>
            </w:pPr>
            <w:r>
              <w:rPr>
                <w:rFonts w:ascii="Arial" w:cs="Arial" w:eastAsia="Arial" w:hAnsi="Arial"/>
                <w:color w:val="333333"/>
                <w:sz w:val="18"/>
                <w:szCs w:val="18"/>
              </w:rPr>
              <w:t xml:space="preserve">KPI objetivo: tasa de conversión a segundo pedido ≥ 15% → +599 nuevos compradores recurrentes.</w:t>
            </w:r>
          </w:p>
        </w:tc>
      </w:tr>
    </w:tbl>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800"/>
        <w:gridCol w:w="2600"/>
        <w:gridCol w:w="1772"/>
      </w:tblGrid>
      <w:tr>
        <w:trPr>
          <w:tblHeader/>
        </w:trPr>
        <w:tc>
          <w:tcPr>
            <w:tcW w:type="dxa" w:w="19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Segmento</w:t>
            </w:r>
          </w:p>
        </w:tc>
        <w:tc>
          <w:tcPr>
            <w:tcW w:type="dxa" w:w="10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Clientes</w:t>
            </w:r>
          </w:p>
        </w:tc>
        <w:tc>
          <w:tcPr>
            <w:tcW w:type="dxa" w:w="18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Perfil</w:t>
            </w:r>
          </w:p>
        </w:tc>
        <w:tc>
          <w:tcPr>
            <w:tcW w:type="dxa" w:w="26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Mecánica recomendada</w:t>
            </w:r>
          </w:p>
        </w:tc>
        <w:tc>
          <w:tcPr>
            <w:tcW w:type="dxa" w:w="1772"/>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KPI</w:t>
            </w:r>
          </w:p>
        </w:tc>
      </w:tr>
      <w:tr>
        <w:tc>
          <w:tcPr>
            <w:tcW w:type="dxa" w:w="19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Clientes Recientes</w:t>
            </w:r>
          </w:p>
        </w:tc>
        <w:tc>
          <w:tcPr>
            <w:tcW w:type="dxa" w:w="1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3.933</w:t>
            </w:r>
          </w:p>
        </w:tc>
        <w:tc>
          <w:tcPr>
            <w:tcW w:type="dxa" w:w="1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Ticket bajo, 1 compra reciente</w:t>
            </w:r>
          </w:p>
        </w:tc>
        <w:tc>
          <w:tcPr>
            <w:tcW w:type="dxa" w:w="26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Email post-compra + oferta segundo pedido</w:t>
            </w:r>
          </w:p>
        </w:tc>
        <w:tc>
          <w:tcPr>
            <w:tcW w:type="dxa" w:w="17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Conversión ≥15%</w:t>
            </w:r>
          </w:p>
        </w:tc>
      </w:tr>
      <w:tr>
        <w:tc>
          <w:tcPr>
            <w:tcW w:type="dxa" w:w="19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Prometedores</w:t>
            </w:r>
          </w:p>
        </w:tc>
        <w:tc>
          <w:tcPr>
            <w:tcW w:type="dxa" w:w="10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21</w:t>
            </w:r>
          </w:p>
        </w:tc>
        <w:tc>
          <w:tcPr>
            <w:tcW w:type="dxa" w:w="18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Valores medios en R, F y M</w:t>
            </w:r>
          </w:p>
        </w:tc>
        <w:tc>
          <w:tcPr>
            <w:tcW w:type="dxa" w:w="26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Nurturing personalizado por producto</w:t>
            </w:r>
          </w:p>
        </w:tc>
        <w:tc>
          <w:tcPr>
            <w:tcW w:type="dxa" w:w="17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Conversión ≥20%</w:t>
            </w:r>
          </w:p>
        </w:tc>
      </w:tr>
      <w:tr>
        <w:tc>
          <w:tcPr>
            <w:tcW w:type="dxa" w:w="19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Clientes Rentables</w:t>
            </w:r>
          </w:p>
        </w:tc>
        <w:tc>
          <w:tcPr>
            <w:tcW w:type="dxa" w:w="1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39</w:t>
            </w:r>
          </w:p>
        </w:tc>
        <w:tc>
          <w:tcPr>
            <w:tcW w:type="dxa" w:w="1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Alto valor, media frecuencia</w:t>
            </w:r>
          </w:p>
        </w:tc>
        <w:tc>
          <w:tcPr>
            <w:tcW w:type="dxa" w:w="26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Programa VIP de acceso anticipado</w:t>
            </w:r>
          </w:p>
        </w:tc>
        <w:tc>
          <w:tcPr>
            <w:tcW w:type="dxa" w:w="17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Conversión ≥25%</w:t>
            </w:r>
          </w:p>
        </w:tc>
      </w:tr>
    </w:tbl>
    <w:p>
      <w:pPr>
        <w:spacing w:after="0" w:before="160"/>
      </w:pPr>
      <w:r>
        <w:t xml:space="preserve"/>
      </w:r>
    </w:p>
    <w:p>
      <w:pPr>
        <w:pStyle w:val="Heading2"/>
        <w:spacing w:after="100" w:before="280"/>
      </w:pPr>
      <w:r>
        <w:rPr>
          <w:rFonts w:ascii="Arial" w:cs="Arial" w:eastAsia="Arial" w:hAnsi="Arial"/>
          <w:b/>
          <w:bCs/>
          <w:color w:val="1E3A5F"/>
          <w:sz w:val="26"/>
          <w:szCs w:val="26"/>
        </w:rPr>
        <w:t xml:space="preserve">5.3 Campaña 3 — Upselling y Cross-selling</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r>
              <w:rPr>
                <w:rFonts w:ascii="Arial" w:cs="Arial" w:eastAsia="Arial" w:hAnsi="Arial"/>
                <w:b/>
                <w:bCs/>
                <w:color w:val="7C3AED"/>
                <w:sz w:val="22"/>
                <w:szCs w:val="22"/>
              </w:rPr>
              <w:t xml:space="preserve">Objetivo: maximizar el valor de los clientes de alto gasto que ya confían en la marca</w:t>
            </w:r>
          </w:p>
          <w:p>
            <w:pPr>
              <w:spacing w:before="60"/>
            </w:pPr>
            <w:r>
              <w:rPr>
                <w:rFonts w:ascii="Arial" w:cs="Arial" w:eastAsia="Arial" w:hAnsi="Arial"/>
                <w:color w:val="333333"/>
                <w:sz w:val="18"/>
                <w:szCs w:val="18"/>
              </w:rPr>
              <w:t xml:space="preserve">Segmentos: Clientes Rentables + Leales Potenciales + Grandes Gastadores = 1.513 clientes</w:t>
            </w:r>
          </w:p>
          <w:p>
            <w:pPr>
              <w:spacing w:before="60"/>
            </w:pPr>
            <w:r>
              <w:rPr>
                <w:rFonts w:ascii="Arial" w:cs="Arial" w:eastAsia="Arial" w:hAnsi="Arial"/>
                <w:color w:val="333333"/>
                <w:sz w:val="18"/>
                <w:szCs w:val="18"/>
              </w:rPr>
              <w:t xml:space="preserve">Son los clientes con mayor ticket medio. Están abiertos a gastar más si se les presenta la oferta adecuada.</w:t>
            </w:r>
          </w:p>
          <w:p>
            <w:pPr>
              <w:spacing w:before="60"/>
            </w:pPr>
            <w:r>
              <w:rPr>
                <w:rFonts w:ascii="Arial" w:cs="Arial" w:eastAsia="Arial" w:hAnsi="Arial"/>
                <w:color w:val="333333"/>
                <w:sz w:val="18"/>
                <w:szCs w:val="18"/>
              </w:rPr>
              <w:t xml:space="preserve">Mecánica: recomendación de producto complementario basada en historial + acceso a gama premium.</w:t>
            </w:r>
          </w:p>
          <w:p>
            <w:pPr>
              <w:spacing w:before="60"/>
            </w:pPr>
            <w:r>
              <w:rPr>
                <w:rFonts w:ascii="Arial" w:cs="Arial" w:eastAsia="Arial" w:hAnsi="Arial"/>
                <w:color w:val="333333"/>
                <w:sz w:val="18"/>
                <w:szCs w:val="18"/>
              </w:rPr>
              <w:t xml:space="preserve">KPI objetivo: incremento del ticket medio en ≥ 15% = +€38 por cliente = +€57.494 de revenue incremental.</w:t>
            </w:r>
          </w:p>
        </w:tc>
      </w:tr>
    </w:tbl>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500"/>
        <w:gridCol w:w="2700"/>
        <w:gridCol w:w="1872"/>
      </w:tblGrid>
      <w:tr>
        <w:trPr>
          <w:tblHeader/>
        </w:trPr>
        <w:tc>
          <w:tcPr>
            <w:tcW w:type="dxa" w:w="20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Segmento</w:t>
            </w:r>
          </w:p>
        </w:tc>
        <w:tc>
          <w:tcPr>
            <w:tcW w:type="dxa" w:w="10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Clientes</w:t>
            </w:r>
          </w:p>
        </w:tc>
        <w:tc>
          <w:tcPr>
            <w:tcW w:type="dxa" w:w="15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Ticket Medio</w:t>
            </w:r>
          </w:p>
        </w:tc>
        <w:tc>
          <w:tcPr>
            <w:tcW w:type="dxa" w:w="27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Mecánica recomendada</w:t>
            </w:r>
          </w:p>
        </w:tc>
        <w:tc>
          <w:tcPr>
            <w:tcW w:type="dxa" w:w="1872"/>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Revenue incremental (est.)</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Grandes Gastadores</w:t>
            </w:r>
          </w:p>
        </w:tc>
        <w:tc>
          <w:tcPr>
            <w:tcW w:type="dxa" w:w="1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1.409</w:t>
            </w:r>
          </w:p>
        </w:tc>
        <w:tc>
          <w:tcPr>
            <w:tcW w:type="dxa" w:w="15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€254,66</w:t>
            </w:r>
          </w:p>
        </w:tc>
        <w:tc>
          <w:tcPr>
            <w:tcW w:type="dxa" w:w="27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Cross-selling en categorías adyacentes</w:t>
            </w:r>
          </w:p>
        </w:tc>
        <w:tc>
          <w:tcPr>
            <w:tcW w:type="dxa" w:w="18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€53.847 (+15%)</w:t>
            </w:r>
          </w:p>
        </w:tc>
      </w:tr>
      <w:tr>
        <w:tc>
          <w:tcPr>
            <w:tcW w:type="dxa" w:w="20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Leales Potenciales</w:t>
            </w:r>
          </w:p>
        </w:tc>
        <w:tc>
          <w:tcPr>
            <w:tcW w:type="dxa" w:w="10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65</w:t>
            </w:r>
          </w:p>
        </w:tc>
        <w:tc>
          <w:tcPr>
            <w:tcW w:type="dxa" w:w="15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€114,93</w:t>
            </w:r>
          </w:p>
        </w:tc>
        <w:tc>
          <w:tcPr>
            <w:tcW w:type="dxa" w:w="27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Upgrade a categoría premium</w:t>
            </w:r>
          </w:p>
        </w:tc>
        <w:tc>
          <w:tcPr>
            <w:tcW w:type="dxa" w:w="18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€1.120 (+15%)</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Clientes Rentables</w:t>
            </w:r>
          </w:p>
        </w:tc>
        <w:tc>
          <w:tcPr>
            <w:tcW w:type="dxa" w:w="1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39</w:t>
            </w:r>
          </w:p>
        </w:tc>
        <w:tc>
          <w:tcPr>
            <w:tcW w:type="dxa" w:w="15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€325,52</w:t>
            </w:r>
          </w:p>
        </w:tc>
        <w:tc>
          <w:tcPr>
            <w:tcW w:type="dxa" w:w="27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Programa exclusivo + acceso early sale</w:t>
            </w:r>
          </w:p>
        </w:tc>
        <w:tc>
          <w:tcPr>
            <w:tcW w:type="dxa" w:w="18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€1.900 (+15%)</w:t>
            </w:r>
          </w:p>
        </w:tc>
      </w:tr>
    </w:tbl>
    <w:p>
      <w:pPr>
        <w:spacing w:after="0" w:before="160"/>
      </w:pPr>
      <w:r>
        <w:t xml:space="preserve"/>
      </w:r>
    </w:p>
    <w:p>
      <w:r>
        <w:br w:type="page"/>
      </w:r>
    </w:p>
    <w:p>
      <w:pPr>
        <w:pStyle w:val="Heading1"/>
        <w:pBdr>
          <w:bottom w:val="single" w:color="2563EB" w:sz="8" w:space="1"/>
        </w:pBdr>
        <w:spacing w:after="160" w:before="360"/>
      </w:pPr>
      <w:r>
        <w:rPr>
          <w:rFonts w:ascii="Arial" w:cs="Arial" w:eastAsia="Arial" w:hAnsi="Arial"/>
          <w:b/>
          <w:bCs/>
          <w:color w:val="1E3A5F"/>
          <w:sz w:val="36"/>
          <w:szCs w:val="36"/>
        </w:rPr>
        <w:t xml:space="preserve">6. KPIs de Seguimiento y Próximos Pasos</w:t>
      </w:r>
    </w:p>
    <w:p>
      <w:pPr>
        <w:pStyle w:val="Heading2"/>
        <w:spacing w:after="100" w:before="280"/>
      </w:pPr>
      <w:r>
        <w:rPr>
          <w:rFonts w:ascii="Arial" w:cs="Arial" w:eastAsia="Arial" w:hAnsi="Arial"/>
          <w:b/>
          <w:bCs/>
          <w:color w:val="1E3A5F"/>
          <w:sz w:val="26"/>
          <w:szCs w:val="26"/>
        </w:rPr>
        <w:t xml:space="preserve">6.1 Métricas de control — revisión mensual</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2872"/>
      </w:tblGrid>
      <w:tr>
        <w:trPr>
          <w:tblHeader/>
        </w:trPr>
        <w:tc>
          <w:tcPr>
            <w:tcW w:type="dxa" w:w="28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KPI</w:t>
            </w:r>
          </w:p>
        </w:tc>
        <w:tc>
          <w:tcPr>
            <w:tcW w:type="dxa" w:w="17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Valor actual 2023</w:t>
            </w:r>
          </w:p>
        </w:tc>
        <w:tc>
          <w:tcPr>
            <w:tcW w:type="dxa" w:w="17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Objetivo 2024</w:t>
            </w:r>
          </w:p>
        </w:tc>
        <w:tc>
          <w:tcPr>
            <w:tcW w:type="dxa" w:w="2872"/>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Método de cálculo</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Recencia media</w:t>
            </w:r>
          </w:p>
        </w:tc>
        <w:tc>
          <w:tcPr>
            <w:tcW w:type="dxa" w:w="17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168,5 días</w:t>
            </w:r>
          </w:p>
        </w:tc>
        <w:tc>
          <w:tcPr>
            <w:tcW w:type="dxa" w:w="17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&lt; 120 días</w:t>
            </w:r>
          </w:p>
        </w:tc>
        <w:tc>
          <w:tcPr>
            <w:tcW w:type="dxa" w:w="28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Media de días desde última compra</w:t>
            </w:r>
          </w:p>
        </w:tc>
      </w:tr>
      <w:tr>
        <w:tc>
          <w:tcPr>
            <w:tcW w:type="dxa" w:w="28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 Clientes activos últimos 90d</w:t>
            </w:r>
          </w:p>
        </w:tc>
        <w:tc>
          <w:tcPr>
            <w:tcW w:type="dxa" w:w="17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34,1%</w:t>
            </w:r>
          </w:p>
        </w:tc>
        <w:tc>
          <w:tcPr>
            <w:tcW w:type="dxa" w:w="17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&gt; 50%</w:t>
            </w:r>
          </w:p>
        </w:tc>
        <w:tc>
          <w:tcPr>
            <w:tcW w:type="dxa" w:w="28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Clientes con compra en ventana de 90d / total</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Frecuencia media</w:t>
            </w:r>
          </w:p>
        </w:tc>
        <w:tc>
          <w:tcPr>
            <w:tcW w:type="dxa" w:w="17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2,11 pedidos</w:t>
            </w:r>
          </w:p>
        </w:tc>
        <w:tc>
          <w:tcPr>
            <w:tcW w:type="dxa" w:w="17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&gt; 3 pedidos</w:t>
            </w:r>
          </w:p>
        </w:tc>
        <w:tc>
          <w:tcPr>
            <w:tcW w:type="dxa" w:w="28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Total transacciones / clientes únicos</w:t>
            </w:r>
          </w:p>
        </w:tc>
      </w:tr>
      <w:tr>
        <w:tc>
          <w:tcPr>
            <w:tcW w:type="dxa" w:w="28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 Clientes 1 sola compra</w:t>
            </w:r>
          </w:p>
        </w:tc>
        <w:tc>
          <w:tcPr>
            <w:tcW w:type="dxa" w:w="17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56,1%</w:t>
            </w:r>
          </w:p>
        </w:tc>
        <w:tc>
          <w:tcPr>
            <w:tcW w:type="dxa" w:w="17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&lt; 40%</w:t>
            </w:r>
          </w:p>
        </w:tc>
        <w:tc>
          <w:tcPr>
            <w:tcW w:type="dxa" w:w="28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Clientes con frequency=1 / total</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LTV medio</w:t>
            </w:r>
          </w:p>
        </w:tc>
        <w:tc>
          <w:tcPr>
            <w:tcW w:type="dxa" w:w="17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€103,82</w:t>
            </w:r>
          </w:p>
        </w:tc>
        <w:tc>
          <w:tcPr>
            <w:tcW w:type="dxa" w:w="17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&gt; €150</w:t>
            </w:r>
          </w:p>
        </w:tc>
        <w:tc>
          <w:tcPr>
            <w:tcW w:type="dxa" w:w="28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Revenue total / clientes únicos</w:t>
            </w:r>
          </w:p>
        </w:tc>
      </w:tr>
      <w:tr>
        <w:tc>
          <w:tcPr>
            <w:tcW w:type="dxa" w:w="28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left"/>
            </w:pPr>
            <w:r>
              <w:rPr>
                <w:rFonts w:ascii="Arial" w:cs="Arial" w:eastAsia="Arial" w:hAnsi="Arial"/>
                <w:color w:val="333333"/>
                <w:sz w:val="18"/>
                <w:szCs w:val="18"/>
              </w:rPr>
              <w:t xml:space="preserve">Ratio LTV / CAC</w:t>
            </w:r>
          </w:p>
        </w:tc>
        <w:tc>
          <w:tcPr>
            <w:tcW w:type="dxa" w:w="17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1,46x</w:t>
            </w:r>
          </w:p>
        </w:tc>
        <w:tc>
          <w:tcPr>
            <w:tcW w:type="dxa" w:w="1700"/>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&gt; 3,0x</w:t>
            </w:r>
          </w:p>
        </w:tc>
        <w:tc>
          <w:tcPr>
            <w:tcW w:type="dxa" w:w="2872"/>
            <w:tcBorders>
              <w:top w:val="single" w:color="DDDDDD" w:sz="1"/>
              <w:left w:val="single" w:color="DDDDDD" w:sz="1"/>
              <w:bottom w:val="single" w:color="DDDDDD" w:sz="1"/>
              <w:right w:val="single" w:color="DDDDDD" w:sz="1"/>
            </w:tcBorders>
            <w:shd w:fill="F1F5F9" w:val="clear"/>
            <w:tcMar>
              <w:top w:type="dxa" w:w="90"/>
              <w:left w:type="dxa" w:w="120"/>
              <w:bottom w:type="dxa" w:w="90"/>
              <w:right w:type="dxa" w:w="120"/>
            </w:tcMar>
          </w:tcPr>
          <w:p>
            <w:pPr>
              <w:jc w:val="center"/>
            </w:pPr>
            <w:r>
              <w:rPr>
                <w:rFonts w:ascii="Arial" w:cs="Arial" w:eastAsia="Arial" w:hAnsi="Arial"/>
                <w:color w:val="333333"/>
                <w:sz w:val="18"/>
                <w:szCs w:val="18"/>
              </w:rPr>
              <w:t xml:space="preserve">LTV medio / CAC medio</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color w:val="333333"/>
                <w:sz w:val="18"/>
                <w:szCs w:val="18"/>
              </w:rPr>
              <w:t xml:space="preserve">% Clientes inactivos &gt; 6 meses</w:t>
            </w:r>
          </w:p>
        </w:tc>
        <w:tc>
          <w:tcPr>
            <w:tcW w:type="dxa" w:w="17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47,4%</w:t>
            </w:r>
          </w:p>
        </w:tc>
        <w:tc>
          <w:tcPr>
            <w:tcW w:type="dxa" w:w="17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&lt; 30%</w:t>
            </w:r>
          </w:p>
        </w:tc>
        <w:tc>
          <w:tcPr>
            <w:tcW w:type="dxa" w:w="2872"/>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color w:val="333333"/>
                <w:sz w:val="18"/>
                <w:szCs w:val="18"/>
              </w:rPr>
              <w:t xml:space="preserve">Clientes Recency&gt;180 / total</w:t>
            </w:r>
          </w:p>
        </w:tc>
      </w:tr>
    </w:tbl>
    <w:p>
      <w:pPr>
        <w:spacing w:after="0" w:before="160"/>
      </w:pPr>
      <w:r>
        <w:t xml:space="preserve"/>
      </w:r>
    </w:p>
    <w:p>
      <w:pPr>
        <w:pStyle w:val="Heading2"/>
        <w:spacing w:after="100" w:before="280"/>
      </w:pPr>
      <w:r>
        <w:rPr>
          <w:rFonts w:ascii="Arial" w:cs="Arial" w:eastAsia="Arial" w:hAnsi="Arial"/>
          <w:b/>
          <w:bCs/>
          <w:color w:val="1E3A5F"/>
          <w:sz w:val="26"/>
          <w:szCs w:val="26"/>
        </w:rPr>
        <w:t xml:space="preserve">6.2 Próximos pasos técnicos recomendados</w:t>
      </w:r>
    </w:p>
    <w:p>
      <w:pPr>
        <w:spacing w:after="0" w:before="80"/>
      </w:pPr>
      <w:r>
        <w:t xml:space="preserve"/>
      </w:r>
    </w:p>
    <w:p>
      <w:pPr>
        <w:pStyle w:val="ListParagraph"/>
        <w:numPr>
          <w:ilvl w:val="0"/>
          <w:numId w:val="3"/>
        </w:numPr>
        <w:spacing w:after="80" w:before="80"/>
      </w:pPr>
      <w:r>
        <w:rPr>
          <w:rFonts w:ascii="Arial" w:cs="Arial" w:eastAsia="Arial" w:hAnsi="Arial"/>
          <w:b/>
          <w:bCs/>
          <w:color w:val="1E3A5F"/>
          <w:sz w:val="20"/>
          <w:szCs w:val="20"/>
        </w:rPr>
        <w:t xml:space="preserve">Automatizar el pipeline RFM </w:t>
      </w:r>
      <w:r>
        <w:rPr>
          <w:rFonts w:ascii="Arial" w:cs="Arial" w:eastAsia="Arial" w:hAnsi="Arial"/>
          <w:color w:val="444444"/>
          <w:sz w:val="20"/>
          <w:szCs w:val="20"/>
        </w:rPr>
        <w:t xml:space="preserve">— ejecutar el cálculo de segmentos mensualmente con datos actualizados, generando un fichero de salida por segmento listo para los equipos de CRM.</w:t>
      </w:r>
    </w:p>
    <w:p>
      <w:pPr>
        <w:pStyle w:val="ListParagraph"/>
        <w:numPr>
          <w:ilvl w:val="0"/>
          <w:numId w:val="3"/>
        </w:numPr>
        <w:spacing w:after="80" w:before="80"/>
      </w:pPr>
      <w:r>
        <w:rPr>
          <w:rFonts w:ascii="Arial" w:cs="Arial" w:eastAsia="Arial" w:hAnsi="Arial"/>
          <w:b/>
          <w:bCs/>
          <w:color w:val="1E3A5F"/>
          <w:sz w:val="20"/>
          <w:szCs w:val="20"/>
        </w:rPr>
        <w:t xml:space="preserve">Subsegmentar 'Dudosos' </w:t>
      </w:r>
      <w:r>
        <w:rPr>
          <w:rFonts w:ascii="Arial" w:cs="Arial" w:eastAsia="Arial" w:hAnsi="Arial"/>
          <w:color w:val="444444"/>
          <w:sz w:val="20"/>
          <w:szCs w:val="20"/>
        </w:rPr>
        <w:t xml:space="preserve">— con 8.621 clientes y el 58% del revenue, este segmento es demasiado heterogéneo. Filtrar por código RFM para separar los de alto valor (5X5) de los genuinamente inactivos.</w:t>
      </w:r>
    </w:p>
    <w:p>
      <w:pPr>
        <w:pStyle w:val="ListParagraph"/>
        <w:numPr>
          <w:ilvl w:val="0"/>
          <w:numId w:val="3"/>
        </w:numPr>
        <w:spacing w:after="80" w:before="80"/>
      </w:pPr>
      <w:r>
        <w:rPr>
          <w:rFonts w:ascii="Arial" w:cs="Arial" w:eastAsia="Arial" w:hAnsi="Arial"/>
          <w:b/>
          <w:bCs/>
          <w:color w:val="1E3A5F"/>
          <w:sz w:val="20"/>
          <w:szCs w:val="20"/>
        </w:rPr>
        <w:t xml:space="preserve">Añadir variable Precio_Lista </w:t>
      </w:r>
      <w:r>
        <w:rPr>
          <w:rFonts w:ascii="Arial" w:cs="Arial" w:eastAsia="Arial" w:hAnsi="Arial"/>
          <w:color w:val="444444"/>
          <w:sz w:val="20"/>
          <w:szCs w:val="20"/>
        </w:rPr>
        <w:t xml:space="preserve">— el modelo de datos actual no permite auditar descuentos aplicados antes del registro del precio unitario. Imprescindible para análisis de promociones.</w:t>
      </w:r>
    </w:p>
    <w:p>
      <w:pPr>
        <w:pStyle w:val="ListParagraph"/>
        <w:numPr>
          <w:ilvl w:val="0"/>
          <w:numId w:val="3"/>
        </w:numPr>
        <w:spacing w:after="80" w:before="80"/>
      </w:pPr>
      <w:r>
        <w:rPr>
          <w:rFonts w:ascii="Arial" w:cs="Arial" w:eastAsia="Arial" w:hAnsi="Arial"/>
          <w:b/>
          <w:bCs/>
          <w:color w:val="1E3A5F"/>
          <w:sz w:val="20"/>
          <w:szCs w:val="20"/>
        </w:rPr>
        <w:t xml:space="preserve">Incorporar datos de 2022 </w:t>
      </w:r>
      <w:r>
        <w:rPr>
          <w:rFonts w:ascii="Arial" w:cs="Arial" w:eastAsia="Arial" w:hAnsi="Arial"/>
          <w:color w:val="444444"/>
          <w:sz w:val="20"/>
          <w:szCs w:val="20"/>
        </w:rPr>
        <w:t xml:space="preserve">— el análisis actual cubre un único ejercicio. Con datos de 2022 sería posible calcular churn interanual, evolución del LTV y efectividad real de campañas de retención.</w:t>
      </w:r>
    </w:p>
    <w:p>
      <w:pPr>
        <w:pStyle w:val="ListParagraph"/>
        <w:numPr>
          <w:ilvl w:val="0"/>
          <w:numId w:val="3"/>
        </w:numPr>
        <w:spacing w:after="80" w:before="80"/>
      </w:pPr>
      <w:r>
        <w:rPr>
          <w:rFonts w:ascii="Arial" w:cs="Arial" w:eastAsia="Arial" w:hAnsi="Arial"/>
          <w:b/>
          <w:bCs/>
          <w:color w:val="1E3A5F"/>
          <w:sz w:val="20"/>
          <w:szCs w:val="20"/>
        </w:rPr>
        <w:t xml:space="preserve">Análisis de cohortes </w:t>
      </w:r>
      <w:r>
        <w:rPr>
          <w:rFonts w:ascii="Arial" w:cs="Arial" w:eastAsia="Arial" w:hAnsi="Arial"/>
          <w:color w:val="444444"/>
          <w:sz w:val="20"/>
          <w:szCs w:val="20"/>
        </w:rPr>
        <w:t xml:space="preserve">— agrupar clientes por mes de primera compra y analizar su curva de retención. Permite identificar qué canales de captación generan clientes con mayor LTV.</w:t>
      </w:r>
    </w:p>
    <w:p>
      <w:pPr>
        <w:spacing w:after="0" w:before="200"/>
      </w:pPr>
      <w:r>
        <w:t xml:space="preserve"/>
      </w:r>
    </w:p>
    <w:p>
      <w:r>
        <w:br w:type="page"/>
      </w:r>
    </w:p>
    <w:p>
      <w:pPr>
        <w:pStyle w:val="Heading1"/>
        <w:pBdr>
          <w:bottom w:val="single" w:color="2563EB" w:sz="8" w:space="1"/>
        </w:pBdr>
        <w:spacing w:after="160" w:before="360"/>
      </w:pPr>
      <w:r>
        <w:rPr>
          <w:rFonts w:ascii="Arial" w:cs="Arial" w:eastAsia="Arial" w:hAnsi="Arial"/>
          <w:b/>
          <w:bCs/>
          <w:color w:val="1E3A5F"/>
          <w:sz w:val="36"/>
          <w:szCs w:val="36"/>
        </w:rPr>
        <w:t xml:space="preserve">7. Conclusiones</w:t>
      </w:r>
    </w:p>
    <w:p>
      <w:pPr>
        <w:spacing w:after="80" w:before="80"/>
        <w:jc w:val="left"/>
      </w:pPr>
      <w:r>
        <w:rPr>
          <w:rFonts w:ascii="Arial" w:cs="Arial" w:eastAsia="Arial" w:hAnsi="Arial"/>
          <w:b w:val="false"/>
          <w:bCs w:val="false"/>
          <w:color w:val="333333"/>
          <w:sz w:val="20"/>
          <w:szCs w:val="20"/>
        </w:rPr>
        <w:t xml:space="preserve">El análisis Customer Analytics 2023 revela un negocio con márgenes sanos (30,1%) y datos bien estructurados, pero con un problema crítico de retención que limita el crecimiento del valor del cliente. Los tres mensajes clave para Dirección General son:</w:t>
      </w:r>
    </w:p>
    <w:p>
      <w:pPr>
        <w:spacing w:after="0" w:before="100"/>
      </w:pPr>
      <w:r>
        <w:t xml:space="preserve"/>
      </w:r>
    </w:p>
    <w:p>
      <w:pPr>
        <w:pStyle w:val="ListParagraph"/>
        <w:numPr>
          <w:ilvl w:val="0"/>
          <w:numId w:val="2"/>
        </w:numPr>
        <w:spacing w:after="60" w:before="60"/>
      </w:pPr>
      <w:r>
        <w:rPr>
          <w:rFonts w:ascii="Arial" w:cs="Arial" w:eastAsia="Arial" w:hAnsi="Arial"/>
          <w:color w:val="444444"/>
          <w:sz w:val="20"/>
          <w:szCs w:val="20"/>
        </w:rPr>
        <w:t xml:space="preserve">El problema no es la captación, es la retención. Con el 56,1% de clientes comprando una sola vez y una recencia media de 168 días, el negocio está en un ciclo de adquisición constante que eleva el CAC sin recuperar la inversión. El objetivo estratégico debe ser subir el LTV/CAC de 1,46x a 3x.</w:t>
      </w:r>
    </w:p>
    <w:p>
      <w:pPr>
        <w:pStyle w:val="ListParagraph"/>
        <w:numPr>
          <w:ilvl w:val="0"/>
          <w:numId w:val="2"/>
        </w:numPr>
        <w:spacing w:after="60" w:before="60"/>
      </w:pPr>
      <w:r>
        <w:rPr>
          <w:rFonts w:ascii="Arial" w:cs="Arial" w:eastAsia="Arial" w:hAnsi="Arial"/>
          <w:color w:val="444444"/>
          <w:sz w:val="20"/>
          <w:szCs w:val="20"/>
        </w:rPr>
        <w:t xml:space="preserve">Los Grandes Gastadores y los Dudosos de alto valor son el activo más infrautilizado. 1.409 clientes con ticket medio de €254 necesitan engagement activo para no migrar a la competencia. Un programa de fidelización dedicado a este perfil tiene el mayor ROI potencial de toda la base.</w:t>
      </w:r>
    </w:p>
    <w:p>
      <w:pPr>
        <w:pStyle w:val="ListParagraph"/>
        <w:numPr>
          <w:ilvl w:val="0"/>
          <w:numId w:val="2"/>
        </w:numPr>
        <w:spacing w:after="60" w:before="60"/>
      </w:pPr>
      <w:r>
        <w:rPr>
          <w:rFonts w:ascii="Arial" w:cs="Arial" w:eastAsia="Arial" w:hAnsi="Arial"/>
          <w:color w:val="444444"/>
          <w:sz w:val="20"/>
          <w:szCs w:val="20"/>
        </w:rPr>
        <w:t xml:space="preserve">El análisis RFM es el punto de partida, no el destino. Los segmentos definidos en este informe permiten actuar ya, pero el valor real llegará cuando el pipeline se automatice, se conecte al CRM y se mida la respuesta a cada campaña para iterar los criterios de corte.</w:t>
      </w:r>
    </w:p>
    <w:p>
      <w:pPr>
        <w:spacing w:after="0" w:before="20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r>
              <w:rPr>
                <w:rFonts w:ascii="Arial" w:cs="Arial" w:eastAsia="Arial" w:hAnsi="Arial"/>
                <w:b/>
                <w:bCs/>
                <w:color w:val="1E3A5F"/>
                <w:sz w:val="22"/>
                <w:szCs w:val="22"/>
              </w:rPr>
              <w:t xml:space="preserve">Resumen de acciones aprobables hoy</w:t>
            </w:r>
          </w:p>
          <w:p>
            <w:pPr>
              <w:spacing w:before="60"/>
            </w:pPr>
            <w:r>
              <w:rPr>
                <w:rFonts w:ascii="Arial" w:cs="Arial" w:eastAsia="Arial" w:hAnsi="Arial"/>
                <w:color w:val="333333"/>
                <w:sz w:val="18"/>
                <w:szCs w:val="18"/>
              </w:rPr>
              <w:t xml:space="preserve">1. Campaña de reactivación — En Riesgo + Dudosos inactivos (14.572 clientes). Inversión estimada: €10K–20K en comunicación.</w:t>
            </w:r>
          </w:p>
          <w:p>
            <w:pPr>
              <w:spacing w:before="60"/>
            </w:pPr>
            <w:r>
              <w:rPr>
                <w:rFonts w:ascii="Arial" w:cs="Arial" w:eastAsia="Arial" w:hAnsi="Arial"/>
                <w:color w:val="333333"/>
                <w:sz w:val="18"/>
                <w:szCs w:val="18"/>
              </w:rPr>
              <w:t xml:space="preserve">2. Flujo automático post-compra — email de segundo pedido para todos los Clientes Recientes. Coste: configuración de CRM.</w:t>
            </w:r>
          </w:p>
          <w:p>
            <w:pPr>
              <w:spacing w:before="60"/>
            </w:pPr>
            <w:r>
              <w:rPr>
                <w:rFonts w:ascii="Arial" w:cs="Arial" w:eastAsia="Arial" w:hAnsi="Arial"/>
                <w:color w:val="333333"/>
                <w:sz w:val="18"/>
                <w:szCs w:val="18"/>
              </w:rPr>
              <w:t xml:space="preserve">3. Programa upselling — Grandes Gastadores (1.409 clientes). Revenue incremental estimado: +€53.847 con +15% ticket.</w:t>
            </w:r>
          </w:p>
          <w:p>
            <w:pPr>
              <w:spacing w:before="60"/>
            </w:pPr>
            <w:r>
              <w:rPr>
                <w:rFonts w:ascii="Arial" w:cs="Arial" w:eastAsia="Arial" w:hAnsi="Arial"/>
                <w:color w:val="333333"/>
                <w:sz w:val="18"/>
                <w:szCs w:val="18"/>
              </w:rPr>
              <w:t xml:space="preserve">4. Revisión modelo de datos — añadir Precio_Lista para habilitar auditoría completa de descuentos y promociones.</w:t>
            </w:r>
          </w:p>
        </w:tc>
      </w:tr>
    </w:tbl>
    <w:p>
      <w:pPr>
        <w:spacing w:after="0" w:before="300"/>
      </w:pPr>
      <w:r>
        <w:t xml:space="preserve"/>
      </w:r>
    </w:p>
    <w:p>
      <w:pPr>
        <w:jc w:val="center"/>
      </w:pPr>
      <w:r>
        <w:rPr>
          <w:rFonts w:ascii="Arial" w:cs="Arial" w:eastAsia="Arial" w:hAnsi="Arial"/>
          <w:i/>
          <w:iCs/>
          <w:color w:val="475569"/>
          <w:sz w:val="18"/>
          <w:szCs w:val="18"/>
        </w:rPr>
        <w:t xml:space="preserve">— Fin del Informe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72"/>
      </w:tabs>
      <w:spacing w:before="100"/>
    </w:pPr>
    <w:r>
      <w:rPr>
        <w:rFonts w:ascii="Arial" w:cs="Arial" w:eastAsia="Arial" w:hAnsi="Arial"/>
        <w:color w:val="475569"/>
        <w:sz w:val="16"/>
        <w:szCs w:val="16"/>
      </w:rPr>
      <w:t xml:space="preserve">EDA + Análisis RFM — Dirección General</w:t>
    </w:r>
    <w:r>
      <w:rPr>
        <w:rFonts w:ascii="Arial" w:cs="Arial" w:eastAsia="Arial" w:hAnsi="Arial"/>
        <w:color w:val="475569"/>
        <w:sz w:val="16"/>
        <w:szCs w:val="16"/>
      </w:rPr>
      <w:t xml:space="preserve">	Análisis de Datos · 2023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tabs>
        <w:tab w:val="right" w:pos="9072"/>
      </w:tabs>
      <w:spacing w:after="120"/>
    </w:pPr>
    <w:r>
      <w:rPr>
        <w:rFonts w:ascii="Arial" w:cs="Arial" w:eastAsia="Arial" w:hAnsi="Arial"/>
        <w:color w:val="475569"/>
        <w:sz w:val="16"/>
        <w:szCs w:val="16"/>
      </w:rPr>
      <w:t xml:space="preserve">Customer Analytics — Análisis Integral de Clientes 2023</w:t>
    </w:r>
    <w:r>
      <w:rPr>
        <w:rFonts w:ascii="Arial" w:cs="Arial" w:eastAsia="Arial" w:hAnsi="Arial"/>
        <w:b/>
        <w:bCs/>
        <w:color w:val="DC2626"/>
        <w:sz w:val="16"/>
        <w:szCs w:val="16"/>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2026-04-21T07:05:36.856Z</dcterms:created>
  <dcterms:modified xsi:type="dcterms:W3CDTF">2026-04-21T07:05:36.857Z</dcterms:modified>
</cp:coreProperties>
</file>

<file path=docProps/custom.xml><?xml version="1.0" encoding="utf-8"?>
<Properties xmlns="http://schemas.openxmlformats.org/officeDocument/2006/custom-properties" xmlns:vt="http://schemas.openxmlformats.org/officeDocument/2006/docPropsVTypes"/>
</file>