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spacing w:after="120" w:before="240" w:lineRule="auto"/>
        <w:ind w:left="0" w:firstLine="0"/>
        <w:rPr/>
      </w:pPr>
      <w:r w:rsidDel="00000000" w:rsidR="00000000" w:rsidRPr="00000000">
        <w:rPr>
          <w:rtl w:val="0"/>
        </w:rPr>
        <w:t xml:space="preserve">TimeLens: verified review and revised implementation specification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Reviewed October 3, 2026. Source: the complete 19-page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TimeLens Hackathon Build Spec.pdf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initially in Downloads and now in Documents. This review separates observations, design recommendations, and experiments still required. No clinical model performance has been established.</w:t>
      </w:r>
    </w:p>
    <w:p w:rsidR="00000000" w:rsidDel="00000000" w:rsidP="00000000" w:rsidRDefault="00000000" w:rsidRPr="00000000" w14:paraId="00000003">
      <w:pPr>
        <w:pStyle w:val="Heading2"/>
        <w:numPr>
          <w:ilvl w:val="1"/>
          <w:numId w:val="1"/>
        </w:numPr>
        <w:ind w:left="0" w:firstLine="0"/>
        <w:rPr/>
      </w:pPr>
      <w:r w:rsidDel="00000000" w:rsidR="00000000" w:rsidRPr="00000000">
        <w:rPr>
          <w:rtl w:val="0"/>
        </w:rPr>
        <w:t xml:space="preserve">Recommendation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Proceed with a narrow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pleural-effusion comparison and report-discrepancy research prototype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Its useful output is a reviewable account of what appears in each image, what changed, which report claims actually conflict, and what could not be assessed. The proposed workflow is technically plausible, but the original specification is not yet safe to implement literally.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most consequential correction is report timing. A report about the prior examination cannot contradict a finding that first appears on the current examination. Distinguish two workflows:</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Comparison assistance: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prior image + current image + optional prior report. Assess the images blind, then check the prior report against the PRIOR image. Produce an interval-change summary. No current-report discrepancy can be claimed without a current report.</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Draft-report audit: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those inputs plus a CURRENT draft report. Compare the draft's current and interval claims against the blind image results before human finalization.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workflow 1 as the primary input flow the user described; workflow 2 is the stronger discrepancy-demo extension. Do not conflate them.</w:t>
      </w:r>
    </w:p>
    <w:p w:rsidR="00000000" w:rsidDel="00000000" w:rsidP="00000000" w:rsidRDefault="00000000" w:rsidRPr="00000000" w14:paraId="00000009">
      <w:pPr>
        <w:pStyle w:val="Heading2"/>
        <w:numPr>
          <w:ilvl w:val="1"/>
          <w:numId w:val="1"/>
        </w:numPr>
        <w:ind w:left="0" w:firstLine="0"/>
        <w:rPr/>
      </w:pPr>
      <w:r w:rsidDel="00000000" w:rsidR="00000000" w:rsidRPr="00000000">
        <w:rPr>
          <w:rtl w:val="0"/>
        </w:rPr>
        <w:t xml:space="preserve">Verified competition fit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hyperlink r:id="rId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2026 overview</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names Track 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AI for Clinical Diagnostics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asking for medical-image analysis, abnormality detection, and understandable diagnostic reasoning. It separately lists Best Use of OpenSwarm. This project fits the stated remit through paired images, a specific finding, visible evidence, and reviewable outputs. The published judging criteria remain TBA; no scoring weights or guarantee of dual-award eligibility were found.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overview displays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October 4, 2026, 10:00 AM PDT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 the submission deadline. The </w:t>
      </w:r>
      <w:hyperlink r:id="rId8">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rules</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list event activity through 2:30 PM that day and in-person Sunday pitching. Plan submission by 10:00 AM; the later event end is not a submission extension. The spec's 12-hour build plus sleep plus 4–5 final hours does not fit comfortably within the remaining overnight window.</w:t>
      </w:r>
    </w:p>
    <w:p w:rsidR="00000000" w:rsidDel="00000000" w:rsidP="00000000" w:rsidRDefault="00000000" w:rsidRPr="00000000" w14:paraId="0000000C">
      <w:pPr>
        <w:pStyle w:val="Heading2"/>
        <w:numPr>
          <w:ilvl w:val="1"/>
          <w:numId w:val="1"/>
        </w:numPr>
        <w:ind w:left="0" w:firstLine="0"/>
        <w:rPr/>
      </w:pPr>
      <w:r w:rsidDel="00000000" w:rsidR="00000000" w:rsidRPr="00000000">
        <w:rPr>
          <w:rtl w:val="0"/>
        </w:rPr>
        <w:t xml:space="preserve">Clinical use case and limits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resident reviews a follow-up chest radiograph. TimeLens supplies a blind, structured second look for pleural effusion and compares that result with study-specific text. The clinician sees the images, evidence, limitations, and any discrepancies together. Potential benefits are fewer omitted comparisons, fewer copied-forward report errors, and shorter discrepancy review. These remain hypotheses until reader and model evaluations support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Illustrative case, not an observed patient: the prior image has no apparent effusion and the new image has possible right pleural fluid. A prior report saying no effusion is compatible with that change. A current draft saying no effusion potentially conflicts. If an effusion appears in both images but the prior report denied it, flag a possible prior-report discrepancy and say present on both; do not label it new merely because the old report omitted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hyperlink r:id="rId9">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radiology error review</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supports the named prior-examination and satisfaction-of-report error mechanisms. Its cited apical-lesion example concerns CT and cancer; it motivates the general workflow, not evidence that this effusion system works. Avoid the unsourced superlative that this is the universally most accepted taxonomy. A study of model anchoring does not establish reduced anchoring in clinicians.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endpoint: presence transition for pleural effusion, with explicit uncertainty. This cannot determine etiology, recommend treatment, quantify fluid volume, exclude all disease, or infer stability of severity when fluid is present in both films. Adult-only use should be an explicit cohort constraint if chosen; the raw NIH audit was not age-filtered.</w:t>
      </w:r>
    </w:p>
    <w:p w:rsidR="00000000" w:rsidDel="00000000" w:rsidP="00000000" w:rsidRDefault="00000000" w:rsidRPr="00000000" w14:paraId="00000011">
      <w:pPr>
        <w:pStyle w:val="Heading2"/>
        <w:numPr>
          <w:ilvl w:val="1"/>
          <w:numId w:val="1"/>
        </w:numPr>
        <w:ind w:left="0" w:firstLine="0"/>
        <w:rPr/>
      </w:pPr>
      <w:r w:rsidDel="00000000" w:rsidR="00000000" w:rsidRPr="00000000">
        <w:rPr>
          <w:rtl w:val="0"/>
        </w:rPr>
        <w:t xml:space="preserve">Review of the original specification</w:t>
      </w:r>
    </w:p>
    <w:tbl>
      <w:tblPr>
        <w:tblStyle w:val="Table1"/>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Original section/pages</w:t>
            </w:r>
          </w:p>
        </w:tc>
        <w:tc>
          <w:tcPr>
            <w:tcBorders>
              <w:top w:color="000000" w:space="0" w:sz="4" w:val="single"/>
              <w:bottom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Keep</w:t>
            </w:r>
          </w:p>
        </w:tc>
        <w:tc>
          <w:tcPr>
            <w:tcBorders>
              <w:top w:color="000000" w:space="0" w:sz="4" w:val="single"/>
              <w:bottom w:color="000000"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Required correction or validation</w:t>
            </w:r>
          </w:p>
        </w:tc>
      </w:tr>
      <w:tr>
        <w:trPr>
          <w:cantSplit w:val="0"/>
          <w:tblHeader w:val="0"/>
        </w:trPr>
        <w:tc>
          <w:tcPr>
            <w:tcBorders>
              <w:bottom w:color="000000"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Scope, 1–2</w:t>
            </w:r>
          </w:p>
        </w:tc>
        <w:tc>
          <w:tcPr>
            <w:tcBorders>
              <w:bottom w:color="000000" w:space="0" w:sz="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Chest images and one finding; avoid an overnight domain switch</w:t>
            </w:r>
          </w:p>
        </w:tc>
        <w:tc>
          <w:tcPr>
            <w:tcBorders>
              <w:bottom w:color="000000"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prior versus current report. Replace binary mandatory findings with uncertain/not-assessable states.</w:t>
            </w:r>
          </w:p>
        </w:tc>
      </w:tr>
      <w:tr>
        <w:trPr>
          <w:cantSplit w:val="0"/>
          <w:tblHeader w:val="0"/>
        </w:trPr>
        <w:tc>
          <w:tcPr>
            <w:tcBorders>
              <w:bottom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Positioning, 2–3</w:t>
            </w:r>
          </w:p>
        </w:tc>
        <w:tc>
          <w:tcPr>
            <w:tcBorders>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Blind initial read and review aid</w:t>
            </w:r>
          </w:p>
        </w:tc>
        <w:tc>
          <w:tcPr>
            <w:tcBorders>
              <w:bottom w:color="000000"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claim of clinical benefit or improved accuracy without evaluation. Ground clinical claims in the cited review.</w:t>
            </w:r>
          </w:p>
        </w:tc>
      </w:tr>
      <w:tr>
        <w:trPr>
          <w:cantSplit w:val="0"/>
          <w:tblHeader w:val="0"/>
        </w:trPr>
        <w:tc>
          <w:tcPr>
            <w:tcBorders>
              <w:bottom w:color="000000"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Four labels, 1–4</w:t>
            </w:r>
          </w:p>
        </w:tc>
        <w:tc>
          <w:tcPr>
            <w:tcBorders>
              <w:bottom w:color="000000"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New/resolved/present at both/absent at both</w:t>
            </w:r>
          </w:p>
        </w:tc>
        <w:tc>
          <w:tcPr>
            <w:tcBorders>
              <w:bottom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Rename persistent to present_both or explain it carefully. It does not mean stable or unchanged severity.</w:t>
            </w:r>
          </w:p>
        </w:tc>
      </w:tr>
      <w:tr>
        <w:trPr>
          <w:cantSplit w:val="0"/>
          <w:tblHeader w:val="0"/>
        </w:trPr>
        <w:tc>
          <w:tcPr>
            <w:tcBorders>
              <w:bottom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Worklist, 3, 6, 9</w:t>
            </w:r>
          </w:p>
        </w:tc>
        <w:tc>
          <w:tcPr>
            <w:tcBorders>
              <w:bottom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Trace, images, human decisions</w:t>
            </w:r>
          </w:p>
        </w:tc>
        <w:tc>
          <w:tcPr>
            <w:tcBorders>
              <w:bottom w:color="000000"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Queued/running/draft cases must appear before sign-off; otherwise the reviewer cannot find cases needing approval. Separate processing status, evidence status, and review state.</w:t>
            </w:r>
          </w:p>
        </w:tc>
      </w:tr>
      <w:tr>
        <w:trPr>
          <w:cantSplit w:val="0"/>
          <w:tblHeader w:val="0"/>
        </w:trPr>
        <w:tc>
          <w:tcPr>
            <w:tcBorders>
              <w:bottom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NIH plan, 4–5</w:t>
            </w:r>
          </w:p>
        </w:tc>
        <w:tc>
          <w:tcPr>
            <w:tcBorders>
              <w:bottom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Feasible immediate public source</w:t>
            </w:r>
          </w:p>
        </w:tc>
        <w:tc>
          <w:tcPr>
            <w:tcBorders>
              <w:bottom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Weak labels are reference labels, not truth. No source reports or dates. Audit actual CSV and pairing policy.</w:t>
            </w:r>
          </w:p>
        </w:tc>
      </w:tr>
      <w:tr>
        <w:trPr>
          <w:cantSplit w:val="0"/>
          <w:tblHeader w:val="0"/>
        </w:trPr>
        <w:tc>
          <w:tcPr>
            <w:tcBorders>
              <w:bottom w:color="000000" w:space="0" w:sz="4"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ReXGradient, 4–5</w:t>
            </w:r>
          </w:p>
        </w:tc>
        <w:tc>
          <w:tcPr>
            <w:tcBorders>
              <w:bottom w:color="000000"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Potential later source of reports</w:t>
            </w:r>
          </w:p>
        </w:tc>
        <w:tc>
          <w:tcPr>
            <w:tcBorders>
              <w:bottom w:color="000000"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Gated access and third-party restrictions. Paid API is not permission. Remove from critical path.</w:t>
            </w:r>
          </w:p>
        </w:tc>
      </w:tr>
      <w:tr>
        <w:trPr>
          <w:cantSplit w:val="0"/>
          <w:tblHeader w:val="0"/>
        </w:trPr>
        <w:tc>
          <w:tcPr>
            <w:tcBorders>
              <w:bottom w:color="000000" w:space="0" w:sz="4"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Stony Brook/COVID, 4–5</w:t>
            </w:r>
          </w:p>
        </w:tc>
        <w:tc>
          <w:tcPr>
            <w:tcBorders>
              <w:bottom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Optional backup sources</w:t>
            </w:r>
          </w:p>
        </w:tc>
        <w:tc>
          <w:tcPr>
            <w:tcBorders>
              <w:bottom w:color="000000"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Verify exact image licensing, projection, chronology, and clinical annotations before use. Public availability alone is insufficient.</w:t>
            </w:r>
          </w:p>
        </w:tc>
      </w:tr>
      <w:tr>
        <w:trPr>
          <w:cantSplit w:val="0"/>
          <w:tblHeader w:val="0"/>
        </w:trPr>
        <w:tc>
          <w:tcPr>
            <w:tcBorders>
              <w:bottom w:color="000000"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Permissions, 6–8</w:t>
            </w:r>
          </w:p>
        </w:tc>
        <w:tc>
          <w:tcPr>
            <w:tcBorders>
              <w:bottom w:color="000000" w:space="0" w:sz="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Enforce evidence separation</w:t>
            </w:r>
          </w:p>
        </w:tc>
        <w:tc>
          <w:tcPr>
            <w:tcBorders>
              <w:bottom w:color="000000" w:space="0" w:sz="4"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Denying get_report is insufficient if filesystem, shell, browser, session-reading tools or shared memory remain accessible. Enforce capabilities on the server.</w:t>
            </w:r>
          </w:p>
        </w:tc>
      </w:tr>
      <w:tr>
        <w:trPr>
          <w:cantSplit w:val="0"/>
          <w:tblHeader w:val="0"/>
        </w:trPr>
        <w:tc>
          <w:tcPr>
            <w:tcBorders>
              <w:bottom w:color="000000"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Four agents, 6–8</w:t>
            </w:r>
          </w:p>
        </w:tc>
        <w:tc>
          <w:tcPr>
            <w:tcBorders>
              <w:bottom w:color="000000" w:space="0" w:sz="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Independent image/text work, conditional investigation</w:t>
            </w:r>
          </w:p>
        </w:tc>
        <w:tc>
          <w:tcPr>
            <w:tcBorders>
              <w:bottom w:color="000000"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three AI roles and a HUMAN reviewer. Sign-off is not a fourth medical opinion. Deterministic scheduling may be better than an agent.</w:t>
            </w:r>
          </w:p>
        </w:tc>
      </w:tr>
      <w:tr>
        <w:trPr>
          <w:cantSplit w:val="0"/>
          <w:tblHeader w:val="0"/>
        </w:trPr>
        <w:tc>
          <w:tcPr>
            <w:tcBorders>
              <w:bottom w:color="000000"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Slot swap, 8, 13</w:t>
            </w:r>
          </w:p>
        </w:tc>
        <w:tc>
          <w:tcPr>
            <w:tcBorders>
              <w:bottom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Useful robustness probe</w:t>
            </w:r>
          </w:p>
        </w:tc>
        <w:tc>
          <w:tcPr>
            <w:tcBorders>
              <w:bottom w:color="000000"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Swap presentation slots while preserving prior/current IDs. Do not confuse this with reversing time. Agreement is not correctness or confidence.</w:t>
            </w:r>
          </w:p>
        </w:tc>
      </w:tr>
      <w:tr>
        <w:trPr>
          <w:cantSplit w:val="0"/>
          <w:tblHeader w:val="0"/>
        </w:trPr>
        <w:tc>
          <w:tcPr>
            <w:tcBorders>
              <w:bottom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Reassessment, 8, 13</w:t>
            </w:r>
          </w:p>
        </w:tc>
        <w:tc>
          <w:tcPr>
            <w:tcBorders>
              <w:bottom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 most one bounded additional assessment</w:t>
            </w:r>
          </w:p>
        </w:tc>
        <w:tc>
          <w:tcPr>
            <w:tcBorders>
              <w:bottom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Preserve both original outputs. Never silently replace a disagreement with agreement after an unblinded read. Count additional latency/cost.</w:t>
            </w:r>
          </w:p>
        </w:tc>
      </w:tr>
      <w:tr>
        <w:trPr>
          <w:cantSplit w:val="0"/>
          <w:tblHeader w:val="0"/>
        </w:trPr>
        <w:tc>
          <w:tcPr>
            <w:tcBorders>
              <w:bottom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Viewer, 9</w:t>
            </w:r>
          </w:p>
        </w:tc>
        <w:tc>
          <w:tcPr>
            <w:tcBorders>
              <w:bottom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Side-by-side images, trace, override reason</w:t>
            </w:r>
          </w:p>
        </w:tc>
        <w:tc>
          <w:tcPr>
            <w:tcBorders>
              <w:bottom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 not mirror anatomy. Flicker/swipe can mislead without alignment. Explain geometry differences; no invented heatmaps/boxes.</w:t>
            </w:r>
          </w:p>
        </w:tc>
      </w:tr>
      <w:tr>
        <w:trPr>
          <w:cantSplit w:val="0"/>
          <w:tblHeader w:val="0"/>
        </w:trPr>
        <w:tc>
          <w:tcPr>
            <w:tcBorders>
              <w:bottom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Stack, 10–11</w:t>
            </w:r>
          </w:p>
        </w:tc>
        <w:tc>
          <w:tcPr>
            <w:tcBorders>
              <w:bottom w:color="000000"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One core package, SQLite, FastAPI, React</w:t>
            </w:r>
          </w:p>
        </w:tc>
        <w:tc>
          <w:tcPr>
            <w:tcBorders>
              <w:bottom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Separate app runtime from OpenSwarm's bundled Python. Keep data outside shared agent working directories. Single writer, transactions, idempotency, and case/run IDs.</w:t>
            </w:r>
          </w:p>
        </w:tc>
      </w:tr>
      <w:tr>
        <w:trPr>
          <w:cantSplit w:val="0"/>
          <w:tblHeader w:val="0"/>
        </w:trPr>
        <w:tc>
          <w:tcPr>
            <w:tcBorders>
              <w:bottom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Model, 10</w:t>
            </w:r>
          </w:p>
        </w:tc>
        <w:tc>
          <w:tcPr>
            <w:tcBorders>
              <w:bottom w:color="000000"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API adapter and explicit model ID</w:t>
            </w:r>
          </w:p>
        </w:tc>
        <w:tc>
          <w:tcPr>
            <w:tcBorders>
              <w:bottom w:color="000000"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Official docs list gemini-3.8-flash; account access and two-image JSON response remain untested. The API is not a validated effusion detector.</w:t>
            </w:r>
          </w:p>
        </w:tc>
      </w:tr>
      <w:tr>
        <w:trPr>
          <w:cantSplit w:val="0"/>
          <w:tblHeader w:val="0"/>
        </w:trPr>
        <w:tc>
          <w:tcPr>
            <w:tcBorders>
              <w:bottom w:color="000000"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MedGemma, 10, 18</w:t>
            </w:r>
          </w:p>
        </w:tc>
        <w:tc>
          <w:tcPr>
            <w:tcBorders>
              <w:bottom w:color="000000" w:space="0" w:sz="4"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Optional second model</w:t>
            </w:r>
          </w:p>
        </w:tc>
        <w:tc>
          <w:tcPr>
            <w:tcBorders>
              <w:bottom w:color="000000"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MedGemma itself is not Apple-only; the selected MLX implementation is. This laptop has Intel graphics and about 16 GB RAM; local latency is unmeasured.</w:t>
            </w:r>
          </w:p>
        </w:tc>
      </w:tr>
      <w:tr>
        <w:trPr>
          <w:cantSplit w:val="0"/>
          <w:tblHeader w:val="0"/>
        </w:trPr>
        <w:tc>
          <w:tcPr>
            <w:tcBorders>
              <w:bottom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JSON, 12–13</w:t>
            </w:r>
          </w:p>
        </w:tc>
        <w:tc>
          <w:tcPr>
            <w:tcBorders>
              <w:bottom w:color="000000"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Typed contracts and source evidence</w:t>
            </w:r>
          </w:p>
        </w:tc>
        <w:tc>
          <w:tcPr>
            <w:tcBorders>
              <w:bottom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study/time scope, uncertain values, exact text offsets, provenance, schema version, and immutable reads. Remove model-accessible truth fields and arbitrary label strings.</w:t>
            </w:r>
          </w:p>
        </w:tc>
      </w:tr>
      <w:tr>
        <w:trPr>
          <w:cantSplit w:val="0"/>
          <w:tblHeader w:val="0"/>
        </w:trPr>
        <w:tc>
          <w:tcPr>
            <w:tcBorders>
              <w:bottom w:color="000000"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logic, 13</w:t>
            </w:r>
          </w:p>
        </w:tc>
        <w:tc>
          <w:tcPr>
            <w:tcBorders>
              <w:bottom w:color="000000"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Deterministic rule evaluation</w:t>
            </w:r>
          </w:p>
        </w:tc>
        <w:tc>
          <w:tcPr>
            <w:tcBorders>
              <w:bottom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Missing/irrelevant text is not agreement; generic no-change is not explicit effusion denial; hedged claims must remain uncertain.</w:t>
            </w:r>
          </w:p>
        </w:tc>
      </w:tr>
      <w:tr>
        <w:trPr>
          <w:cantSplit w:val="0"/>
          <w:tblHeader w:val="0"/>
        </w:trPr>
        <w:tc>
          <w:tcPr>
            <w:tcBorders>
              <w:bottom w:color="000000"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Evaluation, 13–14</w:t>
            </w:r>
          </w:p>
        </w:tc>
        <w:tc>
          <w:tcPr>
            <w:tcBorders>
              <w:bottom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Strong baseline, patient split, falsifiable hypothesis</w:t>
            </w:r>
          </w:p>
        </w:tc>
        <w:tc>
          <w:tcPr>
            <w:tcBorders>
              <w:bottom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the same staged pipeline without agents and a call-budget-matched baseline. Use paired anchoring variants and actual confidence intervals.</w:t>
            </w:r>
          </w:p>
        </w:tc>
      </w:tr>
      <w:tr>
        <w:trPr>
          <w:cantSplit w:val="0"/>
          <w:tblHeader w:val="0"/>
        </w:trPr>
        <w:tc>
          <w:tcPr>
            <w:tcBorders>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AP/PA control, 13–16</w:t>
            </w:r>
          </w:p>
        </w:tc>
        <w:tc>
          <w:tcPr>
            <w:tcBorders>
              <w:bottom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Detect view mismatch</w:t>
            </w:r>
          </w:p>
        </w:tc>
        <w:tc>
          <w:tcPr>
            <w:tcBorders>
              <w:bottom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Treat as limited or outside MVP scope, not universal clinical impossibility. A policy refusal is not demonstrated correct clinical abstention.</w:t>
            </w:r>
          </w:p>
        </w:tc>
      </w:tr>
      <w:tr>
        <w:trPr>
          <w:cantSplit w:val="0"/>
          <w:tblHeader w:val="0"/>
        </w:trPr>
        <w:tc>
          <w:tcPr>
            <w:tcBorders>
              <w:bottom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Near-duplicates, 13–14</w:t>
            </w:r>
          </w:p>
        </w:tc>
        <w:tc>
          <w:tcPr>
            <w:tcBorders>
              <w:bottom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Robustness controls</w:t>
            </w:r>
          </w:p>
        </w:tc>
        <w:tc>
          <w:tcPr>
            <w:tcBorders>
              <w:bottom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Mild cropping can remove costophrenic angles; verify anatomy remains visible or expect abstention. Source image and variants must stay in one split.</w:t>
            </w:r>
          </w:p>
        </w:tc>
      </w:tr>
      <w:tr>
        <w:trPr>
          <w:cantSplit w:val="0"/>
          <w:tblHeader w:val="0"/>
        </w:trPr>
        <w:tc>
          <w:tcPr>
            <w:tcBorders>
              <w:bottom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Build/demo, 15–18</w:t>
            </w:r>
          </w:p>
        </w:tc>
        <w:tc>
          <w:tcPr>
            <w:tcBorders>
              <w:bottom w:color="000000"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Replay label, bounded fallback</w:t>
            </w:r>
          </w:p>
        </w:tc>
        <w:tc>
          <w:tcPr>
            <w:tcBorders>
              <w:bottom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Reduce scope to two pages and one live case. A successful cached demo does not validate accuracy. Record errors without rewriting results.</w:t>
            </w:r>
          </w:p>
        </w:tc>
      </w:tr>
      <w:tr>
        <w:trPr>
          <w:cantSplit w:val="0"/>
          <w:tblHeader w:val="0"/>
        </w:trPr>
        <w:tc>
          <w:tcPr>
            <w:tcBorders>
              <w:bottom w:color="000000"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Sources, 18–19</w:t>
            </w:r>
          </w:p>
        </w:tc>
        <w:tc>
          <w:tcPr>
            <w:tcBorders>
              <w:bottom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Most core sources exist</w:t>
            </w:r>
          </w:p>
        </w:tc>
        <w:tc>
          <w:tcPr>
            <w:tcBorders>
              <w:bottom w:color="00000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the 2026 event and installed OpenSwarm interfaces. Track every unverified capability rather than assuming README parity.</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numPr>
          <w:ilvl w:val="1"/>
          <w:numId w:val="1"/>
        </w:numPr>
        <w:ind w:left="0" w:firstLine="0"/>
        <w:rPr/>
      </w:pPr>
      <w:r w:rsidDel="00000000" w:rsidR="00000000" w:rsidRPr="00000000">
        <w:rPr>
          <w:rtl w:val="0"/>
        </w:rPr>
        <w:t xml:space="preserve">Actual NIH data validation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Downloaded </w:t>
      </w:r>
      <w:hyperlink r:id="rId10">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Data_Entry_2017_v2020.csv from NIH's Box repository</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then ran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audit_nih.py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File SHA-256: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c69a6daca3549af707ca9cacbdf9f9a7b6a9188e8c61157df653520bb72d8eb1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bl>
      <w:tblPr>
        <w:tblStyle w:val="Table2"/>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Check</w:t>
            </w:r>
          </w:p>
        </w:tc>
        <w:tc>
          <w:tcPr>
            <w:tcBorders>
              <w:top w:color="000000" w:space="0" w:sz="4" w:val="single"/>
              <w:bottom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Observed result</w:t>
            </w:r>
          </w:p>
        </w:tc>
      </w:tr>
      <w:tr>
        <w:trPr>
          <w:cantSplit w:val="0"/>
          <w:tblHeader w:val="0"/>
        </w:trPr>
        <w:tc>
          <w:tcPr>
            <w:tcBorders>
              <w:bottom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Image rows</w:t>
            </w:r>
          </w:p>
        </w:tc>
        <w:tc>
          <w:tcPr>
            <w:tcBorders>
              <w:bottom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112,120</w:t>
            </w:r>
          </w:p>
        </w:tc>
      </w:tr>
      <w:tr>
        <w:trPr>
          <w:cantSplit w:val="0"/>
          <w:tblHeader w:val="0"/>
        </w:trPr>
        <w:tc>
          <w:tcPr>
            <w:tcBorders>
              <w:bottom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Unique patients</w:t>
            </w:r>
          </w:p>
        </w:tc>
        <w:tc>
          <w:tcPr>
            <w:tcBorders>
              <w:bottom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30,805</w:t>
            </w:r>
          </w:p>
        </w:tc>
      </w:tr>
      <w:tr>
        <w:trPr>
          <w:cantSplit w:val="0"/>
          <w:tblHeader w:val="0"/>
        </w:trPr>
        <w:tc>
          <w:tcPr>
            <w:tcBorders>
              <w:bottom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 / AP rows</w:t>
            </w:r>
          </w:p>
        </w:tc>
        <w:tc>
          <w:tcPr>
            <w:tcBorders>
              <w:bottom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67,310 / 44,810</w:t>
            </w:r>
          </w:p>
        </w:tc>
      </w:tr>
      <w:tr>
        <w:trPr>
          <w:cantSplit w:val="0"/>
          <w:tblHeader w:val="0"/>
        </w:trPr>
        <w:tc>
          <w:tcPr>
            <w:tcBorders>
              <w:bottom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Duplicate image IDs</w:t>
            </w:r>
          </w:p>
        </w:tc>
        <w:tc>
          <w:tcPr>
            <w:tcBorders>
              <w:bottom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bottom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Duplicate patient-follow-up keys</w:t>
            </w:r>
          </w:p>
        </w:tc>
        <w:tc>
          <w:tcPr>
            <w:tcBorders>
              <w:bottom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bottom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Missing required pairing fields</w:t>
            </w:r>
          </w:p>
        </w:tc>
        <w:tc>
          <w:tcPr>
            <w:tcBorders>
              <w:bottom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bottom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Consecutive studies with both PA</w:t>
            </w:r>
          </w:p>
        </w:tc>
        <w:tc>
          <w:tcPr>
            <w:tcBorders>
              <w:bottom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31,029 pairs, 9,838 patients</w:t>
            </w:r>
          </w:p>
        </w:tc>
      </w:tr>
      <w:tr>
        <w:trPr>
          <w:cantSplit w:val="0"/>
          <w:tblHeader w:val="0"/>
        </w:trPr>
        <w:tc>
          <w:tcPr>
            <w:tcBorders>
              <w:bottom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Weak labels: absent / new / resolved / present at both</w:t>
            </w:r>
          </w:p>
        </w:tc>
        <w:tc>
          <w:tcPr>
            <w:tcBorders>
              <w:bottom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25,090 / 2,154 / 2,002 / 1,783</w:t>
            </w:r>
          </w:p>
        </w:tc>
      </w:tr>
      <w:tr>
        <w:trPr>
          <w:cantSplit w:val="0"/>
          <w:tblHeader w:val="0"/>
        </w:trPr>
        <w:tc>
          <w:tcPr>
            <w:tcBorders>
              <w:bottom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Filter to PA first, then pair</w:t>
            </w:r>
          </w:p>
        </w:tc>
        <w:tc>
          <w:tcPr>
            <w:tcBorders>
              <w:bottom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38,442 pairs</w:t>
            </w:r>
          </w:p>
        </w:tc>
      </w:tr>
      <w:tr>
        <w:trPr>
          <w:cantSplit w:val="0"/>
          <w:tblHeader w:val="0"/>
        </w:trPr>
        <w:tc>
          <w:tcPr>
            <w:tcBorders>
              <w:bottom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Consecutive mixed AP/PA pairs</w:t>
            </w:r>
          </w:p>
        </w:tc>
        <w:tc>
          <w:tcPr>
            <w:tcBorders>
              <w:bottom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19,936</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two pairing procedures are different: removing AP first skips intervening exams. Pick a policy explicitly. Recommended MVP: sort ALL images within patient, then keep adjacent PA/PA pairs. Metadata supplies order but not elapsed time or verified immediate clinical visits. Do not invent dates or days between images.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constructed a feasibility manifest of 60 distinct patients, 15 per weak transition class. It is an unreviewed candidate pool, not a frozen evaluation set. The simple first-eligible selection proves availability only; replace with seeded selection after cohort checks, keep all patients disjoint from development, and review images before assigning gold labels.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 metadata example: patient 1,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00000001_001.png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00000001_002.png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both PA. The prior row has Cardiomegaly and Emphysema; the latter has Cardiomegaly and Effusion. The derived weak transition is new.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Images have not been inspected and this is not a verified clinical finding.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real report accompanies these rows. Missing Effusion in the labels is not reliable evidence of absence.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CSV uses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Patient Sex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the spec's possible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Patient Gender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expectation. Its image-size and spacing header names contain unquoted commas, producing split column names; don't treat them as simple width/height names without normalization. Required pairing fields parsed correctly.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1">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Google's NIH documentation</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states image-use attribution requirements and provides a cloud mirror, but the mirror uses Requester Pays. Its expert-label resources include an 810-image PA subset covering all 14 findings. Do not assume enough longitudinal pairs exist in that subset. If used, join by image ID and verify both members; expert labels for only one member do not validate a pair.</w:t>
      </w:r>
    </w:p>
    <w:p w:rsidR="00000000" w:rsidDel="00000000" w:rsidP="00000000" w:rsidRDefault="00000000" w:rsidRPr="00000000" w14:paraId="00000076">
      <w:pPr>
        <w:pStyle w:val="Heading2"/>
        <w:numPr>
          <w:ilvl w:val="1"/>
          <w:numId w:val="1"/>
        </w:numPr>
        <w:ind w:left="0" w:firstLine="0"/>
        <w:rPr/>
      </w:pPr>
      <w:r w:rsidDel="00000000" w:rsidR="00000000" w:rsidRPr="00000000">
        <w:rPr>
          <w:rtl w:val="0"/>
        </w:rPr>
        <w:t xml:space="preserve">Dataset choices</w:t>
      </w:r>
    </w:p>
    <w:tbl>
      <w:tblPr>
        <w:tblStyle w:val="Table3"/>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Dataset</w:t>
            </w:r>
          </w:p>
        </w:tc>
        <w:tc>
          <w:tcPr>
            <w:tcBorders>
              <w:top w:color="000000" w:space="0" w:sz="4" w:val="single"/>
              <w:bottom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Appropriate use</w:t>
            </w:r>
          </w:p>
        </w:tc>
        <w:tc>
          <w:tcPr>
            <w:tcBorders>
              <w:top w:color="000000" w:space="0" w:sz="4" w:val="single"/>
              <w:bottom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Evidence limit / access</w:t>
            </w:r>
          </w:p>
        </w:tc>
      </w:tr>
      <w:tr>
        <w:trPr>
          <w:cantSplit w:val="0"/>
          <w:tblHeader w:val="0"/>
        </w:trPr>
        <w:tc>
          <w:tcPr>
            <w:tcBorders>
              <w:bottom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NIH ChestX-ray14</w:t>
            </w:r>
          </w:p>
        </w:tc>
        <w:tc>
          <w:tcPr>
            <w:tcBorders>
              <w:bottom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Immediate metadata pairing and exploratory pilot</w:t>
            </w:r>
          </w:p>
        </w:tc>
        <w:tc>
          <w:tcPr>
            <w:tcBorders>
              <w:bottom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Public images; NLP labels, no reports in release. Clinician-adjudicated paired subset needed for accuracy claims.</w:t>
            </w:r>
          </w:p>
        </w:tc>
      </w:tr>
      <w:tr>
        <w:trPr>
          <w:cantSplit w:val="0"/>
          <w:tblHeader w:val="0"/>
        </w:trPr>
        <w:tc>
          <w:tcPr>
            <w:tcBorders>
              <w:bottom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ReXGradient-160K</w:t>
            </w:r>
          </w:p>
        </w:tc>
        <w:tc>
          <w:tcPr>
            <w:tcBorders>
              <w:bottom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Later real-report workflow</w:t>
            </w:r>
          </w:p>
        </w:tc>
        <w:tc>
          <w:tcPr>
            <w:tcBorders>
              <w:bottom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2">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Terms</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restrict noncommercial/nonclinical use, downloading beyond project need, and access by unauthorized third parties. Access and subset availability untested. Do not send to Gemini or publicly redistribute examples on assumption.</w:t>
            </w:r>
          </w:p>
        </w:tc>
      </w:tr>
      <w:tr>
        <w:trPr>
          <w:cantSplit w:val="0"/>
          <w:tblHeader w:val="0"/>
        </w:trPr>
        <w:tc>
          <w:tcPr>
            <w:tcBorders>
              <w:bottom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MIMIC-CXR + MS-CXR-T</w:t>
            </w:r>
          </w:p>
        </w:tc>
        <w:tc>
          <w:tcPr>
            <w:tcBorders>
              <w:bottom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Later temporal benchmark</w:t>
            </w:r>
          </w:p>
        </w:tc>
        <w:tc>
          <w:tcPr>
            <w:tcBorders>
              <w:bottom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3">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MS-CXR-T</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 1,326 labelled samples including 411 effusion samples from 370 subjects. Its target is improving/stable/worsening, not these four presence transitions. Labels have expert-quality categories. Requires credentialed underlying data access.</w:t>
            </w:r>
          </w:p>
        </w:tc>
      </w:tr>
      <w:tr>
        <w:trPr>
          <w:cantSplit w:val="0"/>
          <w:tblHeader w:val="0"/>
        </w:trPr>
        <w:tc>
          <w:tcPr>
            <w:tcBorders>
              <w:bottom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Chest ImaGenome</w:t>
            </w:r>
          </w:p>
        </w:tc>
        <w:tc>
          <w:tcPr>
            <w:tcBorders>
              <w:bottom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Later localized comparison work</w:t>
            </w:r>
          </w:p>
        </w:tc>
        <w:tc>
          <w:tcPr>
            <w:tcBorders>
              <w:bottom w:color="000000"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4">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Dataset</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includes automatically generated and manually reviewed annotations; don't call silver labels gold. Shares MIMIC lineage, so is not independent external validation of a MIMIC-trained model.</w:t>
            </w:r>
          </w:p>
        </w:tc>
      </w:tr>
      <w:tr>
        <w:trPr>
          <w:cantSplit w:val="0"/>
          <w:tblHeader w:val="0"/>
        </w:trPr>
        <w:tc>
          <w:tcPr>
            <w:tcBorders>
              <w:bottom w:color="000000"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Stony Brook COVID-19</w:t>
            </w:r>
          </w:p>
        </w:tc>
        <w:tc>
          <w:tcPr>
            <w:tcBorders>
              <w:bottom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Possible later serial-image examples</w:t>
            </w:r>
          </w:p>
        </w:tc>
        <w:tc>
          <w:tcPr>
            <w:tcBorders>
              <w:bottom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5">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Collection</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exists, but complete current license/schema was not retrievable in this review. Do not count it as a validated fallback.</w:t>
            </w:r>
          </w:p>
        </w:tc>
      </w:tr>
      <w:tr>
        <w:trPr>
          <w:cantSplit w:val="0"/>
          <w:tblHeader w:val="0"/>
        </w:trPr>
        <w:tc>
          <w:tcPr>
            <w:tcBorders>
              <w:bottom w:color="000000"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COVID-19 Image Data Collection</w:t>
            </w:r>
          </w:p>
        </w:tc>
        <w:tc>
          <w:tcPr>
            <w:tcBorders>
              <w:bottom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Curated illustrative examples</w:t>
            </w:r>
          </w:p>
        </w:tc>
        <w:tc>
          <w:tcPr>
            <w:tcBorders>
              <w:bottom w:color="000000"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6">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Maintainer repository</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documents heterogeneous sources and annotation licenses. Verify per-image provenance. Publication selection bias and limited labels make it unsuitable as the main effusion benchmark.</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PhysioNet's LLM guidance</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careful data-handling verification for restricted datasets. </w:t>
      </w:r>
      <w:hyperlink r:id="rId18">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Google's retention documentation</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distinguishes no training from zero retention. These are separate requirements; paying for an API is not equivalent to obtaining dataset redistribution permission or guaranteed zero retention. Keep restricted data out of this prototype and its agent transcripts.</w:t>
      </w:r>
    </w:p>
    <w:p w:rsidR="00000000" w:rsidDel="00000000" w:rsidP="00000000" w:rsidRDefault="00000000" w:rsidRPr="00000000" w14:paraId="0000008E">
      <w:pPr>
        <w:pStyle w:val="Heading2"/>
        <w:numPr>
          <w:ilvl w:val="1"/>
          <w:numId w:val="1"/>
        </w:numPr>
        <w:ind w:left="0" w:firstLine="0"/>
        <w:rPr/>
      </w:pPr>
      <w:r w:rsidDel="00000000" w:rsidR="00000000" w:rsidRPr="00000000">
        <w:rPr>
          <w:rtl w:val="0"/>
        </w:rPr>
        <w:t xml:space="preserve">Revised architecture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flowchart TD</w:t>
        <w:br w:type="textWrapping"/>
        <w:t xml:space="preserve">  I[Prior image + current image + scoped reports] --&gt; V[Validate identity, order, view, quality, provenance]</w:t>
        <w:br w:type="textWrapping"/>
        <w:t xml:space="preserve">  V --&gt; B[Blind image reader: images and metadata only]</w:t>
        <w:br w:type="textWrapping"/>
        <w:t xml:space="preserve">  V --&gt; T[Report reader: text and study scope only]</w:t>
        <w:br w:type="textWrapping"/>
        <w:t xml:space="preserve">  B --&gt; O[Separate slot-order call; canonicalize IDs]</w:t>
        <w:br w:type="textWrapping"/>
        <w:t xml:space="preserve">  O --&gt; F[Freeze structured observations]</w:t>
        <w:br w:type="textWrapping"/>
        <w:t xml:space="preserve">  T --&gt; C[Validate quoted claims and temporal scope]</w:t>
        <w:br w:type="textWrapping"/>
        <w:t xml:space="preserve">  F --&gt; D[Deterministic comparison]</w:t>
        <w:br w:type="textWrapping"/>
        <w:t xml:space="preserve">  C --&gt; D</w:t>
        <w:br w:type="textWrapping"/>
        <w:t xml:space="preserve">  D --&gt; J[Investigator: one bounded reassessment if needed]</w:t>
        <w:br w:type="textWrapping"/>
        <w:t xml:space="preserve">  J --&gt; W[Draft worklist with unresolved discrepancies]</w:t>
        <w:br w:type="textWrapping"/>
        <w:t xml:space="preserve">  W --&gt; H[Human accepts, edits, or escalates]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are context-restricted roles, not context-free tasks. Readers need their assigned evidence and identical definitions. The image reader needs BOTH films to assess interval change. Initially splitting old image/new image/report into three unrelated narratives loses direct comparison. Independent single-film readings are a useful optional ablation, not the required MVP.</w:t>
      </w:r>
    </w:p>
    <w:p w:rsidR="00000000" w:rsidDel="00000000" w:rsidP="00000000" w:rsidRDefault="00000000" w:rsidRPr="00000000" w14:paraId="00000091">
      <w:pPr>
        <w:pStyle w:val="Heading3"/>
        <w:numPr>
          <w:ilvl w:val="2"/>
          <w:numId w:val="1"/>
        </w:numPr>
        <w:ind w:left="0" w:firstLine="0"/>
        <w:rPr/>
      </w:pPr>
      <w:r w:rsidDel="00000000" w:rsidR="00000000" w:rsidRPr="00000000">
        <w:rPr>
          <w:rtl w:val="0"/>
        </w:rPr>
        <w:t xml:space="preserve">Trust boundary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TimeLens service owns images, reports, outputs, and audit records. It constructs the vision request from opaque image IDs, a fixed prompt version, and allowlisted metadata. Do not let a general agent supply arbitrary text to this image call. Each model call starts fresh. Report text, ground-truth labels, previous verdicts, and other agents' output must be absent from the blind request. Hash and record the request's allowed inputs for audit.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separate capabilities for each role, scoped to case_id and run_id, verified by the server. A caller-supplied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role='reader'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not authentication. Do not expose a combined Case object containing report or truth. A read-only working directory by itself is not a sandbox. General Read, Bash, browser, ReadAgentWork, other session APIs, shared memory, logs, and prompt inheritance are possible leakage routes. If the host cannot enforce this boundary, report that agent-level blinding is unverified; use service-controlled blind model calls and describe that narrower guarantee accurately.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reassessment, a server-selected neutral template may request another look at the relevant anatomy without including the report's preferred answer. If any report-derived content is passed, label that result unblinded. Keep original blind outputs immutable and show when/why a conclusion changed. Limit to one adjudication request per finding per run with a transactional counter; retries use idempotency keys, not another reasoning opportunity.</w:t>
      </w:r>
    </w:p>
    <w:p w:rsidR="00000000" w:rsidDel="00000000" w:rsidP="00000000" w:rsidRDefault="00000000" w:rsidRPr="00000000" w14:paraId="00000095">
      <w:pPr>
        <w:pStyle w:val="Heading3"/>
        <w:numPr>
          <w:ilvl w:val="2"/>
          <w:numId w:val="1"/>
        </w:numPr>
        <w:ind w:left="0" w:firstLine="0"/>
        <w:rPr/>
      </w:pPr>
      <w:r w:rsidDel="00000000" w:rsidR="00000000" w:rsidRPr="00000000">
        <w:rPr>
          <w:rtl w:val="0"/>
        </w:rPr>
        <w:t xml:space="preserve">Data contracts</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Study: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study_id, opaque image_id, dataset/source version, SHA-256, pseudonymous patient key, chronological order, date only if known, view, age eligibility if needed, quality flags. Keep provider secrets outside records.</w:t>
      </w:r>
    </w:p>
    <w:p w:rsidR="00000000" w:rsidDel="00000000" w:rsidP="00000000" w:rsidRDefault="00000000" w:rsidRPr="00000000" w14:paraId="000000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case_id, prior_study_id, current_study_id, optional prior_report_id/current_report_id; validated same-patient association. Evaluation reference labels live outside model-visible storage.</w:t>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run_id, model/provider and actual returned model version, prompt version, schema version, canonical prior/current IDs; each image has presence enum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present|absent|uncertain|not_assessable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optional side, visible observations, limitations. The service derives the transition. Do not ask an LLM to redundantly author booleans and a potentially inconsistent transition.</w:t>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Claim: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report_id, target_study_id, comparison_study_id when applicable, finding, anatomical side, explicit presence/transition, certainty, exact source quote and character offsets. Omission remains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not_mentioned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Validate quote against the actual report. Do not interpret a generic no-change sentence as definite effusion absence.</w:t>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Verdict: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image transition; report comparison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consistent|discrepant|indeterminate|not_comparable|not_available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quality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adequate_for_presence|limited|unusable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 consistency; preserved reassessment history; evidence references;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calibrated_probability=null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until empirically calibrated.</w:t>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Review: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separate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needs_review|accepted|overridden|escalated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human action, reviewer attribution, timestamp, reason, and exact verdict version/hash. Changed evidence invalidates an earlier sign-off. The hackathon's unauthenticated local reviewer field is an audit demonstration, not verified clinician identity.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included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decision_contract.py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its 15 passing tests are a minimal executable specification of temporal and uncertainty semantics. They are not the app, model adapter, auth layer, or clinical validation.</w:t>
      </w:r>
    </w:p>
    <w:p w:rsidR="00000000" w:rsidDel="00000000" w:rsidP="00000000" w:rsidRDefault="00000000" w:rsidRPr="00000000" w14:paraId="0000009D">
      <w:pPr>
        <w:pStyle w:val="Heading3"/>
        <w:numPr>
          <w:ilvl w:val="2"/>
          <w:numId w:val="1"/>
        </w:numPr>
        <w:ind w:left="0" w:firstLine="0"/>
        <w:rPr/>
      </w:pPr>
      <w:r w:rsidDel="00000000" w:rsidR="00000000" w:rsidRPr="00000000">
        <w:rPr>
          <w:rtl w:val="0"/>
        </w:rPr>
        <w:t xml:space="preserve">Status and quality rules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 wrong-patient associations, unknown chronology, corrupt files, unsupported projections, or missing required image content. AP/PA mismatch produces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limited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an explicitly declared MVP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outside_scope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 not assert every such pair is clinically uncomparable. PA/PA is not sufficient quality assurance. Rotation, exposure, posture, inspiration, clipping, and acquisition differences still matter. Record unassessed quality factors rather than inventing a passed check.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Slot swapping changes display location, not chronological identity. Canonicalized readings must agree on per-image states, not only transition labels. Reversing actual time is a separate test: new should become resolved, while present_both and absent_both stay the same. Neither test proves correctness.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Keep processing state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queued|running|complete|failed|replay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separate from interpretation and human review. A failed request cannot become absent, agreement, or a successful replay. Draft results enter the worklist before human approval. Review priority expresses unresolved discrepancy, not clinical urgency.</w:t>
      </w:r>
    </w:p>
    <w:p w:rsidR="00000000" w:rsidDel="00000000" w:rsidP="00000000" w:rsidRDefault="00000000" w:rsidRPr="00000000" w14:paraId="000000A1">
      <w:pPr>
        <w:pStyle w:val="Heading2"/>
        <w:numPr>
          <w:ilvl w:val="1"/>
          <w:numId w:val="1"/>
        </w:numPr>
        <w:ind w:left="0" w:firstLine="0"/>
        <w:rPr/>
      </w:pPr>
      <w:r w:rsidDel="00000000" w:rsidR="00000000" w:rsidRPr="00000000">
        <w:rPr>
          <w:rtl w:val="0"/>
        </w:rPr>
        <w:t xml:space="preserve">OpenSwarm and laptop: observations versus outstanding work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Verified locally:</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Running OpenSwarm executable: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C:/ProgramData/abhis/openswarm/app-1.8.0-exp5/OpenSwarm.exe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 window accessible; marketplace includes HITL bundle. Seeing its title does not validate approval semantics.</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GET http://127.0.0.1:8324/api/health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returned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{"ok":true}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Authenticated, read-only OpenAPI inspection exposes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/api/agents/launch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/api/spawn-agent/run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modes, tool discovery and approval routes.</w:t>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AgentConfig schema supports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allowed_tools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target_directory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max_turns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system_prompt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model/provider. Field presence is not proof of enforcement.</w:t>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Installed SpawnAgent tool explicitly states children lack parent conversation but share working directory/model by default. Installed InvokeAgent preserves prior conversation; ReadAgentWork can read other sessions. Modes default to shared memory unless configured otherwise.</w:t>
      </w:r>
    </w:p>
    <w:p w:rsidR="00000000" w:rsidDel="00000000" w:rsidP="00000000" w:rsidRDefault="00000000" w:rsidRPr="00000000" w14:paraId="000000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 SDK's convenience spawn request does NOT expose mode or allowed_tools. Therefore do not assume using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spawn_agent()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alone creates restricted clinical roles. Use supported configured modes/launch flow after verifying enforcement.</w:t>
      </w:r>
    </w:p>
    <w:p w:rsidR="00000000" w:rsidDel="00000000" w:rsidP="00000000" w:rsidRDefault="00000000" w:rsidRPr="00000000" w14:paraId="000000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SDK provides agent spawning, status, workflows and tool calls. Its LLM helper accepts text; it is not a verified two-image vision API. Use a separate vision adapter.</w:t>
      </w:r>
    </w:p>
    <w:p w:rsidR="00000000" w:rsidDel="00000000" w:rsidP="00000000" w:rsidRDefault="00000000" w:rsidRPr="00000000" w14:paraId="000000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SDK documentation says its helpers require the local OpenSwarm host and are unavailable automatically on a published standalone site. Keep the demo local.</w:t>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Laptop: HP OmniBook 5 16-af1xxx, approximately 16 GB RAM, Intel Graphics. This is adequate evidence for a lightweight local web service, not a latency benchmark for medical VLMs.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Installed source references: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resources/backend/apps/agents/spawn_agent_mcp_server.py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invoke_agent_mcp_server.py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apps/modes/models.py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apps/apps_sdk/apps_sdk.py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apps/outputs/webapp_template/SDK.md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under that version's directory. No installed application code or permissions were modified.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Still unverified: role-specific tool denials at execution time, leakage through generic tools/memory, MCP registration and discovery round trip, effective model/provider account configuration, live agent orchestration, two-image vision response, quota/cost, human approval payload binding, and failure recovery. Do not advertise these as completed.</w:t>
      </w:r>
    </w:p>
    <w:p w:rsidR="00000000" w:rsidDel="00000000" w:rsidP="00000000" w:rsidRDefault="00000000" w:rsidRPr="00000000" w14:paraId="000000AF">
      <w:pPr>
        <w:pStyle w:val="Heading3"/>
        <w:numPr>
          <w:ilvl w:val="2"/>
          <w:numId w:val="1"/>
        </w:numPr>
        <w:ind w:left="0" w:firstLine="0"/>
        <w:rPr/>
      </w:pPr>
      <w:r w:rsidDel="00000000" w:rsidR="00000000" w:rsidRPr="00000000">
        <w:rPr>
          <w:rtl w:val="0"/>
        </w:rPr>
        <w:t xml:space="preserve">Concrete OpenSwarm integration acceptance sequence</w:t>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 a standalone local TimeLens core in its own environment. Bind to loopback on a port other than 8324. Use synthetic nonclinical fixtures for plumbing.</w:t>
      </w:r>
    </w:p>
    <w:p w:rsidR="00000000" w:rsidDel="00000000" w:rsidP="00000000" w:rsidRDefault="00000000" w:rsidRPr="00000000" w14:paraId="000000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Register a custom MCP connector with narrowly defined tools: request_blind_read, request_report_claims, read_ready_results, request_reassessment, propose_verdict. Each validates its role capability and case/run identity. Tool schemas must not accept filesystem paths or report text for the blind call.</w:t>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Discover exact registered tool names, then configure restricted modes with those names. Disable access to broad filesystem/shell/browser/session-reading capabilities in those modes. Restrict memory and start fresh sessions. Prove denial with a sentinel report string and direct forbidden-tool calls. Keep traces with no secrets.</w:t>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user-triggered run creates the blind and report roles. The server verifies both outputs, then unlocks investigator access. Avoid letting an agent decide whether required prerequisites happened.</w:t>
      </w:r>
    </w:p>
    <w:p w:rsidR="00000000" w:rsidDel="00000000" w:rsidP="00000000" w:rsidRDefault="00000000" w:rsidRPr="00000000" w14:paraId="000000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Clinician review occurs in the local case UI. An OpenSwarm Ask tool can request the user's attention but must not equate permission to execute a tool with medical sign-off. Persist the exact reviewed content and action separately. Do not generate fake clinician approvals.</w:t>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Re-run the same fixtures headlessly. Schema and decision results must match. Record host overhead independently from model time.</w:t>
      </w:r>
    </w:p>
    <w:p w:rsidR="00000000" w:rsidDel="00000000" w:rsidP="00000000" w:rsidRDefault="00000000" w:rsidRPr="00000000" w14:paraId="000000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Package only code, synthetic fixtures, and permitted demo content. No keys, auth tokens, restricted patient reports, or source labels in agent bundles.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custom MCP connection or agent run has been created during this review. The above is a testable integration specification, not a claim that the connector already works.</w:t>
      </w:r>
    </w:p>
    <w:p w:rsidR="00000000" w:rsidDel="00000000" w:rsidP="00000000" w:rsidRDefault="00000000" w:rsidRPr="00000000" w14:paraId="000000B8">
      <w:pPr>
        <w:pStyle w:val="Heading2"/>
        <w:numPr>
          <w:ilvl w:val="1"/>
          <w:numId w:val="1"/>
        </w:numPr>
        <w:ind w:left="0" w:firstLine="0"/>
        <w:rPr/>
      </w:pPr>
      <w:r w:rsidDel="00000000" w:rsidR="00000000" w:rsidRPr="00000000">
        <w:rPr>
          <w:rtl w:val="0"/>
        </w:rPr>
        <w:t xml:space="preserve">Model adapter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9">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Official Gemini documentation</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confirms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gemini-3.8-flash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 an available model identifier. Use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google-genai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behind one adapter, fixed model ID, two explicit image objects, canonical identity metadata, and a typed JSON response. </w:t>
      </w:r>
      <w:hyperlink r:id="rId20">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Structured output</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constrains format, not factual accuracy. Validate fields and semantic invariants after parsing. Pin the dependency version once a real smoke test passes; never record an invented tested version.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Live acceptance: one synthetic/test image-pair call; verify both inputs included, JSON parsing, timeouts, error surfacing, usage logging and returned model ID. Next evaluate clinically reviewed pairs. Store request hash, preprocessing settings, model response, runtime, and usage for reproducibility. Record actual billing or provider usage, with orchestration costs included. No API key was used and no medical image was sent during this review.</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1">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MedGemma 1.5</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explicitly supports longitudinal image tasks and supplies Transformers/GPU examples. Keep it optional until hardware and licensing are checked. MLX is not the only execution option. The laptop's absence of a listed discrete NVIDIA GPU makes that documented CUDA path unavailable here without different hardware; it does not prove all local execution impossible.</w:t>
      </w:r>
    </w:p>
    <w:p w:rsidR="00000000" w:rsidDel="00000000" w:rsidP="00000000" w:rsidRDefault="00000000" w:rsidRPr="00000000" w14:paraId="000000BC">
      <w:pPr>
        <w:pStyle w:val="Heading2"/>
        <w:numPr>
          <w:ilvl w:val="1"/>
          <w:numId w:val="1"/>
        </w:numPr>
        <w:ind w:left="0" w:firstLine="0"/>
        <w:rPr/>
      </w:pPr>
      <w:r w:rsidDel="00000000" w:rsidR="00000000" w:rsidRPr="00000000">
        <w:rPr>
          <w:rtl w:val="0"/>
        </w:rPr>
        <w:t xml:space="preserve">How to test whether agents help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Blinding is an experimental protocol. It can be implemented with ordinary code and separate model calls; therefore beating one large prompt does not prove autonomous agents add value. </w:t>
      </w:r>
      <w:hyperlink r:id="rId22">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MedAgentBoard</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reports task-dependent benefits and no consistent superiority over strong single-model or conventional approaches. Treat multi-agent advantage as a hypothesis.</w:t>
      </w:r>
    </w:p>
    <w:tbl>
      <w:tblPr>
        <w:tblStyle w:val="Table4"/>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Arm</w:t>
            </w:r>
          </w:p>
        </w:tc>
        <w:tc>
          <w:tcPr>
            <w:tcBorders>
              <w:top w:color="000000" w:space="0" w:sz="4" w:val="single"/>
              <w:bottom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p>
        </w:tc>
      </w:tr>
      <w:tr>
        <w:trPr>
          <w:cantSplit w:val="0"/>
          <w:tblHeader w:val="0"/>
        </w:trPr>
        <w:tc>
          <w:tcPr>
            <w:tcBorders>
              <w:bottom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strong single multimodal call, images + correctly scoped report</w:t>
            </w:r>
          </w:p>
        </w:tc>
        <w:tc>
          <w:tcPr>
            <w:tcBorders>
              <w:bottom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Realistic combined-context baseline</w:t>
            </w:r>
          </w:p>
        </w:tc>
      </w:tr>
      <w:tr>
        <w:trPr>
          <w:cantSplit w:val="0"/>
          <w:tblHeader w:val="0"/>
        </w:trPr>
        <w:tc>
          <w:tcPr>
            <w:tcBorders>
              <w:bottom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 strong blind paired-image call, same quality/abstention rules</w:t>
            </w:r>
          </w:p>
        </w:tc>
        <w:tc>
          <w:tcPr>
            <w:tcBorders>
              <w:bottom w:color="00000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Isolate initial report exposure</w:t>
            </w:r>
          </w:p>
        </w:tc>
      </w:tr>
      <w:tr>
        <w:trPr>
          <w:cantSplit w:val="0"/>
          <w:tblHeader w:val="0"/>
        </w:trPr>
        <w:tc>
          <w:tcPr>
            <w:tcBorders>
              <w:bottom w:color="000000"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 deterministic staged pipeline with the same reader, report extraction, slot checks and bounded reassessment</w:t>
            </w:r>
          </w:p>
        </w:tc>
        <w:tc>
          <w:tcPr>
            <w:tcBorders>
              <w:bottom w:color="000000"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Determine what the protocol gains without agents</w:t>
            </w:r>
          </w:p>
        </w:tc>
      </w:tr>
      <w:tr>
        <w:trPr>
          <w:cantSplit w:val="0"/>
          <w:tblHeader w:val="0"/>
        </w:trPr>
        <w:tc>
          <w:tcPr>
            <w:tcBorders>
              <w:bottom w:color="000000" w:space="0" w:sz="4"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 same tools and policy driven by OpenSwarm roles</w:t>
            </w:r>
          </w:p>
        </w:tc>
        <w:tc>
          <w:tcPr>
            <w:tcBorders>
              <w:bottom w:color="00000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Measure orchestration benefits/costs</w:t>
            </w:r>
          </w:p>
        </w:tc>
      </w:tr>
      <w:tr>
        <w:trPr>
          <w:cantSplit w:val="0"/>
          <w:tblHeader w:val="0"/>
        </w:trPr>
        <w:tc>
          <w:tcPr>
            <w:tcBorders>
              <w:bottom w:color="000000" w:space="0" w:sz="4"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 call/token-budget-matched self-check baseline</w:t>
            </w:r>
          </w:p>
        </w:tc>
        <w:tc>
          <w:tcPr>
            <w:tcBorders>
              <w:bottom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whether apparent gains come from more computation</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Freeze prompts on disjoint development patients. Keep test patients, all their images, and perturbations out of development. Balance a diagnostic stress-test set if desired, but report its artificial prevalence and do not interpret positive predictive value as clinic prevalence. Record potential training overlap because NIH is widely used; this is not necessarily an unseen-data benchmark.</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each test image pair, evaluate no report, a correct finding-specific report, and an intentionally wrong report, with prior/current scope handled separately. Pair these conditions within the same case. Vary report wording without leaking labels in filenames/prompts. Evaluate model predictions against independently adjudicated images, not against the same report used as input. Synthetic wrong reports establish a perturbation experiment, not detection of naturally occurring clinical errors.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Report: per-class precision/recall and macro-F1; sensitivity for new findings; false-discrepancy rate on correct reports; coverage and selective accuracy together; unstable-read frequency; invalid-output/API failure rate; total model calls, tokens, cost, median/p95 latency; and clinician correction/review time if a real reader exercise is performed. Stratify by view/quality, and demographic groups when sample sizes permit. Discrepancy priority is not validated urgent-triage performance.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patient-level paired bootstrap intervals for differences; use Wilson or appropriate exact intervals for independent binary rates. The spec's ±12 percentage points is only a rough worst-case approximation for a 60-observation independent binary proportion, not a universal interval for every metric or the answered subset. Fifteen cases per class cannot support strong class-specific or subgroup claims. If clinician labels are unavailable, call results weak-label agreement and engineering robustness only.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Predeclare success: improvement on the primary endpoint at matched coverage with interval estimates and acceptable added cost/latency. If C and D produce the same decisions, OpenSwarm may add inspectability, coordination, and interruption/recovery, but no demonstrated diagnostic accuracy gain. Measure those operational benefits with completion and recovery tests rather than claiming medical superiority. Drop roles that add neither correctness nor useful operational behavior.</w:t>
      </w:r>
    </w:p>
    <w:p w:rsidR="00000000" w:rsidDel="00000000" w:rsidP="00000000" w:rsidRDefault="00000000" w:rsidRPr="00000000" w14:paraId="000000D0">
      <w:pPr>
        <w:pStyle w:val="Heading3"/>
        <w:numPr>
          <w:ilvl w:val="2"/>
          <w:numId w:val="1"/>
        </w:numPr>
        <w:ind w:left="0" w:firstLine="0"/>
        <w:rPr/>
      </w:pPr>
      <w:r w:rsidDel="00000000" w:rsidR="00000000" w:rsidRPr="00000000">
        <w:rPr>
          <w:rtl w:val="0"/>
        </w:rPr>
        <w:t xml:space="preserve">Confidence presentation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this weekend show observed evidence: both calls agree/disagree, comparison limitations, report conflict, and human review state. Set numerical clinical probability to unavailable. Model self-rating, two-of-two agreement, and similarity scores are not calibrated probabilities. Later, calibrate on a separate labelled set, evaluate reliability/Brier score and performance under abstention, and revalidate after changing models, prompts, or data distributions.</w:t>
      </w:r>
    </w:p>
    <w:p w:rsidR="00000000" w:rsidDel="00000000" w:rsidP="00000000" w:rsidRDefault="00000000" w:rsidRPr="00000000" w14:paraId="000000D2">
      <w:pPr>
        <w:pStyle w:val="Heading2"/>
        <w:numPr>
          <w:ilvl w:val="1"/>
          <w:numId w:val="1"/>
        </w:numPr>
        <w:ind w:left="0" w:firstLine="0"/>
        <w:rPr/>
      </w:pPr>
      <w:r w:rsidDel="00000000" w:rsidR="00000000" w:rsidRPr="00000000">
        <w:rPr>
          <w:rtl w:val="0"/>
        </w:rPr>
        <w:t xml:space="preserve">Reduced delivery sequence</w:t>
      </w:r>
    </w:p>
    <w:p w:rsidR="00000000" w:rsidDel="00000000" w:rsidP="00000000" w:rsidRDefault="00000000" w:rsidRPr="00000000" w14:paraId="000000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Resolve semantics and input schema first: implemented here as an acceptance contract.</w:t>
      </w:r>
    </w:p>
    <w:p w:rsidR="00000000" w:rsidDel="00000000" w:rsidP="00000000" w:rsidRDefault="00000000" w:rsidRPr="00000000" w14:paraId="000000D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Obtain and inspect a small number of NIH image pairs, with documented clinician review where possible. Do not silently promote metadata candidates to demo truth.</w:t>
      </w:r>
    </w:p>
    <w:p w:rsidR="00000000" w:rsidDel="00000000" w:rsidP="00000000" w:rsidRDefault="00000000" w:rsidRPr="00000000" w14:paraId="000000D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Pass one real vision-adapter smoke test and the custom MCP permission test. These are go/no-go checks before UI work.</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 only a worklist and review screen first; static methodology/results can be a panel. Use source images and explicit prior/current labels. Defer slick styling, registration overlays and extra modalities.</w:t>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A/B/C on a small development cohort. Run D on one case with real trace. Add the larger test only after freezing prompts and references. Never fill the results page with estimated scores.</w:t>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Demonstrate one compatible prior report, one explicit current-report discrepancy, one uncertain image, and one quality limitation. Show replay versus live prominently.</w:t>
      </w:r>
    </w:p>
    <w:p w:rsidR="00000000" w:rsidDel="00000000" w:rsidP="00000000" w:rsidRDefault="00000000" w:rsidRPr="00000000" w14:paraId="000000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by the published 10:00 AM PDT deadline. Include run instructions, limitations, provenance and the measured comparisons actually completed.</w:t>
      </w:r>
    </w:p>
    <w:p w:rsidR="00000000" w:rsidDel="00000000" w:rsidP="00000000" w:rsidRDefault="00000000" w:rsidRPr="00000000" w14:paraId="000000DA">
      <w:pPr>
        <w:pStyle w:val="Heading2"/>
        <w:ind w:left="0" w:firstLine="0"/>
        <w:rPr/>
      </w:pPr>
      <w:r w:rsidDel="00000000" w:rsidR="00000000" w:rsidRPr="00000000">
        <w:rPr>
          <w:rtl w:val="0"/>
        </w:rPr>
        <w:t xml:space="preserve">What this review delivered</w:t>
      </w:r>
    </w:p>
    <w:p w:rsidR="00000000" w:rsidDel="00000000" w:rsidP="00000000" w:rsidRDefault="00000000" w:rsidRPr="00000000" w14:paraId="000000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Full specification critique and concrete revised design.</w:t>
      </w:r>
    </w:p>
    <w:p w:rsidR="00000000" w:rsidDel="00000000" w:rsidP="00000000" w:rsidRDefault="00000000" w:rsidRPr="00000000" w14:paraId="000000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Direct access to the installed OpenSwarm app, backend health check, source and live API schema inspection.</w:t>
      </w:r>
    </w:p>
    <w:p w:rsidR="00000000" w:rsidDel="00000000" w:rsidP="00000000" w:rsidRDefault="00000000" w:rsidRPr="00000000" w14:paraId="000000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Original NIH metadata download, reproducible audit and 60 distinct-patient candidate manifest.</w:t>
      </w:r>
    </w:p>
    <w:p w:rsidR="00000000" w:rsidDel="00000000" w:rsidP="00000000" w:rsidRDefault="00000000" w:rsidRPr="00000000" w14:paraId="000000D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Executable temporal/uncertainty rules with 15 passing acceptance tests.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Outstanding before calling TimeLens a working image-analysis prototype: actual image acquisition/quality review, real provider smoke test, MCP/mode enforcement, end-to-end live run, clinician-adjudicated cases, and measured comparisons. The full system and any accuracy improvement remain unvalidated.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NumberingSymbols">
    <w:name w:val="Numbering Symbols"/>
    <w:qFormat w:val="1"/>
    <w:rPr/>
  </w:style>
  <w:style w:type="character" w:styleId="Hyperlink">
    <w:name w:val="Hyperlink"/>
    <w:rPr>
      <w:color w:val="000080"/>
      <w:u w:val="single"/>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AR PL SungtiL GB"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paragraph" w:styleId="PreformattedText">
    <w:name w:val="Preformatted Text"/>
    <w:basedOn w:val="Normal"/>
    <w:qFormat w:val="1"/>
    <w:pPr>
      <w:spacing w:after="0" w:before="0"/>
    </w:pPr>
    <w:rPr>
      <w:rFonts w:ascii="Liberation Mono" w:cs="Liberation Mono" w:eastAsia="Liberation Mono" w:hAnsi="Liberation Mono"/>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i.google.dev/gemini-api/docs/structured-output" TargetMode="External"/><Relationship Id="rId11" Type="http://schemas.openxmlformats.org/officeDocument/2006/relationships/hyperlink" Target="https://docs.cloud.google.com/healthcare-api/docs/resources/public-datasets/nih-chest" TargetMode="External"/><Relationship Id="rId22" Type="http://schemas.openxmlformats.org/officeDocument/2006/relationships/hyperlink" Target="https://arxiv.org/abs/2505.12371" TargetMode="External"/><Relationship Id="rId10" Type="http://schemas.openxmlformats.org/officeDocument/2006/relationships/hyperlink" Target="https://nihcc.app.box.com/v/ChestXray-NIHCC/file/219760887468" TargetMode="External"/><Relationship Id="rId21" Type="http://schemas.openxmlformats.org/officeDocument/2006/relationships/hyperlink" Target="https://developers.google.com/health-ai-developer-foundations/medgemma/model-card" TargetMode="External"/><Relationship Id="rId13" Type="http://schemas.openxmlformats.org/officeDocument/2006/relationships/hyperlink" Target="https://physionet.org/content/ms-cxr-t/1.0.0/" TargetMode="External"/><Relationship Id="rId12" Type="http://schemas.openxmlformats.org/officeDocument/2006/relationships/hyperlink" Target="https://huggingface.co/datasets/rajpurkarlab/ReXGradient-160K/blob/main/LICEN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186/s13244-021-00986-8" TargetMode="External"/><Relationship Id="rId15" Type="http://schemas.openxmlformats.org/officeDocument/2006/relationships/hyperlink" Target="https://www.cancerimagingarchive.net/collection/covid-19-ny-sbu/" TargetMode="External"/><Relationship Id="rId14" Type="http://schemas.openxmlformats.org/officeDocument/2006/relationships/hyperlink" Target="https://physionet.org/content/chest-imagenome/1.0.0/" TargetMode="External"/><Relationship Id="rId17" Type="http://schemas.openxmlformats.org/officeDocument/2006/relationships/hyperlink" Target="https://physionet.org/news/post/llm-responsible-use/" TargetMode="External"/><Relationship Id="rId16" Type="http://schemas.openxmlformats.org/officeDocument/2006/relationships/hyperlink" Target="https://github.com/ieee8023/covid-chestxray-dataset" TargetMode="External"/><Relationship Id="rId5" Type="http://schemas.openxmlformats.org/officeDocument/2006/relationships/styles" Target="styles.xml"/><Relationship Id="rId19" Type="http://schemas.openxmlformats.org/officeDocument/2006/relationships/hyperlink" Target="https://ai.google.dev/gemini-api/docs/models/gemini-3.8-flash" TargetMode="External"/><Relationship Id="rId6" Type="http://schemas.openxmlformats.org/officeDocument/2006/relationships/customXml" Target="../customXML/item1.xml"/><Relationship Id="rId18" Type="http://schemas.openxmlformats.org/officeDocument/2006/relationships/hyperlink" Target="https://ai.google.dev/gemini-api/docs/zdr" TargetMode="External"/><Relationship Id="rId7" Type="http://schemas.openxmlformats.org/officeDocument/2006/relationships/hyperlink" Target="https://healthlink-hackathon-2026.devpost.com/" TargetMode="External"/><Relationship Id="rId8" Type="http://schemas.openxmlformats.org/officeDocument/2006/relationships/hyperlink" Target="https://healthlink-hackathon-2026.devpost.com/ru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S11oSxCrXpIrImaXgLZwJIPyYg==">CgMxLjA4AHIhMXRKYzlMR0lHd3dKX05NaHBLUno3d1o5amdRd1FHVTN1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