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6E792" w14:textId="77777777" w:rsidR="00225171" w:rsidRDefault="00225171">
      <w:pPr>
        <w:pBdr>
          <w:top w:val="nil"/>
          <w:left w:val="nil"/>
          <w:bottom w:val="nil"/>
          <w:right w:val="nil"/>
          <w:between w:val="nil"/>
        </w:pBdr>
        <w:spacing w:after="240" w:line="275" w:lineRule="auto"/>
        <w:rPr>
          <w:color w:val="000000"/>
        </w:rPr>
      </w:pPr>
    </w:p>
    <w:p w14:paraId="5CBEC067" w14:textId="77777777" w:rsidR="00225171" w:rsidRDefault="00000000">
      <w:pPr>
        <w:pStyle w:val="berschrift1"/>
        <w:spacing w:before="0" w:after="120" w:line="275" w:lineRule="auto"/>
        <w:rPr>
          <w:rFonts w:ascii="Google Sans" w:eastAsia="Google Sans" w:hAnsi="Google Sans" w:cs="Google Sans"/>
          <w:color w:val="1B1C1D"/>
          <w:sz w:val="32"/>
          <w:szCs w:val="32"/>
        </w:rPr>
      </w:pPr>
      <w:r>
        <w:rPr>
          <w:rFonts w:ascii="Google Sans" w:eastAsia="Google Sans" w:hAnsi="Google Sans" w:cs="Google Sans"/>
          <w:color w:val="1B1C1D"/>
          <w:sz w:val="32"/>
          <w:szCs w:val="32"/>
        </w:rPr>
        <w:t>Strategischer Plan zur Plattformentwicklung für den CTO: Einhaltung der UNI-PdR-Richtlinien und Definition der nächsten Schritte</w:t>
      </w:r>
    </w:p>
    <w:p w14:paraId="1CE80CB5"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2"/>
          <w:szCs w:val="32"/>
        </w:rPr>
      </w:pPr>
    </w:p>
    <w:p w14:paraId="0D3C34B4"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2"/>
          <w:szCs w:val="32"/>
        </w:rPr>
      </w:pPr>
    </w:p>
    <w:p w14:paraId="59BE92AA" w14:textId="77777777" w:rsidR="00225171"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Executive Summary</w:t>
      </w:r>
    </w:p>
    <w:p w14:paraId="7F0D6337"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3FA41E8E"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Dieser Bericht skizziert einen strategischen und umsetzbaren Plan für die Entwicklung einer digitalen Plattform, die den UNI-PdR-Richtlinien vollständig entspricht. Der Fokus liegt auf der Generierung von Kohlenstoffgutschriften aus Agrar- und erneuerbaren Energieprojekten. Er berücksichtigt die Anforderungen eines CTO an einen phasenweisen Ansatz, beginnend mit Phase 1, um die Einhaltung gesetzlicher Vorschriften mit technologischer Innovation, insbesondere Blockchain für Transparenz und Rückverfolgbarkeit, zu verbinden.</w:t>
      </w:r>
    </w:p>
    <w:p w14:paraId="163504E1"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Plan detailliert die grundlegende Datenverwaltung, robuste Berechnungsmodule, ein Blockchain-basiertes Register und umfassende Audit-Unterstützung, die alle darauf ausgelegt sind, die Integrität und Marktfähigkeit zertifizierter Kohlenstoffgutschriften zu gewährleisten. Durch die Einhaltung der UNI-PdR-Richtlinien wird die Plattform die Organisation in die Lage versetzen, offiziell anerkannte Kohlenstoffgutschriften auszustellen. Dies trägt zu den Bemühungen zur Umweltschadensbegrenzung bei und etabliert gleichzeitig einen überprüfbaren und vertrauenswürdigen Marktmechanismus.</w:t>
      </w:r>
    </w:p>
    <w:p w14:paraId="0B08F6AC"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1EBCA2C" w14:textId="77777777" w:rsidR="00225171"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1. Verständnis des UNI-PdR-Rahmenwerks für digitale Plattformen</w:t>
      </w:r>
    </w:p>
    <w:p w14:paraId="7DB7E1D5"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125F9F4B"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Dieser Abschnitt vermittelt dem CTO ein grundlegendes Verständnis des UNI-PdR-Dokuments und beleuchtet dessen kritische Komponenten sowie deren direkte </w:t>
      </w:r>
      <w:r>
        <w:rPr>
          <w:rFonts w:ascii="Google Sans Text" w:eastAsia="Google Sans Text" w:hAnsi="Google Sans Text" w:cs="Google Sans Text"/>
          <w:color w:val="1B1C1D"/>
          <w:sz w:val="24"/>
          <w:szCs w:val="24"/>
        </w:rPr>
        <w:lastRenderedPageBreak/>
        <w:t>Auswirkungen auf die Entwicklung digitaler Plattformen.</w:t>
      </w:r>
    </w:p>
    <w:p w14:paraId="796EBDE9"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2878804B"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1.1. Zweck und Anwendungsbereich: Kohlenstoffabscheidungs- und Projekte für erneuerbare Energien</w:t>
      </w:r>
    </w:p>
    <w:p w14:paraId="31DE7F69"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FCAA188"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Die UNI-PdR?:2025 definiert Anforderungen und Leitlinien für zwei primäre Projekttypen, die auf die Abscheidung, Reduzierung oder Eliminierung von CO2 abzielen: (1) Agrar- und Agroforstkulturen (Carbon Farming) zur CO2-Absorption und (2) die Installation von Anlagen für erneuerbare Energien zur CO2-Reduzierung oder -Eliminierung.</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Das übergeordnete Ziel ist die Quantifizierung und Zertifizierung der CO2-Absorption/-Reduzierung/-Eliminierung, die zur Ausstellung zertifizierter Kohlenstoffgutschriften führt.</w:t>
      </w:r>
      <w:r>
        <w:rPr>
          <w:rFonts w:ascii="Google Sans Text" w:eastAsia="Google Sans Text" w:hAnsi="Google Sans Text" w:cs="Google Sans Text"/>
          <w:color w:val="575B5F"/>
          <w:sz w:val="24"/>
          <w:szCs w:val="24"/>
          <w:vertAlign w:val="superscript"/>
        </w:rPr>
        <w:t>1</w:t>
      </w:r>
    </w:p>
    <w:p w14:paraId="5BA3B5B2"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abgedeckten Projekttypen umfassen im Einzelnen:</w:t>
      </w:r>
    </w:p>
    <w:p w14:paraId="327E5EF5" w14:textId="77777777" w:rsidR="00225171"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Carbon Farming:</w:t>
      </w:r>
      <w:r>
        <w:rPr>
          <w:rFonts w:ascii="Google Sans Text" w:eastAsia="Google Sans Text" w:hAnsi="Google Sans Text" w:cs="Google Sans Text"/>
          <w:color w:val="1B1C1D"/>
          <w:sz w:val="24"/>
          <w:szCs w:val="24"/>
        </w:rPr>
        <w:t xml:space="preserve"> Hierzu gehören krautige Agrarkulturen (z.B. Weizen, Gerste, Mais), Baumkulturen (z.B. Weinberge, Olivenhaine) und Agroforstwirtschaft (Wälder, Forsten) zur CO2-Speicherung in der Biomasse.</w:t>
      </w:r>
      <w:r>
        <w:rPr>
          <w:rFonts w:ascii="Google Sans Text" w:eastAsia="Google Sans Text" w:hAnsi="Google Sans Text" w:cs="Google Sans Text"/>
          <w:color w:val="575B5F"/>
          <w:sz w:val="24"/>
          <w:szCs w:val="24"/>
          <w:vertAlign w:val="superscript"/>
        </w:rPr>
        <w:t>1</w:t>
      </w:r>
    </w:p>
    <w:p w14:paraId="350DA90F" w14:textId="77777777" w:rsidR="00225171"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Erneuerbare Energien:</w:t>
      </w:r>
      <w:r>
        <w:rPr>
          <w:rFonts w:ascii="Google Sans Text" w:eastAsia="Google Sans Text" w:hAnsi="Google Sans Text" w:cs="Google Sans Text"/>
          <w:color w:val="1B1C1D"/>
          <w:sz w:val="24"/>
          <w:szCs w:val="24"/>
        </w:rPr>
        <w:t xml:space="preserve"> Dies umfasst Wind-, Solar-, Wasserkraft-, Biomasse-, Geothermie-, Meeres- und Wasserstoffenergie, um CO2-Emissionen aus fossilen Brennstoffen zu vermeiden.</w:t>
      </w:r>
      <w:r>
        <w:rPr>
          <w:rFonts w:ascii="Google Sans Text" w:eastAsia="Google Sans Text" w:hAnsi="Google Sans Text" w:cs="Google Sans Text"/>
          <w:color w:val="575B5F"/>
          <w:sz w:val="24"/>
          <w:szCs w:val="24"/>
          <w:vertAlign w:val="superscript"/>
        </w:rPr>
        <w:t>1</w:t>
      </w:r>
    </w:p>
    <w:p w14:paraId="681B65EF"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Die im Dokument festgelegten CO2-Mengen (in äquivalenten Tonnen) für beide Projekttypen werden ex ante und/oder ex post unter Verwendung spezifischer Berechnungsalgorithmen geschätzt, die von der Universität Tuscia in Viterbo entwickelt wurden.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Ein zentrales Element der UNI-PdR ist die explizite Vorgabe der Nutzung der Blockchain auf einer digitalen Plattform für die Ausstellung zertifizierter Kohlenstoffgutschriften, um Rückverfolgbarkeit und Transparenz zu gewährleisten. Dies steht im Einklang mit der EU-Verordnung 3012/2024 und den ISO 14064-Standards.</w:t>
      </w:r>
      <w:r>
        <w:rPr>
          <w:rFonts w:ascii="Google Sans Text" w:eastAsia="Google Sans Text" w:hAnsi="Google Sans Text" w:cs="Google Sans Text"/>
          <w:color w:val="575B5F"/>
          <w:sz w:val="24"/>
          <w:szCs w:val="24"/>
          <w:vertAlign w:val="superscript"/>
        </w:rPr>
        <w:t>1</w:t>
      </w:r>
    </w:p>
    <w:p w14:paraId="7E227895"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 UNI-PdR beschreibt zwei unterschiedliche, sich aber ergänzende Arten von Kohlenstoffminderungsprojekten. Beide erfordern eine präzise Quantifizierung, eine strenge Dokumentation und eine Blockchain-Registrierung für zertifizierte Kohlenstoffgutschriften. Dies legt nahe, dass diese nicht als separate technische Unternehmungen, sondern als integrierte Module innerhalb einer einzigen, </w:t>
      </w:r>
      <w:r>
        <w:rPr>
          <w:rFonts w:ascii="Google Sans Text" w:eastAsia="Google Sans Text" w:hAnsi="Google Sans Text" w:cs="Google Sans Text"/>
          <w:color w:val="1B1C1D"/>
          <w:sz w:val="24"/>
          <w:szCs w:val="24"/>
        </w:rPr>
        <w:lastRenderedPageBreak/>
        <w:t>vereinheitlichten digitalen Plattform betrachtet werden sollten. Ein fragmentierter Ansatz würde zu redundanter Entwicklung, inkonsistenten Datenmodellen und erhöhten Compliance-Risiken führen. Eine vereinheitlichte Plattform ermöglicht die gemeinsame Nutzung von Infrastruktur, standardisierte Datenformate und eine ganzheitliche Sicht auf das Kohlenstoffgutschriftenportfolio der Organisation. Daher muss die Plattform von Anfang an modular und erweiterbar konzipiert werden, um beide Projekttypen und zukünftige Ergänzungen zu berücksichtigen und gemeinsame Dienste für Datenspeicherung, Berechnung und Blockchain-Interaktion zu nutzen. Dies optimiert die Ressourcennutzung und rationalisiert die zukünftige Entwicklung.</w:t>
      </w:r>
    </w:p>
    <w:p w14:paraId="0B78E883"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87CB126"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1.2. Schlüsselkonzepte und Terminologie</w:t>
      </w:r>
    </w:p>
    <w:p w14:paraId="22A4C431"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260746EC"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Ein klares Verständnis der UNI-PdR-Terminologie ist entscheidend für die präzise Gestaltung und Implementierung der Plattform. Die Definitionen offenbaren ein komplexes Geflecht miteinander verbundener Entitäten: Projekte (Umweltkompensation, Minderung, Reduzierung/Eliminierung), physische Vermögenswerte (Pflanzen, erneuerbare Anlagen), zeitliche Aspekte (T, ex ante, ex post) und finanzielle/Risikokomponenten (Puffer, Garantiefonds).</w:t>
      </w:r>
    </w:p>
    <w:p w14:paraId="00388B47"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Nachfolgend sind die zentralen Begriffe aufgeführt:</w:t>
      </w:r>
    </w:p>
    <w:p w14:paraId="1443D778" w14:textId="77777777" w:rsidR="00225171"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Progetto di compensazione ambientale (Umweltkompensationsprojekt):</w:t>
      </w:r>
      <w:r>
        <w:rPr>
          <w:rFonts w:ascii="Google Sans Text" w:eastAsia="Google Sans Text" w:hAnsi="Google Sans Text" w:cs="Google Sans Text"/>
          <w:color w:val="1B1C1D"/>
          <w:sz w:val="24"/>
          <w:szCs w:val="24"/>
        </w:rPr>
        <w:t xml:space="preserve"> Bezieht sich auf Projekte mit landwirtschaftlichen und agroforstwirtschaftlichen Kulturen, die den UNI-PdR-Merkmalen entsprechen, wobei die CO2-Sequestrierung über einen Zeitraum "T" numerisch umgerechnet wird.</w:t>
      </w:r>
      <w:r>
        <w:rPr>
          <w:rFonts w:ascii="Google Sans Text" w:eastAsia="Google Sans Text" w:hAnsi="Google Sans Text" w:cs="Google Sans Text"/>
          <w:color w:val="575B5F"/>
          <w:sz w:val="24"/>
          <w:szCs w:val="24"/>
          <w:vertAlign w:val="superscript"/>
        </w:rPr>
        <w:t>1</w:t>
      </w:r>
    </w:p>
    <w:p w14:paraId="09ADE4AD" w14:textId="77777777" w:rsidR="00225171"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Disciplinare agronomico formalizzato (DAF):</w:t>
      </w:r>
      <w:r>
        <w:rPr>
          <w:rFonts w:ascii="Google Sans Text" w:eastAsia="Google Sans Text" w:hAnsi="Google Sans Text" w:cs="Google Sans Text"/>
          <w:color w:val="1B1C1D"/>
          <w:sz w:val="24"/>
          <w:szCs w:val="24"/>
        </w:rPr>
        <w:t xml:space="preserve"> Die Reihe obligatorischer Verfahren für die korrekte Bewirtschaftung jeder Agrarkulturart, entscheidend für die Projektkonformität und die CO2-Abschätzung.</w:t>
      </w:r>
      <w:r>
        <w:rPr>
          <w:rFonts w:ascii="Google Sans Text" w:eastAsia="Google Sans Text" w:hAnsi="Google Sans Text" w:cs="Google Sans Text"/>
          <w:color w:val="575B5F"/>
          <w:sz w:val="24"/>
          <w:szCs w:val="24"/>
          <w:vertAlign w:val="superscript"/>
        </w:rPr>
        <w:t>1</w:t>
      </w:r>
    </w:p>
    <w:p w14:paraId="6F2A66AA" w14:textId="77777777" w:rsidR="00225171"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Registro di Crediti Certificati (RCC) CO2 in Blockchain (Register für zertifizierte CO2-Gutschriften in der Blockchain):</w:t>
      </w:r>
      <w:r>
        <w:rPr>
          <w:rFonts w:ascii="Google Sans Text" w:eastAsia="Google Sans Text" w:hAnsi="Google Sans Text" w:cs="Google Sans Text"/>
          <w:color w:val="1B1C1D"/>
          <w:sz w:val="24"/>
          <w:szCs w:val="24"/>
        </w:rPr>
        <w:t xml:space="preserve"> Die digitale Plattform auf der Website des Zertifizierungssystems, die alle von Dritten zertifizierten Kohlenstoffgutschriften und die damit verbundenen CO2-Tonnen enthält.</w:t>
      </w:r>
      <w:r>
        <w:rPr>
          <w:rFonts w:ascii="Google Sans Text" w:eastAsia="Google Sans Text" w:hAnsi="Google Sans Text" w:cs="Google Sans Text"/>
          <w:color w:val="575B5F"/>
          <w:sz w:val="24"/>
          <w:szCs w:val="24"/>
          <w:vertAlign w:val="superscript"/>
        </w:rPr>
        <w:t>1</w:t>
      </w:r>
    </w:p>
    <w:p w14:paraId="48B18565" w14:textId="77777777" w:rsidR="00225171"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Ex ante:</w:t>
      </w:r>
      <w:r>
        <w:rPr>
          <w:rFonts w:ascii="Google Sans Text" w:eastAsia="Google Sans Text" w:hAnsi="Google Sans Text" w:cs="Google Sans Text"/>
          <w:color w:val="1B1C1D"/>
          <w:sz w:val="24"/>
          <w:szCs w:val="24"/>
        </w:rPr>
        <w:t xml:space="preserve"> Bezieht sich auf zukünftige Jahre der CO2-Abscheidung durch Kulturen, vertraglich vereinbart, und wird in Berechnungen (z.B. für Anhang B.1) verwendet.</w:t>
      </w:r>
      <w:r>
        <w:rPr>
          <w:rFonts w:ascii="Google Sans Text" w:eastAsia="Google Sans Text" w:hAnsi="Google Sans Text" w:cs="Google Sans Text"/>
          <w:color w:val="575B5F"/>
          <w:sz w:val="24"/>
          <w:szCs w:val="24"/>
          <w:vertAlign w:val="superscript"/>
        </w:rPr>
        <w:t>1</w:t>
      </w:r>
    </w:p>
    <w:p w14:paraId="5D57467C" w14:textId="77777777" w:rsidR="00225171"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Ex post:</w:t>
      </w:r>
      <w:r>
        <w:rPr>
          <w:rFonts w:ascii="Google Sans Text" w:eastAsia="Google Sans Text" w:hAnsi="Google Sans Text" w:cs="Google Sans Text"/>
          <w:color w:val="1B1C1D"/>
          <w:sz w:val="24"/>
          <w:szCs w:val="24"/>
        </w:rPr>
        <w:t xml:space="preserve"> Bezieht sich auf vergangene Jahre der CO2-Abscheidung durch </w:t>
      </w:r>
      <w:r>
        <w:rPr>
          <w:rFonts w:ascii="Google Sans Text" w:eastAsia="Google Sans Text" w:hAnsi="Google Sans Text" w:cs="Google Sans Text"/>
          <w:color w:val="1B1C1D"/>
          <w:sz w:val="24"/>
          <w:szCs w:val="24"/>
        </w:rPr>
        <w:lastRenderedPageBreak/>
        <w:t>Kulturen, die dokumentiert werden müssen und ebenfalls in Berechnungen verwendet werden.</w:t>
      </w:r>
      <w:r>
        <w:rPr>
          <w:rFonts w:ascii="Google Sans Text" w:eastAsia="Google Sans Text" w:hAnsi="Google Sans Text" w:cs="Google Sans Text"/>
          <w:color w:val="575B5F"/>
          <w:sz w:val="24"/>
          <w:szCs w:val="24"/>
          <w:vertAlign w:val="superscript"/>
        </w:rPr>
        <w:t>1</w:t>
      </w:r>
    </w:p>
    <w:p w14:paraId="7837F83B" w14:textId="77777777" w:rsidR="00225171"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Buffer:</w:t>
      </w:r>
      <w:r>
        <w:rPr>
          <w:rFonts w:ascii="Google Sans Text" w:eastAsia="Google Sans Text" w:hAnsi="Google Sans Text" w:cs="Google Sans Text"/>
          <w:color w:val="1B1C1D"/>
          <w:sz w:val="24"/>
          <w:szCs w:val="24"/>
        </w:rPr>
        <w:t xml:space="preserve"> Eine Mindestreserve von 15 % der berechneten Tonnen, die im Garantiefonds zurückgelegt wird.</w:t>
      </w:r>
      <w:r>
        <w:rPr>
          <w:rFonts w:ascii="Google Sans Text" w:eastAsia="Google Sans Text" w:hAnsi="Google Sans Text" w:cs="Google Sans Text"/>
          <w:color w:val="575B5F"/>
          <w:sz w:val="24"/>
          <w:szCs w:val="24"/>
          <w:vertAlign w:val="superscript"/>
        </w:rPr>
        <w:t>1</w:t>
      </w:r>
    </w:p>
    <w:p w14:paraId="163AF2F0" w14:textId="77777777" w:rsidR="00225171"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Progetto di mitigazione (Minderungsprojekt):</w:t>
      </w:r>
      <w:r>
        <w:rPr>
          <w:rFonts w:ascii="Google Sans Text" w:eastAsia="Google Sans Text" w:hAnsi="Google Sans Text" w:cs="Google Sans Text"/>
          <w:color w:val="1B1C1D"/>
          <w:sz w:val="24"/>
          <w:szCs w:val="24"/>
        </w:rPr>
        <w:t xml:space="preserve"> Ein Organisationsprojekt zur Abscheidung einer präzisen CO2-Menge über einen definierten Zeitraum, wobei Umweltkompensationsprojekte als zugrunde liegende Vermögenswerte dienen.</w:t>
      </w:r>
      <w:r>
        <w:rPr>
          <w:rFonts w:ascii="Google Sans Text" w:eastAsia="Google Sans Text" w:hAnsi="Google Sans Text" w:cs="Google Sans Text"/>
          <w:color w:val="575B5F"/>
          <w:sz w:val="24"/>
          <w:szCs w:val="24"/>
          <w:vertAlign w:val="superscript"/>
        </w:rPr>
        <w:t>1</w:t>
      </w:r>
    </w:p>
    <w:p w14:paraId="6E868C45" w14:textId="77777777" w:rsidR="00225171" w:rsidRDefault="00000000">
      <w:pPr>
        <w:numPr>
          <w:ilvl w:val="0"/>
          <w:numId w:val="1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Fondo di Garanzia (Garantiefonds):</w:t>
      </w:r>
      <w:r>
        <w:rPr>
          <w:rFonts w:ascii="Google Sans Text" w:eastAsia="Google Sans Text" w:hAnsi="Google Sans Text" w:cs="Google Sans Text"/>
          <w:color w:val="1B1C1D"/>
          <w:sz w:val="24"/>
          <w:szCs w:val="24"/>
        </w:rPr>
        <w:t xml:space="preserve"> Ein Fonds zum Schutz der Inhaber von Kohlenstoffgutschriften, der CO2-Tonnen speichert, um potenzielle Verluste bei Ausfall von Projekten abzudecken.</w:t>
      </w:r>
      <w:r>
        <w:rPr>
          <w:rFonts w:ascii="Google Sans Text" w:eastAsia="Google Sans Text" w:hAnsi="Google Sans Text" w:cs="Google Sans Text"/>
          <w:color w:val="575B5F"/>
          <w:sz w:val="24"/>
          <w:szCs w:val="24"/>
          <w:vertAlign w:val="superscript"/>
        </w:rPr>
        <w:t>1</w:t>
      </w:r>
    </w:p>
    <w:p w14:paraId="3AC01DEA"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"DAF" ist nicht nur ein Dokument, sondern ein entscheidender Input für Compliance und Berechnung. Das "RCC" ist das zentrale Register. Dies deutet darauf hin, dass das Datenmodell der Plattform hochgradig granular, relational und in der Lage sein muss, nicht nur statische Projektdaten, sondern auch dynamische Betriebsdaten und historische Leistungen zu erfassen. Die Priorisierung einer robusten Datenarchitektur, die komplexe Beziehungen und Zeitreihendaten unterstützt und sich nahtlos in Berechnungsmodule und Blockchain-Komponenten integrieren lässt, ist daher unerlässlich. Dies erfordert ein sorgfältiges Schema-Design und möglicherweise einen Graph-Datenbank-Ansatz für komplexe Abhängigkeiten, um die Datenintegrität und -konsistenz im gesamten System zu gewährleisten.</w:t>
      </w:r>
    </w:p>
    <w:p w14:paraId="774874BE"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Tabelle 1: Schlüsselbegriffe der UNI-PdR für die Plattformentwicklung</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225171" w14:paraId="14CE1E1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B39BF4"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Begriff (Deutsch)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72AE1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Begriff (Italienisch)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8D8904"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Definition &amp; Bedeutung für die Plattform</w:t>
            </w:r>
          </w:p>
        </w:tc>
      </w:tr>
      <w:tr w:rsidR="00225171" w14:paraId="3C4FFDC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64542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Umweltkompensationsprojekt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FE590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Progetto di compensazione ambientale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AA4619"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Projekte mit Agrar- und Agroforstkulturen zur CO2-Sequestrierung. Erfordert detaillierte Projektregistrierung und Datenverknüpfung.</w:t>
            </w:r>
          </w:p>
        </w:tc>
      </w:tr>
      <w:tr w:rsidR="00225171" w14:paraId="5B4C468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C7AD2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Formalisiertes Agronomisches Protokoll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4BC18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Disciplinare agronomico formalizzato (DAF)</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4B8579"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Obligatorische Verfahren für die Pflanzenbewirtschaftung. Wichtiger Input für </w:t>
            </w:r>
            <w:r>
              <w:rPr>
                <w:rFonts w:ascii="Google Sans Text" w:eastAsia="Google Sans Text" w:hAnsi="Google Sans Text" w:cs="Google Sans Text"/>
                <w:color w:val="1B1C1D"/>
                <w:sz w:val="20"/>
                <w:szCs w:val="20"/>
              </w:rPr>
              <w:lastRenderedPageBreak/>
              <w:t>Compliance-Checks und CO2-Berechnungen.</w:t>
            </w:r>
          </w:p>
        </w:tc>
      </w:tr>
      <w:tr w:rsidR="00225171" w14:paraId="4F3E6A4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398AA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Register für zertifizierte CO2-Gutschriften in der Blockchain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88B63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Registro di Crediti Certificati (RCC) CO2 in Blockchain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C3CA8E"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Die zentrale digitale Plattform für die Veröffentlichung zertifizierter Kohlenstoffgutschriften. Kernstück der Blockchain-Integration.</w:t>
            </w:r>
          </w:p>
        </w:tc>
      </w:tr>
      <w:tr w:rsidR="00225171" w14:paraId="60B4C62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7EE9B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 ante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D9523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 ante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3328E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Zukünftige Jahre der CO2-Abscheidung (vertraglich). Beeinflusst die anfängliche CO2-Schätzung und die Pufferberechnung.</w:t>
            </w:r>
          </w:p>
        </w:tc>
      </w:tr>
      <w:tr w:rsidR="00225171" w14:paraId="0719375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220A9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 post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FD804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 post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2EDE7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Vergangene Jahre der CO2-Abscheidung (dokumentiert). Dient der Überprüfung und Anpassung der CO2-Schätzung.</w:t>
            </w:r>
          </w:p>
        </w:tc>
      </w:tr>
      <w:tr w:rsidR="00225171" w14:paraId="310F02F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6C388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Puffer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C26B69"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Buffer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9F947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Mindestens 15% Reserve der berechneten Tonnen im Garantiefonds. Wichtige Risikomanagementkomponente, beeinflusst die verfügbaren Gutschriften.</w:t>
            </w:r>
          </w:p>
        </w:tc>
      </w:tr>
      <w:tr w:rsidR="00225171" w14:paraId="4492EE6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F20CA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Minderungsprojekt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DD6394"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Progetto di mitigazione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41DB9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Organisatorisches Projekt zur CO2-Abscheidung, das Umweltkompensationsprojekte als Basis nutzt. Erfordert Verknüpfung von Projekten und Gutschriften.</w:t>
            </w:r>
          </w:p>
        </w:tc>
      </w:tr>
      <w:tr w:rsidR="00225171" w14:paraId="223C713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CFB8A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Garantiefonds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EAFDE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Fondo di Garanzia</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1CA6EB"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Fonds zum Schutz der Gutschrifteninhaber bei Projektausfällen. Erfordert </w:t>
            </w:r>
            <w:r>
              <w:rPr>
                <w:rFonts w:ascii="Google Sans Text" w:eastAsia="Google Sans Text" w:hAnsi="Google Sans Text" w:cs="Google Sans Text"/>
                <w:color w:val="1B1C1D"/>
                <w:sz w:val="20"/>
                <w:szCs w:val="20"/>
              </w:rPr>
              <w:lastRenderedPageBreak/>
              <w:t>dynamische Verwaltung und Überwachung der Einlagen.</w:t>
            </w:r>
          </w:p>
        </w:tc>
      </w:tr>
    </w:tbl>
    <w:p w14:paraId="03CF4D54" w14:textId="77777777" w:rsidR="00225171" w:rsidRDefault="00225171">
      <w:pPr>
        <w:pBdr>
          <w:top w:val="nil"/>
          <w:left w:val="nil"/>
          <w:bottom w:val="nil"/>
          <w:right w:val="nil"/>
          <w:between w:val="nil"/>
        </w:pBdr>
        <w:spacing w:before="480" w:after="240" w:line="275" w:lineRule="auto"/>
        <w:rPr>
          <w:rFonts w:ascii="Google Sans Text" w:eastAsia="Google Sans Text" w:hAnsi="Google Sans Text" w:cs="Google Sans Text"/>
          <w:color w:val="1B1C1D"/>
          <w:sz w:val="20"/>
          <w:szCs w:val="20"/>
        </w:rPr>
      </w:pPr>
    </w:p>
    <w:p w14:paraId="42D651E7" w14:textId="77777777" w:rsidR="00225171" w:rsidRDefault="00225171">
      <w:pPr>
        <w:pBdr>
          <w:top w:val="nil"/>
          <w:left w:val="nil"/>
          <w:bottom w:val="nil"/>
          <w:right w:val="nil"/>
          <w:between w:val="nil"/>
        </w:pBdr>
        <w:spacing w:before="480" w:after="240" w:line="275" w:lineRule="auto"/>
        <w:rPr>
          <w:rFonts w:ascii="Google Sans Text" w:eastAsia="Google Sans Text" w:hAnsi="Google Sans Text" w:cs="Google Sans Text"/>
          <w:color w:val="1B1C1D"/>
          <w:sz w:val="20"/>
          <w:szCs w:val="20"/>
        </w:rPr>
      </w:pPr>
    </w:p>
    <w:p w14:paraId="3310E236" w14:textId="77777777" w:rsidR="00225171" w:rsidRDefault="00225171">
      <w:pPr>
        <w:pBdr>
          <w:top w:val="nil"/>
          <w:left w:val="nil"/>
          <w:bottom w:val="nil"/>
          <w:right w:val="nil"/>
          <w:between w:val="nil"/>
        </w:pBdr>
        <w:spacing w:before="480" w:after="240" w:line="275" w:lineRule="auto"/>
        <w:rPr>
          <w:rFonts w:ascii="Google Sans Text" w:eastAsia="Google Sans Text" w:hAnsi="Google Sans Text" w:cs="Google Sans Text"/>
          <w:color w:val="1B1C1D"/>
          <w:sz w:val="20"/>
          <w:szCs w:val="20"/>
        </w:rPr>
      </w:pPr>
    </w:p>
    <w:p w14:paraId="29C2FC8C" w14:textId="77777777" w:rsidR="00225171" w:rsidRDefault="00225171">
      <w:pPr>
        <w:pBdr>
          <w:top w:val="nil"/>
          <w:left w:val="nil"/>
          <w:bottom w:val="nil"/>
          <w:right w:val="nil"/>
          <w:between w:val="nil"/>
        </w:pBdr>
        <w:spacing w:before="480" w:after="240" w:line="275" w:lineRule="auto"/>
        <w:rPr>
          <w:rFonts w:ascii="Google Sans Text" w:eastAsia="Google Sans Text" w:hAnsi="Google Sans Text" w:cs="Google Sans Text"/>
          <w:color w:val="1B1C1D"/>
          <w:sz w:val="20"/>
          <w:szCs w:val="20"/>
        </w:rPr>
      </w:pPr>
    </w:p>
    <w:p w14:paraId="385F52EA"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1.3. Regulierungs- und Zertifizierungslandschaft</w:t>
      </w:r>
    </w:p>
    <w:p w14:paraId="3BFC9C7F"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50C8488"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Die UNI-PdR ist keine nationale Norm, sondern eine von UNI veröffentlichte Referenzpraxis, die der EU-Verordnung Nr. 1025/2012 entspricht. Sie verweist auf mehrere ISO-Normen für die Quantifizierung, Überwachung, Berichterstattung, Validierung und Verifizierung von Treibhausgasen: UNI EN ISO 14064-1, 14064-2, 14064-3, 14065 und UNI CEI EN ISO/IEC 17029.</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Die Berechnungsmethoden (z.B. für Anhang B.1 und C.1) wurden von der Universität Tuscia ausgearbeitet und von einer externen Zertifizierungsstelle gemäß diesen ISO-Normen validiert.</w:t>
      </w:r>
      <w:r>
        <w:rPr>
          <w:rFonts w:ascii="Google Sans Text" w:eastAsia="Google Sans Text" w:hAnsi="Google Sans Text" w:cs="Google Sans Text"/>
          <w:color w:val="575B5F"/>
          <w:sz w:val="24"/>
          <w:szCs w:val="24"/>
          <w:vertAlign w:val="superscript"/>
        </w:rPr>
        <w:t>1</w:t>
      </w:r>
    </w:p>
    <w:p w14:paraId="2C4551CA"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Referenzpraktiken sind maximal fünf Jahre lang verfügbar. Innerhalb dieses Zeitraums können sie in ein normatives Dokument umgewandelt oder zurückgezogen werden.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Der Status als "Referenzpraxis" und der maximale Gültigkeitszeitraum von fünf Jahren vor einer möglichen Umwandlung in eine formale Norm oder einem Rückzug signalisieren ein sich entwickelndes regulatorisches Umfeld. Obwohl die aktuellen ISO-Normen einen robusten Rahmen bieten, könnten die spezifischen Methoden innerhalb der UNI-PdR verfeinert oder aktualisiert werden. Eine Plattform, die statisch aufgebaut ist, wird in diesem dynamischen Umfeld nicht bestehen können. Sie muss agil genug sein, um sich an zukünftige regulatorische Änderungen anzupassen, ohne eine vollständige Überarbeitung zu erfordern.</w:t>
      </w:r>
    </w:p>
    <w:p w14:paraId="7A5F79F0"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Dies erfordert, dass die Plattformarchitektur hochmodular ist, mit einer klaren Trennung der Zuständigkeiten zwischen Kernlogik, Datenmodellen und externen regulatorischen Parametern. Konfigurationsgesteuerte Ansätze für </w:t>
      </w:r>
      <w:r>
        <w:rPr>
          <w:rFonts w:ascii="Google Sans Text" w:eastAsia="Google Sans Text" w:hAnsi="Google Sans Text" w:cs="Google Sans Text"/>
          <w:color w:val="1B1C1D"/>
          <w:sz w:val="24"/>
          <w:szCs w:val="24"/>
        </w:rPr>
        <w:lastRenderedPageBreak/>
        <w:t>Berechnungsalgorithmen und Compliance-Regeln sollten gegenüber fest kodierter Logik bevorzugt werden. Eine regelmäßige Überwachung der UNI- und ISO-Updates ist unerlässlich, und der Entwicklungsfahrplan sollte Vorkehrungen für eine schnelle Anpassung an neue Versionen der PdR enthalten, um eine kontinuierliche Compliance und Marktrelevanz zu gewährleisten.</w:t>
      </w:r>
    </w:p>
    <w:p w14:paraId="3BD5D7EF"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15C9CD75"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9DBCEFA"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00A045FC"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1FA97D16"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443072BC" w14:textId="77777777" w:rsidR="00225171"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2. Phase 1: Grundlegende Plattformentwicklung und Compliance</w:t>
      </w:r>
    </w:p>
    <w:p w14:paraId="11AE6F0D"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6BE7124C"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Dieser Abschnitt beschreibt die kritischen ersten Schritte für die Plattformentwicklung, wobei der Schwerpunkt auf der Schaffung einer robusten Grundlage für Datenmanagement, Projektaktivierung und anfängliche Blockchain-Integration liegt, die direkt auf die UNI-PdR-Anforderungen abgestimmt ist.</w:t>
      </w:r>
    </w:p>
    <w:p w14:paraId="1AB5DFE1"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4E5A6E5D"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2.1. Definition der Phase-1-Ziele im UNI-PdR-Kontext</w:t>
      </w:r>
    </w:p>
    <w:p w14:paraId="7E48C564"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8C984D7"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Das primäre Ziel dieser Phase ist der Aufbau der Kerninfrastruktur und der anfänglichen Funktionalitäten, die für die sichere Identifizierung von Nutzern und Unternehmen, die Registrierung, Dokumentation und Verwaltung von CO2-Abscheidungs-/Reduktionsprojekten gemäß den UNI-PdR-Richtlinien erforderlich sind. Dies schafft die Grundlage für die Ausstellung zertifizierter Kohlenstoffgutschriften.</w:t>
      </w:r>
    </w:p>
    <w:p w14:paraId="75F9FB27"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wichtigsten Ziele umfassen:</w:t>
      </w:r>
    </w:p>
    <w:p w14:paraId="1224F936" w14:textId="77777777" w:rsidR="00225171"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Implementierung eines sicheren digitalen Identitätssystems (ALPHA-KEY) für Einzelpersonen und Unternehmen, einschließlich KYC-Verfahren und Blockchain-</w:t>
      </w:r>
      <w:r>
        <w:rPr>
          <w:rFonts w:ascii="Google Sans Text" w:eastAsia="Google Sans Text" w:hAnsi="Google Sans Text" w:cs="Google Sans Text"/>
          <w:color w:val="1B1C1D"/>
          <w:sz w:val="24"/>
          <w:szCs w:val="24"/>
        </w:rPr>
        <w:lastRenderedPageBreak/>
        <w:t>basierter Verifizierung.</w:t>
      </w:r>
    </w:p>
    <w:p w14:paraId="2F7951C7" w14:textId="77777777" w:rsidR="00225171"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Implementierung eines sicheren und strukturierten Datenarchivierungssystems für alle projektbezogenen Dokumentationen.</w:t>
      </w:r>
    </w:p>
    <w:p w14:paraId="5C430BDE" w14:textId="77777777" w:rsidR="00225171"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Entwicklung von Modulen zur formalen Projektaktivierung und Dateneingabe für Carbon Farming- und erneuerbare Energieprojekte.</w:t>
      </w:r>
    </w:p>
    <w:p w14:paraId="132B35EB" w14:textId="77777777" w:rsidR="00225171"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Initiierung der Integration mit einer ausgewählten Blockchain für die grundlegende Projektregistrierung.</w:t>
      </w:r>
    </w:p>
    <w:p w14:paraId="7BC02BEB" w14:textId="77777777" w:rsidR="00225171" w:rsidRDefault="00000000">
      <w:pPr>
        <w:numPr>
          <w:ilvl w:val="0"/>
          <w:numId w:val="20"/>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Sicherstellung eines klaren Audit-Trails für alle erfassten Daten, um zukünftige Verifizierungsanforderungen zu antizipieren.</w:t>
      </w:r>
    </w:p>
    <w:p w14:paraId="1661D561"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UNI-PdR betont wiederholt die Bedeutung von Dokumentation, Archivierung und Auditierbarkeit (Abschnitte 7, 10, 13.3, Anhang D).</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Dies ist keine bloße Checkliste nach der Implementierung, sondern eine grundlegende Anforderung. Wenn sich Phase 1 ausschließlich auf die "Datenerfassung" konzentriert, ohne deren Integrität, Herkunft und Auditierbarkeit zu berücksichtigen, werden nachfolgende Phasen (insbesondere Zertifizierung und Fondsverwaltung) erhebliche Nacharbeiten und Compliance-Risiken mit sich bringen. Die Priorisierung robuster Datenvalidierung, Versionierung, Zugriffskontrollen und unveränderlicher Protokollierungsmechanismen von Anfang an ist daher entscheidend. Dies beinhaltet die Auswahl geeigneter Datenbanktechnologien und die Implementierung strenger Daten-Governance-Richtlinien. Die Plattform sollte so konzipiert sein, dass sie auditfähige Berichte generieren und autorisierten Stellen transparenten Zugriff auf Daten ermöglichen kann, um zukünftige Compliance-Hürden zu minimieren.</w:t>
      </w:r>
    </w:p>
    <w:p w14:paraId="42439938"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659CEEA"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2.2. Digitale Identität (ALPHA-KEY) und Onboarding-Prozess</w:t>
      </w:r>
    </w:p>
    <w:p w14:paraId="2E63AB1E"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0A87C02"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Schaffung einer digitalen Identität (ALPHA-KEY) für jeden Nutzer und jedes Unternehmen ist der erste und entscheidende Schritt, um die Anforderungen an Transparenz, Rückverfolgbarkeit und Sicherheit der UNI-PdR zu erfüllen. Diese ID dient als Grundlage für alle nachfolgenden Interaktionen auf der Plattform.</w:t>
      </w:r>
    </w:p>
    <w:p w14:paraId="1AAA37F7"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Prozessschritte:</w:t>
      </w:r>
    </w:p>
    <w:p w14:paraId="0F31AD0A" w14:textId="77777777" w:rsidR="00225171"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ALPHA-KEY Generierung:</w:t>
      </w:r>
      <w:r>
        <w:rPr>
          <w:rFonts w:ascii="Google Sans Text" w:eastAsia="Google Sans Text" w:hAnsi="Google Sans Text" w:cs="Google Sans Text"/>
          <w:color w:val="1B1C1D"/>
          <w:sz w:val="24"/>
          <w:szCs w:val="24"/>
        </w:rPr>
        <w:t xml:space="preserve"> Jeder Nutzer, der die Plattform betreten möchte, erhält eine einzigartige digitale ID (ALPHA-KEY).</w:t>
      </w:r>
    </w:p>
    <w:p w14:paraId="7FC815D8" w14:textId="77777777" w:rsidR="00225171"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Know Your Customer (KYC) für Einzelpersonen:</w:t>
      </w:r>
    </w:p>
    <w:p w14:paraId="39FB0F08" w14:textId="77777777" w:rsidR="00225171"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lastRenderedPageBreak/>
        <w:t>Erfassung und Verifizierung persönlicher Daten (Name, Adresse, etc.).</w:t>
      </w:r>
    </w:p>
    <w:p w14:paraId="6F7C80A4" w14:textId="77777777" w:rsidR="00225171"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Diese Daten werden verschlüsselt und sicher abgelegt, ähnlich den Mechanismen einer NFT-Plattform, um die Datenintegrität und den Datenschutz zu gewährleisten.</w:t>
      </w:r>
    </w:p>
    <w:p w14:paraId="16601282" w14:textId="77777777" w:rsidR="00225171"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Kosten:</w:t>
      </w:r>
      <w:r>
        <w:rPr>
          <w:rFonts w:ascii="Google Sans Text" w:eastAsia="Google Sans Text" w:hAnsi="Google Sans Text" w:cs="Google Sans Text"/>
          <w:color w:val="1B1C1D"/>
          <w:sz w:val="24"/>
          <w:szCs w:val="24"/>
        </w:rPr>
        <w:t xml:space="preserve"> Für Einzelpersonen wird eine Gebühr von 17 Euro im ersten Jahr erhoben, gefolgt von 12 Euro für die Token im zweiten Jahr. Diese Gebühren decken die Kosten für die Blockchain-Infrastruktur und die Bereitstellung der digitalen ID.</w:t>
      </w:r>
    </w:p>
    <w:p w14:paraId="7EB2D3AC" w14:textId="77777777" w:rsidR="00225171"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KYC für Unternehmen (Corporate Accounts):</w:t>
      </w:r>
    </w:p>
    <w:p w14:paraId="2D6F7482" w14:textId="77777777" w:rsidR="00225171"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Unternehmen durchlaufen einen ähnlichen, umfassenden KYC-Prozess, der die Verifizierung von Unternehmensdaten, Registrierungen und autorisierten Vertretern umfasst.</w:t>
      </w:r>
    </w:p>
    <w:p w14:paraId="27D55EFE" w14:textId="77777777" w:rsidR="00225171"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Auch hier müssen alle Daten sicher abgelegt und der Prozess vollständig nachvollziehbar sein.</w:t>
      </w:r>
    </w:p>
    <w:p w14:paraId="3FA9FFDA" w14:textId="77777777" w:rsidR="00225171"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Kosten:</w:t>
      </w:r>
      <w:r>
        <w:rPr>
          <w:rFonts w:ascii="Google Sans Text" w:eastAsia="Google Sans Text" w:hAnsi="Google Sans Text" w:cs="Google Sans Text"/>
          <w:color w:val="1B1C1D"/>
          <w:sz w:val="24"/>
          <w:szCs w:val="24"/>
        </w:rPr>
        <w:t xml:space="preserve"> Die Kosten für Firmenkonten werden ebenfalls einen entsprechenden Zyklus durchlaufen, um die Blockchain-basierte digitale ID und die damit verbundenen Dienstleistungen abzudecken.</w:t>
      </w:r>
    </w:p>
    <w:p w14:paraId="77C93645" w14:textId="77777777" w:rsidR="00225171"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Zahlungsabgleich und Verifizierung:</w:t>
      </w:r>
    </w:p>
    <w:p w14:paraId="7D33DA5E" w14:textId="77777777" w:rsidR="00225171" w:rsidRDefault="00000000">
      <w:pPr>
        <w:numPr>
          <w:ilvl w:val="1"/>
          <w:numId w:val="2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Die Zahlung der anfallenden Gebühren (z.B. 10 Euro pro Hektar für Landprojekte, zusätzlich zu den ID-Gebühren) muss per Kreditkarte oder Banküberweisung erfolgen.</w:t>
      </w:r>
    </w:p>
    <w:p w14:paraId="494D382A" w14:textId="77777777" w:rsidR="00225171" w:rsidRDefault="00000000">
      <w:pPr>
        <w:numPr>
          <w:ilvl w:val="1"/>
          <w:numId w:val="2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Der Name des Zahlenden muss exakt mit den im KYC-Prozess hinterlegten Daten übereinstimmen, um eine lückenlose Verifizierung und Betrugsprävention zu gewährleisten.</w:t>
      </w:r>
    </w:p>
    <w:p w14:paraId="32709261" w14:textId="77777777" w:rsidR="00225171"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Generierung des "Fingerabdrucks" und Aktivierung:</w:t>
      </w:r>
    </w:p>
    <w:p w14:paraId="23AC5507" w14:textId="77777777" w:rsidR="00225171" w:rsidRDefault="00000000">
      <w:pPr>
        <w:numPr>
          <w:ilvl w:val="1"/>
          <w:numId w:val="2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Nach erfolgreichem KYC und Zahlungsabgleich erhält der ID-Empfänger einen einzigartigen "Fingerabdruck".</w:t>
      </w:r>
    </w:p>
    <w:p w14:paraId="2546B374" w14:textId="77777777" w:rsidR="00225171" w:rsidRDefault="00000000">
      <w:pPr>
        <w:numPr>
          <w:ilvl w:val="1"/>
          <w:numId w:val="2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Dieser Fingerabdruck wird den Nutzer während seiner gesamten Aktivität auf der Plattform begleiten. Alle Logs, Eingaben, Transaktionen und Aktivitäten werden diesem Fingerabdruck zugeordnet.</w:t>
      </w:r>
    </w:p>
    <w:p w14:paraId="245F2EAD" w14:textId="77777777" w:rsidR="00225171" w:rsidRDefault="00000000">
      <w:pPr>
        <w:numPr>
          <w:ilvl w:val="1"/>
          <w:numId w:val="2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Dies gewährleistet absolute Sicherheit, Nachvollziehbarkeit und einen lückenlosen Audit-Trail für alle Eingaben und Nutzerinformationen, was für die UNI-PdR-Compliance von größter Bedeutung ist.</w:t>
      </w:r>
      <w:r>
        <w:rPr>
          <w:rFonts w:ascii="Google Sans Text" w:eastAsia="Google Sans Text" w:hAnsi="Google Sans Text" w:cs="Google Sans Text"/>
          <w:color w:val="575B5F"/>
          <w:sz w:val="24"/>
          <w:szCs w:val="24"/>
          <w:vertAlign w:val="superscript"/>
        </w:rPr>
        <w:t>1</w:t>
      </w:r>
    </w:p>
    <w:p w14:paraId="728E6BE6" w14:textId="77777777" w:rsidR="00225171"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Kontoaktivierung und Projektauswahl:</w:t>
      </w:r>
    </w:p>
    <w:p w14:paraId="5CCE5A94" w14:textId="77777777" w:rsidR="00225171" w:rsidRDefault="00000000">
      <w:pPr>
        <w:numPr>
          <w:ilvl w:val="1"/>
          <w:numId w:val="26"/>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Erst nach erfolgreicher Aktivierung des individuellen oder korporativen Kontos können Nutzer auswählen, für welche Art von Projekt sie einen Antrag stellen möchten (Carbon Farming oder erneuerbare Energien).</w:t>
      </w:r>
    </w:p>
    <w:p w14:paraId="7375BBB3"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Dieser Ansatz stellt sicher, dass jede Interaktion auf der Plattform auf einer verifizierten Identität basiert, was die Integrität des gesamten Systems stärkt und die Einhaltung der strengen Audit- und Transparenzanforderungen der UNI-PdR von Anfang an gewährleistet.</w:t>
      </w:r>
      <w:r>
        <w:rPr>
          <w:rFonts w:ascii="Google Sans Text" w:eastAsia="Google Sans Text" w:hAnsi="Google Sans Text" w:cs="Google Sans Text"/>
          <w:color w:val="575B5F"/>
          <w:sz w:val="24"/>
          <w:szCs w:val="24"/>
          <w:vertAlign w:val="superscript"/>
        </w:rPr>
        <w:t>1</w:t>
      </w:r>
    </w:p>
    <w:p w14:paraId="06AEBD5D"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78A34BA9"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2.3. Kernsystem für Datenmanagement und Archivierung</w:t>
      </w:r>
    </w:p>
    <w:p w14:paraId="2B9A790C"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0229581"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umfassenden Dokumentationsanforderungen (Rechnungen, Fotos, GPS, Katasterdaten, DAF-Einhaltung, Energieproduktionsprotokolle) für Carbon Farming- und erneuerbare Energieprojekte erfordern einen umfassenden "digitalen Zwilling" jedes physischen Projekts. Hierbei geht es nicht nur um die Speicherung von Dateien, sondern um die Verknüpfung reichhaltiger, überprüfbarer Daten mit jeder Phase des Projektlebenszyklus. Die Notwendigkeit halbjährlicher Foto-Updates und GPS-Koordinaten deutet auf eine kontinuierliche Überwachung und Verifizierung hin.</w:t>
      </w:r>
    </w:p>
    <w:p w14:paraId="29CE4F08"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Dokumentationsanforderungen für CO2-Abscheidung (Carbon Farming):</w:t>
      </w:r>
    </w:p>
    <w:p w14:paraId="6ABA9F39" w14:textId="77777777" w:rsidR="00225171" w:rsidRDefault="00000000">
      <w:pPr>
        <w:numPr>
          <w:ilvl w:val="0"/>
          <w:numId w:val="2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Obligatorische Dokumente:</w:t>
      </w:r>
      <w:r>
        <w:rPr>
          <w:rFonts w:ascii="Google Sans Text" w:eastAsia="Google Sans Text" w:hAnsi="Google Sans Text" w:cs="Google Sans Text"/>
          <w:color w:val="1B1C1D"/>
          <w:sz w:val="24"/>
          <w:szCs w:val="24"/>
        </w:rPr>
        <w:t xml:space="preserve"> Kauf-/Lieferdokumente für Samen/Pflanzen (z.B. Lieferscheine, Rechnungen, Quittungen).</w:t>
      </w:r>
      <w:r>
        <w:rPr>
          <w:rFonts w:ascii="Google Sans Text" w:eastAsia="Google Sans Text" w:hAnsi="Google Sans Text" w:cs="Google Sans Text"/>
          <w:color w:val="575B5F"/>
          <w:sz w:val="24"/>
          <w:szCs w:val="24"/>
          <w:vertAlign w:val="superscript"/>
        </w:rPr>
        <w:t>1</w:t>
      </w:r>
    </w:p>
    <w:p w14:paraId="147B4C30" w14:textId="77777777" w:rsidR="00225171" w:rsidRDefault="00000000">
      <w:pPr>
        <w:numPr>
          <w:ilvl w:val="0"/>
          <w:numId w:val="2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Erforderliche Informationen:</w:t>
      </w:r>
      <w:r>
        <w:rPr>
          <w:rFonts w:ascii="Google Sans Text" w:eastAsia="Google Sans Text" w:hAnsi="Google Sans Text" w:cs="Google Sans Text"/>
          <w:color w:val="1B1C1D"/>
          <w:sz w:val="24"/>
          <w:szCs w:val="24"/>
        </w:rPr>
        <w:t xml:space="preserve"> Aussaatdatum (krautige Pflanzen), Pflanzdatum (Baum-/Agroforstkulturen), fotografische Dokumentation zum Zeitpunkt der Antragstellung und Menge der Samen/Mutterpflanzen gemäß den Punkten 5.2, 5.3, 5.4.</w:t>
      </w:r>
      <w:r>
        <w:rPr>
          <w:rFonts w:ascii="Google Sans Text" w:eastAsia="Google Sans Text" w:hAnsi="Google Sans Text" w:cs="Google Sans Text"/>
          <w:color w:val="575B5F"/>
          <w:sz w:val="24"/>
          <w:szCs w:val="24"/>
          <w:vertAlign w:val="superscript"/>
        </w:rPr>
        <w:t>1</w:t>
      </w:r>
    </w:p>
    <w:p w14:paraId="5926984A" w14:textId="77777777" w:rsidR="00225171" w:rsidRDefault="00000000">
      <w:pPr>
        <w:numPr>
          <w:ilvl w:val="0"/>
          <w:numId w:val="2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Archivierungsdauer:</w:t>
      </w:r>
      <w:r>
        <w:rPr>
          <w:rFonts w:ascii="Google Sans Text" w:eastAsia="Google Sans Text" w:hAnsi="Google Sans Text" w:cs="Google Sans Text"/>
          <w:color w:val="1B1C1D"/>
          <w:sz w:val="24"/>
          <w:szCs w:val="24"/>
        </w:rPr>
        <w:t xml:space="preserve"> Dokumente/Informationen müssen für einen Mindestzeitraum aufbewahrt werden, der der Projektlaufzeit entspricht.</w:t>
      </w:r>
      <w:r>
        <w:rPr>
          <w:rFonts w:ascii="Google Sans Text" w:eastAsia="Google Sans Text" w:hAnsi="Google Sans Text" w:cs="Google Sans Text"/>
          <w:color w:val="575B5F"/>
          <w:sz w:val="24"/>
          <w:szCs w:val="24"/>
          <w:vertAlign w:val="superscript"/>
        </w:rPr>
        <w:t>1</w:t>
      </w:r>
    </w:p>
    <w:p w14:paraId="38AD3A55" w14:textId="77777777" w:rsidR="00225171"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Dokumentationsanforderungen für CO2-Reduktion (Erneuerbare Energien):</w:t>
      </w:r>
    </w:p>
    <w:p w14:paraId="68A3947C" w14:textId="77777777" w:rsidR="00225171" w:rsidRDefault="00000000">
      <w:pPr>
        <w:numPr>
          <w:ilvl w:val="0"/>
          <w:numId w:val="2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Obligatorische Dokumente:</w:t>
      </w:r>
      <w:r>
        <w:rPr>
          <w:rFonts w:ascii="Google Sans Text" w:eastAsia="Google Sans Text" w:hAnsi="Google Sans Text" w:cs="Google Sans Text"/>
          <w:color w:val="1B1C1D"/>
          <w:sz w:val="24"/>
          <w:szCs w:val="24"/>
        </w:rPr>
        <w:t xml:space="preserve"> Kaufdokumente für die Technologie (z.B. Lieferscheine, Rechnungen), Genehmigungsdetails (Datum, Typ, ausstellende Stelle), Prüf- und Inbetriebnahme Daten, jährliche elektrische/thermische Energieproduktionsdaten (bis zu fünf Vorjahre) und fotografische Dokumentation.</w:t>
      </w:r>
      <w:r>
        <w:rPr>
          <w:rFonts w:ascii="Google Sans Text" w:eastAsia="Google Sans Text" w:hAnsi="Google Sans Text" w:cs="Google Sans Text"/>
          <w:color w:val="575B5F"/>
          <w:sz w:val="24"/>
          <w:szCs w:val="24"/>
          <w:vertAlign w:val="superscript"/>
        </w:rPr>
        <w:t>1</w:t>
      </w:r>
    </w:p>
    <w:p w14:paraId="66844F6E" w14:textId="77777777" w:rsidR="00225171" w:rsidRDefault="00000000">
      <w:pPr>
        <w:numPr>
          <w:ilvl w:val="0"/>
          <w:numId w:val="2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Archivierungsdauer:</w:t>
      </w:r>
      <w:r>
        <w:rPr>
          <w:rFonts w:ascii="Google Sans Text" w:eastAsia="Google Sans Text" w:hAnsi="Google Sans Text" w:cs="Google Sans Text"/>
          <w:color w:val="1B1C1D"/>
          <w:sz w:val="24"/>
          <w:szCs w:val="24"/>
        </w:rPr>
        <w:t xml:space="preserve"> Dokumente/Informationen müssen für einen Mindestzeitraum aufbewahrt werden, der der Projektlaufzeit entspricht.</w:t>
      </w:r>
      <w:r>
        <w:rPr>
          <w:rFonts w:ascii="Google Sans Text" w:eastAsia="Google Sans Text" w:hAnsi="Google Sans Text" w:cs="Google Sans Text"/>
          <w:color w:val="575B5F"/>
          <w:sz w:val="24"/>
          <w:szCs w:val="24"/>
          <w:vertAlign w:val="superscript"/>
        </w:rPr>
        <w:t>1</w:t>
      </w:r>
    </w:p>
    <w:p w14:paraId="7CE82EDC" w14:textId="77777777" w:rsidR="00225171"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Allgemeine Archivierungsprinzipien (für Audits):</w:t>
      </w:r>
    </w:p>
    <w:p w14:paraId="725AB072" w14:textId="77777777" w:rsidR="00225171" w:rsidRDefault="00000000">
      <w:pPr>
        <w:numPr>
          <w:ilvl w:val="0"/>
          <w:numId w:val="2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Verfügbarkeit:</w:t>
      </w:r>
      <w:r>
        <w:rPr>
          <w:rFonts w:ascii="Google Sans Text" w:eastAsia="Google Sans Text" w:hAnsi="Google Sans Text" w:cs="Google Sans Text"/>
          <w:color w:val="1B1C1D"/>
          <w:sz w:val="24"/>
          <w:szCs w:val="24"/>
        </w:rPr>
        <w:t xml:space="preserve"> Alle Dokumentationen (vor und nach der Pflanzung/Installation, Inspektionsberichte) müssen für Kontrollen/Verifizierungen verfügbar sein.</w:t>
      </w:r>
      <w:r>
        <w:rPr>
          <w:rFonts w:ascii="Google Sans Text" w:eastAsia="Google Sans Text" w:hAnsi="Google Sans Text" w:cs="Google Sans Text"/>
          <w:color w:val="575B5F"/>
          <w:sz w:val="24"/>
          <w:szCs w:val="24"/>
          <w:vertAlign w:val="superscript"/>
        </w:rPr>
        <w:t>1</w:t>
      </w:r>
    </w:p>
    <w:p w14:paraId="1C2FEF71" w14:textId="77777777" w:rsidR="00225171" w:rsidRDefault="00000000">
      <w:pPr>
        <w:numPr>
          <w:ilvl w:val="0"/>
          <w:numId w:val="2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Konsistenz:</w:t>
      </w:r>
      <w:r>
        <w:rPr>
          <w:rFonts w:ascii="Google Sans Text" w:eastAsia="Google Sans Text" w:hAnsi="Google Sans Text" w:cs="Google Sans Text"/>
          <w:color w:val="1B1C1D"/>
          <w:sz w:val="24"/>
          <w:szCs w:val="24"/>
        </w:rPr>
        <w:t xml:space="preserve"> Überprüfung der Konsistenz von Papier- und elektronischen Archiven.</w:t>
      </w:r>
      <w:r>
        <w:rPr>
          <w:rFonts w:ascii="Google Sans Text" w:eastAsia="Google Sans Text" w:hAnsi="Google Sans Text" w:cs="Google Sans Text"/>
          <w:color w:val="575B5F"/>
          <w:sz w:val="24"/>
          <w:szCs w:val="24"/>
          <w:vertAlign w:val="superscript"/>
        </w:rPr>
        <w:t>1</w:t>
      </w:r>
    </w:p>
    <w:p w14:paraId="7601766C" w14:textId="77777777" w:rsidR="00225171" w:rsidRDefault="00000000">
      <w:pPr>
        <w:numPr>
          <w:ilvl w:val="0"/>
          <w:numId w:val="29"/>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Archivierung wesentlicher Daten:</w:t>
      </w:r>
      <w:r>
        <w:rPr>
          <w:rFonts w:ascii="Google Sans Text" w:eastAsia="Google Sans Text" w:hAnsi="Google Sans Text" w:cs="Google Sans Text"/>
          <w:color w:val="1B1C1D"/>
          <w:sz w:val="24"/>
          <w:szCs w:val="24"/>
        </w:rPr>
        <w:t xml:space="preserve"> Die Serverstruktur muss alle Informationen zu Kulturen/Anlagen, die Kodierung jedes Assets, aktuelle Fotos (innerhalb von 3 Monaten, halbjährliche Updates), Katasterdaten und GPS-Koordinaten enthalten.</w:t>
      </w:r>
      <w:r>
        <w:rPr>
          <w:rFonts w:ascii="Google Sans Text" w:eastAsia="Google Sans Text" w:hAnsi="Google Sans Text" w:cs="Google Sans Text"/>
          <w:color w:val="575B5F"/>
          <w:sz w:val="24"/>
          <w:szCs w:val="24"/>
          <w:vertAlign w:val="superscript"/>
        </w:rPr>
        <w:t>1</w:t>
      </w:r>
    </w:p>
    <w:p w14:paraId="31290C2A"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CTO sollte ein robustes Dokumentenmanagementsystem (DMS) planen, das in ein Geografisches Informationssystem (GIS) und ein Projektmanagement-Informationssystem (PMIS) integriert ist. Dieser Ansatz des digitalen Zwillings ist entscheidend für die automatisierte Datenvalidierung, Compliance-Prüfungen und effiziente Audits durch Dritte. Die Berücksichtigung von IoT-Sensoren für die Datenerfassung in Echtzeit (z.B. Energieproduktion, Umweltbedingungen) sollte Teil der langfristigen Vision sein, um die Datengranularität und Automatisierung zu verbessern.</w:t>
      </w:r>
    </w:p>
    <w:p w14:paraId="0EC475B6"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Tabelle 2: Matrix der erforderlichen Dokumentation für Projektaktivierung und Audits</w:t>
      </w:r>
    </w:p>
    <w:p w14:paraId="21E4816A" w14:textId="77777777" w:rsidR="00225171" w:rsidRDefault="00225171">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225171" w14:paraId="3016CF3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457F1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Kategorie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2AAA4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Dokument / Information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D2E30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Projekttyp</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5C1B5E"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Zweck</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92DC3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UNI-PdR Referenz</w:t>
            </w:r>
          </w:p>
        </w:tc>
      </w:tr>
      <w:tr w:rsidR="00225171" w14:paraId="65AC6B86"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187BB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 Vertragsprüfung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50378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Verträge über Rechte zur Projekterstellung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6E707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DC35FB"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0FA7FE"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10E9925B"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A5F2FC"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67785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Verträge mit qualifizierten Händlern/Baumschulen (Pkt. 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7FECA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A5CC9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A63FC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4F790F6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A0779C"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19919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Abtretungen/Übertragungen von Nutzungsrechten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F3E3EB"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7B647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CA2EFB"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2CEF713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51A3E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B. DAF-Konformität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0AF1C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Herkunftszertifikate Samen/Pflanzen (Pkt. 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EA0CC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F8EB9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72A34C"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1F20A98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D79702"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C918D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Lieferscheine, Rechnungen, Kaufverträge Pflanzen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CBE14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8E387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18E54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648EAB9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14D751"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95238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ISO 9001 Zertifizierung der Baumschule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7FE6F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CCD9D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CED35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71D5C56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588FEC"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963E0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Nachweise zur DAF-Einhaltung (Rechnungen, Lieferscheine)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D7797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5B0D04"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0F1CE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4E594F1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03E72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 Projektdaten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C8777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Serverstruktur mit Projektinformationen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9D2E4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0576C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AA2BA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4A57382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3C8371"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8B6E9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Kodierung jedes Assets (Kultur/Anlage)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1DE62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133D7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29A2CC"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5B83308E"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1264C0"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AFC3C9"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Aktuelle Fotos (letzte 3 Monate, halbjährliche Updates)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F6CC0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FE6331"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30142E"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391CF9C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EA9D90"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AB7F5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Katasterdaten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4036BF"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80FB94"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402D7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03B79B6E"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A664EA"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7A3A4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GPS-Koordinaten (Breite, Länge)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1A846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55DEEB"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55E179"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691F979E"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D26E7A"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E51BE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Konsistente Betreiberverträge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6C681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E2789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Aktivierung, 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39668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757B3B0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088048"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2E3BF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Stichproben-Vor-Ort-Inspektionen (min. 10% der Tonnen)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F960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EA500C"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0DB23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558DEF8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9555B7"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0607D9"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Nachweis der Berechnungsmethodik (Anhang A, B.1, C.1)</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67FCC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593C2E"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667B1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42FDE7D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2B391B"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3A8E9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Nachweis der Anwendung von Sicherheitsfaktor &amp; Garantiefonds-Koeffizient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7CD8C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95EED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F7803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6CBD50EF"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2F4C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 Technologie &amp; Blockchain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64299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Existenz/Funktion Plattform (Blockchain-fähig)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9C566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AB916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F4CF31"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47548587"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D6D242"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4CF8D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Registrierung zertifizierter Gutschriften in Blockchain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F2C87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0142D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6E022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267A148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936848"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145CA4"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Verfügbarkeit Software House </w:t>
            </w:r>
            <w:r>
              <w:rPr>
                <w:rFonts w:ascii="Google Sans Text" w:eastAsia="Google Sans Text" w:hAnsi="Google Sans Text" w:cs="Google Sans Text"/>
                <w:color w:val="1B1C1D"/>
                <w:sz w:val="20"/>
                <w:szCs w:val="20"/>
              </w:rPr>
              <w:lastRenderedPageBreak/>
              <w:t>(Blockchain-Support)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32A1D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76CF81"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036D0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219CC81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729CB1"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F212BC"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Fähigkeit zur Generierung zertifizierter Gutschriften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C5876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E70F8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4B2A2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r w:rsidR="00225171" w14:paraId="5C6841D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B3DE40" w14:textId="77777777" w:rsidR="00225171" w:rsidRDefault="00225171">
            <w:pPr>
              <w:pBdr>
                <w:top w:val="nil"/>
                <w:left w:val="nil"/>
                <w:bottom w:val="nil"/>
                <w:right w:val="nil"/>
                <w:between w:val="nil"/>
              </w:pBdr>
              <w:spacing w:line="276" w:lineRule="auto"/>
              <w:rPr>
                <w:rFonts w:ascii="Google Sans Text" w:eastAsia="Google Sans Text" w:hAnsi="Google Sans Text" w:cs="Google Sans Text"/>
                <w:color w:val="575B5F"/>
                <w:sz w:val="24"/>
                <w:szCs w:val="24"/>
                <w:vertAlign w:val="superscript"/>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62039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Dokumentation technischer Merkmale (Blockchain-Codes, HASH-Codes, Datenkarten)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2FD0B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CF, RE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66E86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Audit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EF0A3B"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575B5F"/>
                <w:sz w:val="24"/>
                <w:szCs w:val="24"/>
                <w:vertAlign w:val="superscript"/>
              </w:rPr>
              <w:t>1</w:t>
            </w:r>
          </w:p>
        </w:tc>
      </w:tr>
    </w:tbl>
    <w:p w14:paraId="26B1B43C"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CF = Carbon Farming, RE = Erneuerbare Energien</w:t>
      </w:r>
    </w:p>
    <w:p w14:paraId="0A5C3C50"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i/>
          <w:color w:val="1B1C1D"/>
          <w:sz w:val="24"/>
          <w:szCs w:val="24"/>
        </w:rPr>
      </w:pPr>
    </w:p>
    <w:p w14:paraId="0F828CBA"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2.4. Anfängliche Blockchain-Integration für die Projektregistrierung</w:t>
      </w:r>
    </w:p>
    <w:p w14:paraId="1E5D6FDF"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1998F9D"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Die Blockchain dient als unveränderliches, transparentes Register für zertifizierte Kohlenstoffgutschriften.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In Phase 1 konzentriert sich der Umfang auf die Registrierung grundlegender Projektinformationen, um Klarheit und Objektivität zu gewährleisten, wie in der PdR vorgeschrieben.</w:t>
      </w:r>
      <w:r>
        <w:rPr>
          <w:rFonts w:ascii="Google Sans Text" w:eastAsia="Google Sans Text" w:hAnsi="Google Sans Text" w:cs="Google Sans Text"/>
          <w:color w:val="575B5F"/>
          <w:sz w:val="24"/>
          <w:szCs w:val="24"/>
          <w:vertAlign w:val="superscript"/>
        </w:rPr>
        <w:t>1</w:t>
      </w:r>
    </w:p>
    <w:p w14:paraId="7B272617"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Wichtige Datenpunkte für die Blockchain-Registrierung umfassen:</w:t>
      </w:r>
    </w:p>
    <w:p w14:paraId="27ED3911" w14:textId="77777777" w:rsidR="00225171" w:rsidRDefault="00000000">
      <w:pPr>
        <w:numPr>
          <w:ilvl w:val="0"/>
          <w:numId w:val="3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Grundlegende Projektdaten (Name des Inhabers, Adresse der Plantage/Anlage, GPS-Koordinaten des Pflanz-/Projektbereichs).</w:t>
      </w:r>
      <w:r>
        <w:rPr>
          <w:rFonts w:ascii="Google Sans Text" w:eastAsia="Google Sans Text" w:hAnsi="Google Sans Text" w:cs="Google Sans Text"/>
          <w:color w:val="575B5F"/>
          <w:sz w:val="24"/>
          <w:szCs w:val="24"/>
          <w:vertAlign w:val="superscript"/>
        </w:rPr>
        <w:t>1</w:t>
      </w:r>
    </w:p>
    <w:p w14:paraId="52B3182B" w14:textId="77777777" w:rsidR="00225171" w:rsidRDefault="00000000">
      <w:pPr>
        <w:numPr>
          <w:ilvl w:val="0"/>
          <w:numId w:val="3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Grundlegende Inhaberdaten (Name, Adresse).</w:t>
      </w:r>
      <w:r>
        <w:rPr>
          <w:rFonts w:ascii="Google Sans Text" w:eastAsia="Google Sans Text" w:hAnsi="Google Sans Text" w:cs="Google Sans Text"/>
          <w:color w:val="575B5F"/>
          <w:sz w:val="24"/>
          <w:szCs w:val="24"/>
          <w:vertAlign w:val="superscript"/>
        </w:rPr>
        <w:t>1</w:t>
      </w:r>
    </w:p>
    <w:p w14:paraId="3BB2FF0A" w14:textId="77777777" w:rsidR="00225171" w:rsidRDefault="00000000">
      <w:pPr>
        <w:numPr>
          <w:ilvl w:val="0"/>
          <w:numId w:val="3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Gesamte sequestrierte/reduzierte/eliminierte CO2-Tonnen.</w:t>
      </w:r>
      <w:r>
        <w:rPr>
          <w:rFonts w:ascii="Google Sans Text" w:eastAsia="Google Sans Text" w:hAnsi="Google Sans Text" w:cs="Google Sans Text"/>
          <w:color w:val="575B5F"/>
          <w:sz w:val="24"/>
          <w:szCs w:val="24"/>
          <w:vertAlign w:val="superscript"/>
        </w:rPr>
        <w:t>1</w:t>
      </w:r>
    </w:p>
    <w:p w14:paraId="5CEEFF2B" w14:textId="77777777" w:rsidR="00225171" w:rsidRDefault="00000000">
      <w:pPr>
        <w:numPr>
          <w:ilvl w:val="0"/>
          <w:numId w:val="30"/>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Blockchain-Registrierungscodes, HASH-Codes und Datenkarten.</w:t>
      </w:r>
      <w:r>
        <w:rPr>
          <w:rFonts w:ascii="Google Sans Text" w:eastAsia="Google Sans Text" w:hAnsi="Google Sans Text" w:cs="Google Sans Text"/>
          <w:color w:val="575B5F"/>
          <w:sz w:val="24"/>
          <w:szCs w:val="24"/>
          <w:vertAlign w:val="superscript"/>
        </w:rPr>
        <w:t>1</w:t>
      </w:r>
    </w:p>
    <w:p w14:paraId="57BFFAF9"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Die Organisation selbst verwaltet die Plattform (RCC) für die Blockchain-Registrierung von Projekten, Konformitätszertifikaten und zertifizierten Kohlenstoffgutschriften.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Die Betonung der Blockchain durch die UNI-PdR für zertifizierte Kohlenstoffgutschriften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geht über die einfache Datenspeicherung </w:t>
      </w:r>
      <w:r>
        <w:rPr>
          <w:rFonts w:ascii="Google Sans Text" w:eastAsia="Google Sans Text" w:hAnsi="Google Sans Text" w:cs="Google Sans Text"/>
          <w:color w:val="1B1C1D"/>
          <w:sz w:val="24"/>
          <w:szCs w:val="24"/>
        </w:rPr>
        <w:lastRenderedPageBreak/>
        <w:t xml:space="preserve">hinaus. Es geht darum, eine unveränderliche, transparente und überprüfbare Aufzeichnung zu etablieren, die Vertrauen bei den Stakeholdern (Emittenten, Käufern, Zertifizierern) schafft. Die Erwähnung von "HASH-Codes" und "Datenkarten"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impliziert eine kryptografische Verknüpfung von Off-Chain-Dokumentationen mit On-Chain-Datensätzen, um die Datenintegrität zu gewährleisten. Dies ist ein entscheidender Vertrauensmechanismus, insbesondere angesichts des Mangels an bestehenden offiziellen Methoden, der in der Einleitung erwähnt wird.</w:t>
      </w:r>
      <w:r>
        <w:rPr>
          <w:rFonts w:ascii="Google Sans Text" w:eastAsia="Google Sans Text" w:hAnsi="Google Sans Text" w:cs="Google Sans Text"/>
          <w:color w:val="575B5F"/>
          <w:sz w:val="24"/>
          <w:szCs w:val="24"/>
          <w:vertAlign w:val="superscript"/>
        </w:rPr>
        <w:t>1</w:t>
      </w:r>
    </w:p>
    <w:p w14:paraId="7B0C00F0"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Der CTO muss eine geeignete Blockchain-Plattform auswählen (z.B. eine unternehmensgerechte, permissionierte Blockchain für Compliance und Skalierbarkeit oder eine öffentliche Kette mit entsprechenden Datenschutzschichten). Die Integrationsstrategie sollte sich darauf konzentrieren, welche Daten On-Chain sein </w:t>
      </w:r>
      <w:r>
        <w:rPr>
          <w:rFonts w:ascii="Google Sans Text" w:eastAsia="Google Sans Text" w:hAnsi="Google Sans Text" w:cs="Google Sans Text"/>
          <w:i/>
          <w:color w:val="1B1C1D"/>
          <w:sz w:val="24"/>
          <w:szCs w:val="24"/>
        </w:rPr>
        <w:t>müssen</w:t>
      </w:r>
      <w:r>
        <w:rPr>
          <w:rFonts w:ascii="Google Sans Text" w:eastAsia="Google Sans Text" w:hAnsi="Google Sans Text" w:cs="Google Sans Text"/>
          <w:color w:val="1B1C1D"/>
          <w:sz w:val="24"/>
          <w:szCs w:val="24"/>
        </w:rPr>
        <w:t xml:space="preserve"> (unveränderliche Identifikatoren, CO2-Mengen, Projektstatus) und welche Off-Chain verbleiben können (detaillierte Dokumentation, verknüpft über kryptografische Hashes). Smart Contracts werden für die Automatisierung von Regeln und die Gewährleistung der Compliance bei der Gutschriftenausgabe und -verwaltung unerlässlich sein, was spezialisiertes Fachwissen in der Blockchain-Entwicklung und -Sicherheit erfordert.</w:t>
      </w:r>
    </w:p>
    <w:p w14:paraId="168CF944"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94365C4" w14:textId="77777777" w:rsidR="00225171"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3. Plattformarchitektur für das Kohlenstoffgutschriften-Lebenszyklusmanagement</w:t>
      </w:r>
    </w:p>
    <w:p w14:paraId="69A3F5A7"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5214059F"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Dieser Abschnitt befasst sich mit den architektonischen Komponenten, die für die Verwaltung des gesamten Lebenszyklus von Kohlenstoffgutschriften, von der Quantifizierung bis zur Ausgabe und zum Risikomanagement, erforderlich sind, wobei ein starker Schwerpunkt auf der Blockchain-Integration liegt.</w:t>
      </w:r>
    </w:p>
    <w:p w14:paraId="65288B90"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5F7EF53E"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3.1. Blockchain-basiertes Register für zertifizierte Kohlenstoffgutschriften (RCC)</w:t>
      </w:r>
    </w:p>
    <w:p w14:paraId="249334E0"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E6037B0"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Die technischen Anforderungen an die Emission von Kohlenstoffgutschriften sind präzise definiert. Zertifizierte Kohlenstoffgutschriften müssen grundlegende Projektdaten (Name des Inhabers, Adresse der Plantage/Anlage, GPS-Koordinaten), </w:t>
      </w:r>
      <w:r>
        <w:rPr>
          <w:rFonts w:ascii="Google Sans Text" w:eastAsia="Google Sans Text" w:hAnsi="Google Sans Text" w:cs="Google Sans Text"/>
          <w:color w:val="1B1C1D"/>
          <w:sz w:val="24"/>
          <w:szCs w:val="24"/>
        </w:rPr>
        <w:lastRenderedPageBreak/>
        <w:t>Inhaberdaten (Name, Adresse) und die gesamten sequestrierten/reduzierten/eliminierten CO2-Tonnen enthalten.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Die Gültigkeit der Gutschriften ist auf maximal 7 Jahre ab Emission festgelegt.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Darüber hinaus müssen die Gutschriften Transparenz, Objektivität, perfekte Rückverfolgbarkeit zu den zugrunde liegenden Projekten und die Sicherheit für den Inhaber gewährleisten, sie jederzeit in der Gegenwart oder Zukunft ohne vorheriges Verfallsdatum nutzen zu können.</w:t>
      </w:r>
      <w:r>
        <w:rPr>
          <w:rFonts w:ascii="Google Sans Text" w:eastAsia="Google Sans Text" w:hAnsi="Google Sans Text" w:cs="Google Sans Text"/>
          <w:color w:val="575B5F"/>
          <w:sz w:val="24"/>
          <w:szCs w:val="24"/>
          <w:vertAlign w:val="superscript"/>
        </w:rPr>
        <w:t>1</w:t>
      </w:r>
    </w:p>
    <w:p w14:paraId="0C452B44"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Merkmale zertifizierter Kohlenstoffgutschriften sind detailliert festgelegt:</w:t>
      </w:r>
    </w:p>
    <w:p w14:paraId="54997863" w14:textId="77777777" w:rsidR="00225171" w:rsidRDefault="00000000">
      <w:pPr>
        <w:numPr>
          <w:ilvl w:val="0"/>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Jede Gutschrift muss ihre spezifischen Blockchain-Registrierungscodes und HASH-Codes enthalten.</w:t>
      </w:r>
      <w:r>
        <w:rPr>
          <w:rFonts w:ascii="Google Sans Text" w:eastAsia="Google Sans Text" w:hAnsi="Google Sans Text" w:cs="Google Sans Text"/>
          <w:color w:val="575B5F"/>
          <w:sz w:val="24"/>
          <w:szCs w:val="24"/>
          <w:vertAlign w:val="superscript"/>
        </w:rPr>
        <w:t>1</w:t>
      </w:r>
    </w:p>
    <w:p w14:paraId="1EAC6002" w14:textId="77777777" w:rsidR="00225171" w:rsidRDefault="00000000">
      <w:pPr>
        <w:numPr>
          <w:ilvl w:val="0"/>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Sie muss sich auf ein bestimmtes Kalenderjahr beziehen und die in diesem Jahr geminderten/reduzierten/eliminierten CO2-Tonnen angeben.</w:t>
      </w:r>
      <w:r>
        <w:rPr>
          <w:rFonts w:ascii="Google Sans Text" w:eastAsia="Google Sans Text" w:hAnsi="Google Sans Text" w:cs="Google Sans Text"/>
          <w:color w:val="575B5F"/>
          <w:sz w:val="24"/>
          <w:szCs w:val="24"/>
          <w:vertAlign w:val="superscript"/>
        </w:rPr>
        <w:t>1</w:t>
      </w:r>
    </w:p>
    <w:p w14:paraId="55EBF1BC" w14:textId="77777777" w:rsidR="00225171" w:rsidRDefault="00000000">
      <w:pPr>
        <w:numPr>
          <w:ilvl w:val="0"/>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Einzelne Gutschriften verfallen am 31. Dezember des Kalenderjahres, auf das sie sich beziehen.</w:t>
      </w:r>
      <w:r>
        <w:rPr>
          <w:rFonts w:ascii="Google Sans Text" w:eastAsia="Google Sans Text" w:hAnsi="Google Sans Text" w:cs="Google Sans Text"/>
          <w:color w:val="575B5F"/>
          <w:sz w:val="24"/>
          <w:szCs w:val="24"/>
          <w:vertAlign w:val="superscript"/>
        </w:rPr>
        <w:t>1</w:t>
      </w:r>
    </w:p>
    <w:p w14:paraId="57A59E4D" w14:textId="77777777" w:rsidR="00225171" w:rsidRDefault="00000000">
      <w:pPr>
        <w:numPr>
          <w:ilvl w:val="0"/>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Sie dienen dazu, die effektive Abscheidung/Reduktion/Eliminierung nachzuweisen, auch für die Nachhaltigkeitsbilanz.</w:t>
      </w:r>
      <w:r>
        <w:rPr>
          <w:rFonts w:ascii="Google Sans Text" w:eastAsia="Google Sans Text" w:hAnsi="Google Sans Text" w:cs="Google Sans Text"/>
          <w:color w:val="575B5F"/>
          <w:sz w:val="24"/>
          <w:szCs w:val="24"/>
          <w:vertAlign w:val="superscript"/>
        </w:rPr>
        <w:t>1</w:t>
      </w:r>
    </w:p>
    <w:p w14:paraId="07B6C41F" w14:textId="77777777" w:rsidR="00225171" w:rsidRDefault="00000000">
      <w:pPr>
        <w:numPr>
          <w:ilvl w:val="0"/>
          <w:numId w:val="31"/>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Jede einzelne zertifizierte Kohlenstoffgutschrift ist nicht übertragbar (auch nicht teilweise).</w:t>
      </w:r>
      <w:r>
        <w:rPr>
          <w:rFonts w:ascii="Google Sans Text" w:eastAsia="Google Sans Text" w:hAnsi="Google Sans Text" w:cs="Google Sans Text"/>
          <w:color w:val="575B5F"/>
          <w:sz w:val="24"/>
          <w:szCs w:val="24"/>
          <w:vertAlign w:val="superscript"/>
        </w:rPr>
        <w:t>1</w:t>
      </w:r>
    </w:p>
    <w:p w14:paraId="098E8C11"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Hinsichtlich der Übertragung zertifizierter Kohlenstoffgutschriften ist es dem Inhaber von </w:t>
      </w:r>
      <w:r>
        <w:rPr>
          <w:rFonts w:ascii="Google Sans Text" w:eastAsia="Google Sans Text" w:hAnsi="Google Sans Text" w:cs="Google Sans Text"/>
          <w:i/>
          <w:color w:val="1B1C1D"/>
          <w:sz w:val="24"/>
          <w:szCs w:val="24"/>
        </w:rPr>
        <w:t>zertifizierten Kohlenstoffgutschriften</w:t>
      </w:r>
      <w:r>
        <w:rPr>
          <w:rFonts w:ascii="Google Sans Text" w:eastAsia="Google Sans Text" w:hAnsi="Google Sans Text" w:cs="Google Sans Text"/>
          <w:color w:val="1B1C1D"/>
          <w:sz w:val="24"/>
          <w:szCs w:val="24"/>
        </w:rPr>
        <w:t xml:space="preserve"> (Plural, bezieht sich auf die Sammlung einzelner Gutschriften) gestattet, deren Inhalt über das Register für zertifizierte Kohlenstoffgutschriften an ein anderes Subjekt zu übertragen. Die Verantwortung für solche Handlungen liegt vollständig beim Inhaber der zertifizierten Kohlenstoffgutschriften.</w:t>
      </w:r>
      <w:r>
        <w:rPr>
          <w:rFonts w:ascii="Google Sans Text" w:eastAsia="Google Sans Text" w:hAnsi="Google Sans Text" w:cs="Google Sans Text"/>
          <w:color w:val="575B5F"/>
          <w:sz w:val="24"/>
          <w:szCs w:val="24"/>
          <w:vertAlign w:val="superscript"/>
        </w:rPr>
        <w:t>1</w:t>
      </w:r>
    </w:p>
    <w:p w14:paraId="3CA0217F"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Es besteht eine subtile, aber entscheidende Unterscheidung in der PdR: Einzelne Kohlenstoffgutschriften "verfallen am 31. Dezember des Kalenderjahres, auf das sie sich beziehen" und "können nicht übertragen werden (auch nicht teilweise)".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Der "Inhaber der zertifizierten CO2-Kohlenstoffgutschriften" (Plural) kann jedoch "deren Inhalt an ein anderes Subjekt übertragen".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Dies deutet auf ein zweistufiges System hin: individuelle, jährliche, nicht übertragbare</w:t>
      </w:r>
    </w:p>
    <w:p w14:paraId="6631DD40"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i/>
          <w:color w:val="1B1C1D"/>
          <w:sz w:val="24"/>
          <w:szCs w:val="24"/>
        </w:rPr>
        <w:t>Einheiten der verifizierten CO2-Minderung</w:t>
      </w:r>
      <w:r>
        <w:rPr>
          <w:rFonts w:ascii="Google Sans Text" w:eastAsia="Google Sans Text" w:hAnsi="Google Sans Text" w:cs="Google Sans Text"/>
          <w:color w:val="1B1C1D"/>
          <w:sz w:val="24"/>
          <w:szCs w:val="24"/>
        </w:rPr>
        <w:t xml:space="preserve">, die zu einem größeren, übertragbaren </w:t>
      </w:r>
      <w:r>
        <w:rPr>
          <w:rFonts w:ascii="Google Sans Text" w:eastAsia="Google Sans Text" w:hAnsi="Google Sans Text" w:cs="Google Sans Text"/>
          <w:i/>
          <w:color w:val="1B1C1D"/>
          <w:sz w:val="24"/>
          <w:szCs w:val="24"/>
        </w:rPr>
        <w:t>Portfolio zertifizierter Kohlenstoffgutschriften</w:t>
      </w:r>
      <w:r>
        <w:rPr>
          <w:rFonts w:ascii="Google Sans Text" w:eastAsia="Google Sans Text" w:hAnsi="Google Sans Text" w:cs="Google Sans Text"/>
          <w:color w:val="1B1C1D"/>
          <w:sz w:val="24"/>
          <w:szCs w:val="24"/>
        </w:rPr>
        <w:t xml:space="preserve"> beitragen. Das 7-Jahres-Verfallsdatum für die </w:t>
      </w:r>
      <w:r>
        <w:rPr>
          <w:rFonts w:ascii="Google Sans Text" w:eastAsia="Google Sans Text" w:hAnsi="Google Sans Text" w:cs="Google Sans Text"/>
          <w:i/>
          <w:color w:val="1B1C1D"/>
          <w:sz w:val="24"/>
          <w:szCs w:val="24"/>
        </w:rPr>
        <w:t>Emission</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und der jährliche Verfall für</w:t>
      </w:r>
    </w:p>
    <w:p w14:paraId="2201D178"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i/>
          <w:color w:val="1B1C1D"/>
          <w:sz w:val="24"/>
          <w:szCs w:val="24"/>
        </w:rPr>
        <w:lastRenderedPageBreak/>
        <w:t>einzelne Gutschriften</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bedürfen ebenfalls einer sorgfältigen Interpretation. Diese Dualität erfordert eine ausgeklügelte Smart-Contract-Logik, um den Lebenszyklus, die Aggregation und die Übertragbarkeit dieser Vermögenswerte zu verwalten. Die "Sicherheit, dass die CO2-Tonnen vom Inhaber jederzeit in der Gegenwart und Zukunft ohne vorheriges Verfallsdatum verwendet werden können"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für die</w:t>
      </w:r>
    </w:p>
    <w:p w14:paraId="3ACDADAE"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i/>
          <w:color w:val="1B1C1D"/>
          <w:sz w:val="24"/>
          <w:szCs w:val="24"/>
        </w:rPr>
        <w:t>zertifizierten Kohlenstoffgutschriften</w:t>
      </w:r>
      <w:r>
        <w:rPr>
          <w:rFonts w:ascii="Google Sans Text" w:eastAsia="Google Sans Text" w:hAnsi="Google Sans Text" w:cs="Google Sans Text"/>
          <w:color w:val="1B1C1D"/>
          <w:sz w:val="24"/>
          <w:szCs w:val="24"/>
        </w:rPr>
        <w:t xml:space="preserve"> (Plural) unterstützt diese Portfolio-Sichtweise zusätzlich.</w:t>
      </w:r>
    </w:p>
    <w:p w14:paraId="7F8CB1D1"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CTO muss Smart Contracts entwerfen, die diese Regeln präzise modellieren. Dies umfasst:</w:t>
      </w:r>
    </w:p>
    <w:p w14:paraId="538E9550" w14:textId="77777777" w:rsidR="00225171" w:rsidRDefault="00000000">
      <w:pPr>
        <w:numPr>
          <w:ilvl w:val="0"/>
          <w:numId w:val="3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Minting-Logik:</w:t>
      </w:r>
      <w:r>
        <w:rPr>
          <w:rFonts w:ascii="Google Sans Text" w:eastAsia="Google Sans Text" w:hAnsi="Google Sans Text" w:cs="Google Sans Text"/>
          <w:color w:val="1B1C1D"/>
          <w:sz w:val="24"/>
          <w:szCs w:val="24"/>
        </w:rPr>
        <w:t xml:space="preserve"> Wie einzelne jährliche Gutschriften generiert, mit spezifischen Projekten und Jahren verknüpft und mit ihren eindeutigen Blockchain-IDs und HASHes versehen werden.</w:t>
      </w:r>
    </w:p>
    <w:p w14:paraId="2002F79B" w14:textId="77777777" w:rsidR="00225171" w:rsidRDefault="00000000">
      <w:pPr>
        <w:numPr>
          <w:ilvl w:val="0"/>
          <w:numId w:val="3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Aggregations-/Portfolio-Management:</w:t>
      </w:r>
      <w:r>
        <w:rPr>
          <w:rFonts w:ascii="Google Sans Text" w:eastAsia="Google Sans Text" w:hAnsi="Google Sans Text" w:cs="Google Sans Text"/>
          <w:color w:val="1B1C1D"/>
          <w:sz w:val="24"/>
          <w:szCs w:val="24"/>
        </w:rPr>
        <w:t xml:space="preserve"> Wie diese jährlichen, nicht übertragbaren Einheiten zu einer "zertifizierten Kohlenstoffgutschrift" (Plural) aggregiert werden, die einen übertragbaren Vermögenswert darstellt.</w:t>
      </w:r>
    </w:p>
    <w:p w14:paraId="2CE1AB1C" w14:textId="77777777" w:rsidR="00225171" w:rsidRDefault="00000000">
      <w:pPr>
        <w:numPr>
          <w:ilvl w:val="0"/>
          <w:numId w:val="3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Übertragungslogik:</w:t>
      </w:r>
      <w:r>
        <w:rPr>
          <w:rFonts w:ascii="Google Sans Text" w:eastAsia="Google Sans Text" w:hAnsi="Google Sans Text" w:cs="Google Sans Text"/>
          <w:color w:val="1B1C1D"/>
          <w:sz w:val="24"/>
          <w:szCs w:val="24"/>
        </w:rPr>
        <w:t xml:space="preserve"> Implementierung des Mechanismus zur Übertragung der aggregierten Gutschriften, um die Verantwortung des Eigentümers On-Chain zu erfassen.</w:t>
      </w:r>
    </w:p>
    <w:p w14:paraId="686E14AE" w14:textId="77777777" w:rsidR="00225171" w:rsidRDefault="00000000">
      <w:pPr>
        <w:numPr>
          <w:ilvl w:val="0"/>
          <w:numId w:val="3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Verfallsmanagement:</w:t>
      </w:r>
      <w:r>
        <w:rPr>
          <w:rFonts w:ascii="Google Sans Text" w:eastAsia="Google Sans Text" w:hAnsi="Google Sans Text" w:cs="Google Sans Text"/>
          <w:color w:val="1B1C1D"/>
          <w:sz w:val="24"/>
          <w:szCs w:val="24"/>
        </w:rPr>
        <w:t xml:space="preserve"> Klare Definition, wie die 7-jährige Emissionsgültigkeit und der jährliche Gutschriftenverfall interagieren, möglicherweise durch einen "Burning"- oder "Redeeming"-Mechanismus für jährliche Gutschriften, sobald sie zu einer Nachhaltigkeitsbilanz beitragen, während die gesamte "zertifizierte Kohlenstoffgutschrift" (Portfolio) nutzbar bleibt. Dies erfordert eine sorgfältige rechtliche und technische Auslegung sowie eine robuste Smart-Contract-Entwicklung.</w:t>
      </w:r>
    </w:p>
    <w:p w14:paraId="621C4A4D"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Der Prozess der Ausstellung von Kohlenstoffgutschriften, wie in Anhang A der UNI-PdR beschrieben, folgt einer strengen Abfolge von Operationen. Zunächst wird die Baseline definiert, indem IPCC-Faktoren für Landnutzung (FLU), Management (FMG) und Input (FI) für die Referenz- und Projektsituation zugewiesen werden. Anschließend wird der Referenz-Bodenkohlenstoff (SOC_ref) im obersten Bodenhorizont (0-30 cm) geschätzt. Basierend darauf werden die Kohlenstoffbestände für die Baseline (SOC_baseline) und das Projekt (SOC_project) berechnet. Die Änderung des Kohlenstoffbestands (ΔSOC) wird dann über einen Standardzeitraum von 20 Jahren (IPCC-Standard) ermittelt. Dieser Wert wird in CO2-Äquivalente umgerechnet (CO2eq_ha_yr) und schließlich mit der Projektfläche </w:t>
      </w:r>
      <w:r>
        <w:rPr>
          <w:rFonts w:ascii="Google Sans Text" w:eastAsia="Google Sans Text" w:hAnsi="Google Sans Text" w:cs="Google Sans Text"/>
          <w:color w:val="1B1C1D"/>
          <w:sz w:val="24"/>
          <w:szCs w:val="24"/>
        </w:rPr>
        <w:lastRenderedPageBreak/>
        <w:t>multipliziert, um die jährliche Gesamtmenge an CO2 zu erhalten. Für Baumkulturen und Agroforstkulturen werden spezifische biometrische Parameter (Durchmesser, Höhe, Holzdichte) bzw. jährliche Volumenzuwächse und Biomasse-Expansionsfaktoren verwendet, um die Biomasse und den Kohlenstoffgehalt zu schätzen, bevor die Umrechnung in CO2-Äquivalente erfolgt.</w:t>
      </w:r>
    </w:p>
    <w:p w14:paraId="725B45CF"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2920E3C"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3.2. CO2-Quantifizierungsmodul</w:t>
      </w:r>
    </w:p>
    <w:p w14:paraId="2838ED57"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2AF5D868"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Die Berechnungsmethoden zur Schätzung der CO2-Mengen, die durch Carbon Farming oder erneuerbare Energien gebunden oder reduziert werden, basieren auf wissenschaftlicher Forschung der Universität Tuscia in Viterbo.</w:t>
      </w:r>
      <w:r>
        <w:rPr>
          <w:rFonts w:ascii="Google Sans Text" w:eastAsia="Google Sans Text" w:hAnsi="Google Sans Text" w:cs="Google Sans Text"/>
          <w:color w:val="575B5F"/>
          <w:sz w:val="24"/>
          <w:szCs w:val="24"/>
          <w:vertAlign w:val="superscript"/>
        </w:rPr>
        <w:t>1</w:t>
      </w:r>
    </w:p>
    <w:p w14:paraId="347BD14B" w14:textId="77777777" w:rsidR="00225171"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Carbon Farming:</w:t>
      </w:r>
      <w:r>
        <w:rPr>
          <w:rFonts w:ascii="Google Sans Text" w:eastAsia="Google Sans Text" w:hAnsi="Google Sans Text" w:cs="Google Sans Text"/>
          <w:color w:val="1B1C1D"/>
          <w:sz w:val="24"/>
          <w:szCs w:val="24"/>
        </w:rPr>
        <w:t xml:space="preserve"> Die CO2-Entfernung wird berechnet, indem die Projektfläche (in Hektar) mit der pro Hektar über die Zeit 'T' sequestrierten CO2-Menge multipliziert wird. 'T' ist der Betriebszeitraum (max. 30 Jahre), der sich aus der Summe der Ex-ante- und Ex-post-Jahre zusammensetzt.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Wichtige Eingaben für Carbon Farming umfassen den Referenz-Bodenkohlenstoff (SOC_baseline), Landnutzungsfaktoren (FLU), Managementfaktoren (FMG) und Inputfaktoren (FI) für krautige Kulturen (Anhang A1). Für Baumkulturen sind biometrische Parameter (Durchmesser, Höhe, Holzdichte), Biomasse-Gleichungen (Chave 2014), Wurzel-Spross-Verhältnis und Kohlenstoffanteil relevant (Anhang A2). Bei Agroforstkulturen werden der mittlere jährliche Zuwachs (MAI), die Holzdichte (WD), der Biomasse-Expansionsfaktor (BEF), das Wurzel-Spross-Verhältnis und der Kohlenstoffanteil berücksichtigt (Anhang A3).</w:t>
      </w:r>
      <w:r>
        <w:rPr>
          <w:rFonts w:ascii="Google Sans Text" w:eastAsia="Google Sans Text" w:hAnsi="Google Sans Text" w:cs="Google Sans Text"/>
          <w:color w:val="575B5F"/>
          <w:sz w:val="24"/>
          <w:szCs w:val="24"/>
          <w:vertAlign w:val="superscript"/>
        </w:rPr>
        <w:t>1</w:t>
      </w:r>
    </w:p>
    <w:p w14:paraId="0D18F6FA" w14:textId="77777777" w:rsidR="00225171"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Erneuerbare Energien:</w:t>
      </w:r>
      <w:r>
        <w:rPr>
          <w:rFonts w:ascii="Google Sans Text" w:eastAsia="Google Sans Text" w:hAnsi="Google Sans Text" w:cs="Google Sans Text"/>
          <w:color w:val="1B1C1D"/>
          <w:sz w:val="24"/>
          <w:szCs w:val="24"/>
        </w:rPr>
        <w:t xml:space="preserve"> Die CO2-Reduktion/-Eliminierung wird berechnet, indem die produzierten elektrischen (KW elektrisch) und thermischen (KW thermisch) Kilowatt über die Zeit 'T' multipliziert werden.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Wichtige Eingaben für erneuerbare Energien sind die produzierten elektrischen/thermischen KW, der Anlagentyp und die Nennleistung.</w:t>
      </w:r>
      <w:r>
        <w:rPr>
          <w:rFonts w:ascii="Google Sans Text" w:eastAsia="Google Sans Text" w:hAnsi="Google Sans Text" w:cs="Google Sans Text"/>
          <w:color w:val="575B5F"/>
          <w:sz w:val="24"/>
          <w:szCs w:val="24"/>
          <w:vertAlign w:val="superscript"/>
        </w:rPr>
        <w:t>1</w:t>
      </w:r>
    </w:p>
    <w:p w14:paraId="11C7884D" w14:textId="77777777" w:rsidR="00225171"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Obligatorische Anpassungen (Sicherheitsfaktoren &amp; Puffer):</w:t>
      </w:r>
    </w:p>
    <w:p w14:paraId="2EC49D48" w14:textId="77777777" w:rsidR="00225171"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Sicherheitsfaktor:</w:t>
      </w:r>
      <w:r>
        <w:rPr>
          <w:rFonts w:ascii="Google Sans Text" w:eastAsia="Google Sans Text" w:hAnsi="Google Sans Text" w:cs="Google Sans Text"/>
          <w:color w:val="1B1C1D"/>
          <w:sz w:val="24"/>
          <w:szCs w:val="24"/>
        </w:rPr>
        <w:t xml:space="preserve"> Eine Mindestreduktion von 2 % auf die berechneten CO2-Werte (sowohl für Carbon Farming als auch für erneuerbare Energien) muss als Sicherheitsrundung für Ungenauigkeiten angewendet werden.</w:t>
      </w:r>
      <w:r>
        <w:rPr>
          <w:rFonts w:ascii="Google Sans Text" w:eastAsia="Google Sans Text" w:hAnsi="Google Sans Text" w:cs="Google Sans Text"/>
          <w:color w:val="575B5F"/>
          <w:sz w:val="24"/>
          <w:szCs w:val="24"/>
          <w:vertAlign w:val="superscript"/>
        </w:rPr>
        <w:t>1</w:t>
      </w:r>
    </w:p>
    <w:p w14:paraId="47D2AC8C" w14:textId="77777777" w:rsidR="00225171"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Pufferzuweisung:</w:t>
      </w:r>
      <w:r>
        <w:rPr>
          <w:rFonts w:ascii="Google Sans Text" w:eastAsia="Google Sans Text" w:hAnsi="Google Sans Text" w:cs="Google Sans Text"/>
          <w:color w:val="1B1C1D"/>
          <w:sz w:val="24"/>
          <w:szCs w:val="24"/>
        </w:rPr>
        <w:t xml:space="preserve"> Ein Minimum von 10 % (Puffer) des </w:t>
      </w:r>
      <w:r>
        <w:rPr>
          <w:rFonts w:ascii="Google Sans Text" w:eastAsia="Google Sans Text" w:hAnsi="Google Sans Text" w:cs="Google Sans Text"/>
          <w:i/>
          <w:color w:val="1B1C1D"/>
          <w:sz w:val="24"/>
          <w:szCs w:val="24"/>
        </w:rPr>
        <w:t>Restbetrags</w:t>
      </w:r>
      <w:r>
        <w:rPr>
          <w:rFonts w:ascii="Google Sans Text" w:eastAsia="Google Sans Text" w:hAnsi="Google Sans Text" w:cs="Google Sans Text"/>
          <w:color w:val="1B1C1D"/>
          <w:sz w:val="24"/>
          <w:szCs w:val="24"/>
        </w:rPr>
        <w:t xml:space="preserve"> (nach Abzug </w:t>
      </w:r>
      <w:r>
        <w:rPr>
          <w:rFonts w:ascii="Google Sans Text" w:eastAsia="Google Sans Text" w:hAnsi="Google Sans Text" w:cs="Google Sans Text"/>
          <w:color w:val="1B1C1D"/>
          <w:sz w:val="24"/>
          <w:szCs w:val="24"/>
        </w:rPr>
        <w:lastRenderedPageBreak/>
        <w:t>des Sicherheitsfaktors) muss dem Garantiefonds zugewiesen werden, berechnet nach der Ex-ante-Methode.</w:t>
      </w:r>
      <w:r>
        <w:rPr>
          <w:rFonts w:ascii="Google Sans Text" w:eastAsia="Google Sans Text" w:hAnsi="Google Sans Text" w:cs="Google Sans Text"/>
          <w:color w:val="575B5F"/>
          <w:sz w:val="24"/>
          <w:szCs w:val="24"/>
          <w:vertAlign w:val="superscript"/>
        </w:rPr>
        <w:t>1</w:t>
      </w:r>
    </w:p>
    <w:p w14:paraId="78324515"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 detaillierten Berechnungsmethoden (Anhang A, B, C) und die explizite Erwähnung von Algorithmen, die von der Universität Tuscia entwickelt wurden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unterstreichen die erforderliche wissenschaftliche Genauigkeit. Der obligatorische 2%ige Sicherheitsfaktor und der 10%ige Puffer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deuten auf einen konservativen Ansatz bei der Gutschriftenausgabe hin, der darauf abzielt, Vertrauen aufzubauen und Überkreditierungsrisiken zu mindern. Dies erfordert ein hochpräzises und auditierbares Quantifizierungsmodul. Der CTO muss sicherstellen, dass die Implementierung dieser Algorithmen exakt und transparent ist, möglicherweise durch die Bereitstellung der Berechnungslogik über APIs oder dokumentierte Verfahren für die Überprüfung durch Dritte.</w:t>
      </w:r>
    </w:p>
    <w:p w14:paraId="3B9128BF"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CTO sollte in ein dediziertes "Quantifizierungsmodul" investieren. Dieses Modul muss die spezifischen Algorithmen der Universität Tuscia (Anhang A, B, C) genau implementieren, die Anwendung des 2%igen Sicherheitsfaktors und des 10%igen Puffers automatisieren, konfigurierbar sein, um sich an potenzielle zukünftige Aktualisierungen dieser Algorithmen oder Faktoren anzupassen, und eine detaillierte Protokollierung aller Eingaben, Berechnungen und Ausgaben für Audits bereitstellen. Es muss zudem in das Datenmanagementsystem integriert werden, um Rohprojektdaten abzurufen und berechnete CO2-Werte an das Blockchain-Modul zu übermitteln, wodurch ein durchgängiger Datenfluss und Datenintegrität gewährleistet werden.</w:t>
      </w:r>
    </w:p>
    <w:p w14:paraId="4AD4F370"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Tabelle 3: Anpassungen der Kohlenstoffgutschriftenberechnung</w:t>
      </w: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225171" w14:paraId="176098EB"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8BF789"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Schritt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A43988"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Beschreibung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3FEC6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Carbon Farming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5DD92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Erneuerbare Energien</w:t>
            </w:r>
          </w:p>
        </w:tc>
      </w:tr>
      <w:tr w:rsidR="00225171" w14:paraId="41B2E07F"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D72A7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85E35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Anfänglich berechnete CO2-Menge (X)</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6E4F1A"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X = Hektar * CO2_pro_Hektar_pro_T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DD6685"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X = (KW_elektrisch + KW_thermisch) * CO2_pro_KW_pro_T</w:t>
            </w:r>
          </w:p>
        </w:tc>
      </w:tr>
      <w:tr w:rsidR="00225171" w14:paraId="438768DE"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5B3C5C"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274F30"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Anwendung des Sicherheitsfaktors (2%)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15E65E"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Y = X * (1 - 0.02)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33566C"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Y = X * (1 - 0.02)</w:t>
            </w:r>
          </w:p>
        </w:tc>
      </w:tr>
      <w:tr w:rsidR="00225171" w14:paraId="1E35B18F"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CEE8E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C916F1"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Zuweisung des Puffers (10%) an den Garantiefonds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820A86"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Q_Fonds = Y * 0.10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DA6A87"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Q_Fonds = Y * 0.10</w:t>
            </w:r>
          </w:p>
        </w:tc>
      </w:tr>
      <w:tr w:rsidR="00225171" w14:paraId="4D97A6EC"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E97FBD"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D61F64"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Verfügbare CO2-Menge für Projekt (Q_Projekt)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7F4633"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Q_Projekt = Y * (1 - 0.10)</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B4EA92" w14:textId="77777777" w:rsidR="00225171"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Q_Projekt = Y * (1 - 0.10)</w:t>
            </w:r>
          </w:p>
        </w:tc>
      </w:tr>
    </w:tbl>
    <w:p w14:paraId="4DEB9B4D" w14:textId="77777777" w:rsidR="00225171" w:rsidRDefault="00000000">
      <w:pPr>
        <w:pBdr>
          <w:top w:val="nil"/>
          <w:left w:val="nil"/>
          <w:bottom w:val="nil"/>
          <w:right w:val="nil"/>
          <w:between w:val="nil"/>
        </w:pBdr>
        <w:spacing w:before="48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i/>
          <w:color w:val="1B1C1D"/>
          <w:sz w:val="24"/>
          <w:szCs w:val="24"/>
        </w:rPr>
        <w:t>Beispiel:</w:t>
      </w:r>
      <w:r>
        <w:rPr>
          <w:rFonts w:ascii="Google Sans Text" w:eastAsia="Google Sans Text" w:hAnsi="Google Sans Text" w:cs="Google Sans Text"/>
          <w:color w:val="1B1C1D"/>
          <w:sz w:val="24"/>
          <w:szCs w:val="24"/>
        </w:rPr>
        <w:t xml:space="preserve"> Wenn 1000 Tonnen CO2 ursprünglich berechnet werden:</w:t>
      </w:r>
    </w:p>
    <w:p w14:paraId="62B1C491" w14:textId="77777777" w:rsidR="00225171"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Nach Sicherheitsfaktor: 1000 * 0.98 = 980 Tonnen</w:t>
      </w:r>
    </w:p>
    <w:p w14:paraId="58CEE895" w14:textId="77777777" w:rsidR="00225171"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Puffer für Garantiefonds: 980 * 0.10 = 98 Tonnen</w:t>
      </w:r>
    </w:p>
    <w:p w14:paraId="14BD8A47" w14:textId="77777777" w:rsidR="00225171" w:rsidRDefault="00000000">
      <w:pPr>
        <w:numPr>
          <w:ilvl w:val="0"/>
          <w:numId w:val="4"/>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Verfügbar für Projekt: 980 * 0.90 = 882 Tonnen</w:t>
      </w:r>
    </w:p>
    <w:p w14:paraId="466E79B8" w14:textId="77777777" w:rsidR="00225171" w:rsidRDefault="00225171">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17405CF7"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3.3. Garantiefonds-Modul</w:t>
      </w:r>
    </w:p>
    <w:p w14:paraId="1B3B3065"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8BC632A"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Garantiefonds schützt die Inhaber von Kohlenstoffgutschriften, falls die zugrunde liegenden Projekte die versprochene CO2-Sequestrierung/-Reduktion nicht erbringen, und gewährleistet die "Realität" der zertifizierten Gutschriften.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Der Garantiefonds ist ein ausgeklügelter Risikomanagementmechanismus, keine statische Reserve. Seine dynamische Natur (periodische Aktualisierungen, Aussetzung der Einlagen, Auslöser für die Wiederherstellung, variabler Puffer) impliziert komplexe Finanzmodellierungen und automatisierte operative Arbeitsabläufe. Die Tatsache, dass die Kapazität des Fonds die zukünftigen Pufferanforderungen bestimmt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schafft eine Rückkopplungsschleife, die sich direkt auf das Angebot an zertifizierten Gutschriften und potenziell deren Preisgestaltung auswirkt.</w:t>
      </w:r>
    </w:p>
    <w:p w14:paraId="7E351F3E"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Anforderungen an die Einrichtung:</w:t>
      </w:r>
    </w:p>
    <w:p w14:paraId="56FC7752" w14:textId="77777777" w:rsidR="00225171"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Obligatorische Einlage:</w:t>
      </w:r>
      <w:r>
        <w:rPr>
          <w:rFonts w:ascii="Google Sans Text" w:eastAsia="Google Sans Text" w:hAnsi="Google Sans Text" w:cs="Google Sans Text"/>
          <w:color w:val="1B1C1D"/>
          <w:sz w:val="24"/>
          <w:szCs w:val="24"/>
        </w:rPr>
        <w:t xml:space="preserve"> Mindestens 10 % (Puffer) der sequestrierten/reduzierten/eliminierten Tonnen (gemäß Anhang B.1/C.1) müssen für jedes Projekt eingezahlt werden. Ein vorgeschlagener Mindestabrundungsfaktor von 2 % wird auf die Werte aus B.1/C.1 vor der Einzahlung angewendet.</w:t>
      </w:r>
      <w:r>
        <w:rPr>
          <w:rFonts w:ascii="Google Sans Text" w:eastAsia="Google Sans Text" w:hAnsi="Google Sans Text" w:cs="Google Sans Text"/>
          <w:color w:val="575B5F"/>
          <w:sz w:val="24"/>
          <w:szCs w:val="24"/>
          <w:vertAlign w:val="superscript"/>
        </w:rPr>
        <w:t>1</w:t>
      </w:r>
    </w:p>
    <w:p w14:paraId="2E7A70E9" w14:textId="77777777" w:rsidR="00225171"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Kundenkonsultation:</w:t>
      </w:r>
      <w:r>
        <w:rPr>
          <w:rFonts w:ascii="Google Sans Text" w:eastAsia="Google Sans Text" w:hAnsi="Google Sans Text" w:cs="Google Sans Text"/>
          <w:color w:val="1B1C1D"/>
          <w:sz w:val="24"/>
          <w:szCs w:val="24"/>
        </w:rPr>
        <w:t xml:space="preserve"> Der Fonds muss für Kunden, die Minderungs-</w:t>
      </w:r>
      <w:r>
        <w:rPr>
          <w:rFonts w:ascii="Google Sans Text" w:eastAsia="Google Sans Text" w:hAnsi="Google Sans Text" w:cs="Google Sans Text"/>
          <w:color w:val="1B1C1D"/>
          <w:sz w:val="24"/>
          <w:szCs w:val="24"/>
        </w:rPr>
        <w:lastRenderedPageBreak/>
        <w:t>/Reduktionsprojekte erwerben, zugänglich sein.</w:t>
      </w:r>
      <w:r>
        <w:rPr>
          <w:rFonts w:ascii="Google Sans Text" w:eastAsia="Google Sans Text" w:hAnsi="Google Sans Text" w:cs="Google Sans Text"/>
          <w:color w:val="575B5F"/>
          <w:sz w:val="24"/>
          <w:szCs w:val="24"/>
          <w:vertAlign w:val="superscript"/>
        </w:rPr>
        <w:t>1</w:t>
      </w:r>
    </w:p>
    <w:p w14:paraId="2A4A789B" w14:textId="77777777" w:rsidR="00225171"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Erhöhung &amp; Aktualisierung:</w:t>
      </w:r>
      <w:r>
        <w:rPr>
          <w:rFonts w:ascii="Google Sans Text" w:eastAsia="Google Sans Text" w:hAnsi="Google Sans Text" w:cs="Google Sans Text"/>
          <w:color w:val="1B1C1D"/>
          <w:sz w:val="24"/>
          <w:szCs w:val="24"/>
        </w:rPr>
        <w:t xml:space="preserve"> Der Fonds wird durch CO2-Tonnen aus allen neuen in der Blockchain registrierten Projekten erhöht. Er muss mindestens alle 30 Tage in der Blockchain aktualisiert werden.</w:t>
      </w:r>
      <w:r>
        <w:rPr>
          <w:rFonts w:ascii="Google Sans Text" w:eastAsia="Google Sans Text" w:hAnsi="Google Sans Text" w:cs="Google Sans Text"/>
          <w:color w:val="575B5F"/>
          <w:sz w:val="24"/>
          <w:szCs w:val="24"/>
          <w:vertAlign w:val="superscript"/>
        </w:rPr>
        <w:t>1</w:t>
      </w:r>
    </w:p>
    <w:p w14:paraId="0601A39C" w14:textId="77777777" w:rsidR="00225171"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Aussetzung der Einlagen:</w:t>
      </w:r>
      <w:r>
        <w:rPr>
          <w:rFonts w:ascii="Google Sans Text" w:eastAsia="Google Sans Text" w:hAnsi="Google Sans Text" w:cs="Google Sans Text"/>
          <w:color w:val="1B1C1D"/>
          <w:sz w:val="24"/>
          <w:szCs w:val="24"/>
        </w:rPr>
        <w:t xml:space="preserve"> Einzahlungen können eingestellt werden, sobald die Fondskapazität mindestens 25 % der ex ante berechneten CO2-Tonnen abdeckt.</w:t>
      </w:r>
      <w:r>
        <w:rPr>
          <w:rFonts w:ascii="Google Sans Text" w:eastAsia="Google Sans Text" w:hAnsi="Google Sans Text" w:cs="Google Sans Text"/>
          <w:color w:val="575B5F"/>
          <w:sz w:val="24"/>
          <w:szCs w:val="24"/>
          <w:vertAlign w:val="superscript"/>
        </w:rPr>
        <w:t>1</w:t>
      </w:r>
    </w:p>
    <w:p w14:paraId="07EE4E39" w14:textId="77777777" w:rsidR="00225171"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Wiederherstellung:</w:t>
      </w:r>
      <w:r>
        <w:rPr>
          <w:rFonts w:ascii="Google Sans Text" w:eastAsia="Google Sans Text" w:hAnsi="Google Sans Text" w:cs="Google Sans Text"/>
          <w:color w:val="1B1C1D"/>
          <w:sz w:val="24"/>
          <w:szCs w:val="24"/>
        </w:rPr>
        <w:t xml:space="preserve"> Fällt der Fonds unter 10 % der im Umlauf befindlichen CO2-Tonnen, erhöht sich der Puffer für </w:t>
      </w:r>
      <w:r>
        <w:rPr>
          <w:rFonts w:ascii="Google Sans Text" w:eastAsia="Google Sans Text" w:hAnsi="Google Sans Text" w:cs="Google Sans Text"/>
          <w:i/>
          <w:color w:val="1B1C1D"/>
          <w:sz w:val="24"/>
          <w:szCs w:val="24"/>
        </w:rPr>
        <w:t>neue Projekte</w:t>
      </w:r>
      <w:r>
        <w:rPr>
          <w:rFonts w:ascii="Google Sans Text" w:eastAsia="Google Sans Text" w:hAnsi="Google Sans Text" w:cs="Google Sans Text"/>
          <w:color w:val="1B1C1D"/>
          <w:sz w:val="24"/>
          <w:szCs w:val="24"/>
        </w:rPr>
        <w:t xml:space="preserve"> um 5 Prozentpunkte (z.B. von 5 % auf 10 %), bis 10 % der gesamten Ex-ante-CO2-Menge erreicht sind. Diese Erhöhung gilt für alle neuen Projekte, die ab diesem Zeitpunkt registriert werden.</w:t>
      </w:r>
      <w:r>
        <w:rPr>
          <w:rFonts w:ascii="Google Sans Text" w:eastAsia="Google Sans Text" w:hAnsi="Google Sans Text" w:cs="Google Sans Text"/>
          <w:color w:val="575B5F"/>
          <w:sz w:val="24"/>
          <w:szCs w:val="24"/>
          <w:vertAlign w:val="superscript"/>
        </w:rPr>
        <w:t>1</w:t>
      </w:r>
    </w:p>
    <w:p w14:paraId="5C3B9D2C" w14:textId="77777777" w:rsidR="00225171"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Aktivierungsprotokolle:</w:t>
      </w:r>
    </w:p>
    <w:p w14:paraId="76099139" w14:textId="77777777" w:rsidR="00225171"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Auslöser:</w:t>
      </w:r>
      <w:r>
        <w:rPr>
          <w:rFonts w:ascii="Google Sans Text" w:eastAsia="Google Sans Text" w:hAnsi="Google Sans Text" w:cs="Google Sans Text"/>
          <w:color w:val="1B1C1D"/>
          <w:sz w:val="24"/>
          <w:szCs w:val="24"/>
        </w:rPr>
        <w:t xml:space="preserve"> Kompromittierte Umweltkompensations-/Erneuerbare-Energie-Projekte (z.B. Nutzungsänderung des Bodens, &gt;50 % Ernteschaden, vorübergehende/dauerhafte Stilllegung der Anlage).</w:t>
      </w:r>
      <w:r>
        <w:rPr>
          <w:rFonts w:ascii="Google Sans Text" w:eastAsia="Google Sans Text" w:hAnsi="Google Sans Text" w:cs="Google Sans Text"/>
          <w:color w:val="575B5F"/>
          <w:sz w:val="24"/>
          <w:szCs w:val="24"/>
          <w:vertAlign w:val="superscript"/>
        </w:rPr>
        <w:t>1</w:t>
      </w:r>
    </w:p>
    <w:p w14:paraId="68153BA7" w14:textId="77777777" w:rsidR="00225171"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Meldung:</w:t>
      </w:r>
      <w:r>
        <w:rPr>
          <w:rFonts w:ascii="Google Sans Text" w:eastAsia="Google Sans Text" w:hAnsi="Google Sans Text" w:cs="Google Sans Text"/>
          <w:color w:val="1B1C1D"/>
          <w:sz w:val="24"/>
          <w:szCs w:val="24"/>
        </w:rPr>
        <w:t xml:space="preserve"> Schäden müssen innerhalb von 3 Tagen gemeldet werden. Die Aktivierung erfolgt automatisch nach zertifizierter Meldung (per PEC).</w:t>
      </w:r>
      <w:r>
        <w:rPr>
          <w:rFonts w:ascii="Google Sans Text" w:eastAsia="Google Sans Text" w:hAnsi="Google Sans Text" w:cs="Google Sans Text"/>
          <w:color w:val="575B5F"/>
          <w:sz w:val="24"/>
          <w:szCs w:val="24"/>
          <w:vertAlign w:val="superscript"/>
        </w:rPr>
        <w:t>1</w:t>
      </w:r>
    </w:p>
    <w:p w14:paraId="119E70EE" w14:textId="77777777" w:rsidR="00225171"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Verantwortung für die Schadenserkennung:</w:t>
      </w:r>
      <w:r>
        <w:rPr>
          <w:rFonts w:ascii="Google Sans Text" w:eastAsia="Google Sans Text" w:hAnsi="Google Sans Text" w:cs="Google Sans Text"/>
          <w:color w:val="1B1C1D"/>
          <w:sz w:val="24"/>
          <w:szCs w:val="24"/>
        </w:rPr>
        <w:t xml:space="preserve"> Eigentümer der Kultur, Eigentümer der Anlage für erneuerbare Energien, Organisation, fondsverwaltendes Unternehmen (in dieser Reihenfolge).</w:t>
      </w:r>
      <w:r>
        <w:rPr>
          <w:rFonts w:ascii="Google Sans Text" w:eastAsia="Google Sans Text" w:hAnsi="Google Sans Text" w:cs="Google Sans Text"/>
          <w:color w:val="575B5F"/>
          <w:sz w:val="24"/>
          <w:szCs w:val="24"/>
          <w:vertAlign w:val="superscript"/>
        </w:rPr>
        <w:t>1</w:t>
      </w:r>
    </w:p>
    <w:p w14:paraId="065F0639" w14:textId="77777777" w:rsidR="00225171" w:rsidRDefault="00000000">
      <w:pPr>
        <w:numPr>
          <w:ilvl w:val="0"/>
          <w:numId w:val="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Wiederherstellungsmaßnahmen:</w:t>
      </w:r>
      <w:r>
        <w:rPr>
          <w:rFonts w:ascii="Google Sans Text" w:eastAsia="Google Sans Text" w:hAnsi="Google Sans Text" w:cs="Google Sans Text"/>
          <w:color w:val="1B1C1D"/>
          <w:sz w:val="24"/>
          <w:szCs w:val="24"/>
        </w:rPr>
        <w:t xml:space="preserve"> Der Organisation wird empfohlen, die entnommenen Tonnen innerhalb von 360 Tagen (neue Kulturen) wiederherzustellen. Strafen bei nicht-natürlichen/vorsätzlichen Schäden. Die Fondsdeckung wird vom verwaltenden Unternehmen garantiert.</w:t>
      </w:r>
      <w:r>
        <w:rPr>
          <w:rFonts w:ascii="Google Sans Text" w:eastAsia="Google Sans Text" w:hAnsi="Google Sans Text" w:cs="Google Sans Text"/>
          <w:color w:val="575B5F"/>
          <w:sz w:val="24"/>
          <w:szCs w:val="24"/>
          <w:vertAlign w:val="superscript"/>
        </w:rPr>
        <w:t>1</w:t>
      </w:r>
    </w:p>
    <w:p w14:paraId="067E6F2F"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CTO muss ein dediziertes "Garantiefonds-Modul" entwickeln, das die automatische Berechnung und Zuweisung von Pufferbeiträgen basierend auf der Projekt-CO2-Menge, die Echtzeitüberwachung der Fondsniveaus und automatische Warnmeldungen für Schwellenwerte (25 % und 10 %) ermöglicht. Es muss eine Logik zur dynamischen Anpassung des Puffers für neue Projekte basierend auf dem Fondsstatus implementiert werden. Die Integration mit Projektüberwachungssystemen zur Erkennung von Schäden/Nichtkonformität und zur Auslösung der Fondsaktivierung ist ebenfalls notwendig. Eine robuste Protokollierung aller Fondstransaktionen (Einzahlungen, Entnahmen, Wiederherstellungen) für die Auditierbarkeit ist unerlässlich. Die Verwendung von Smart Contracts zur Verwaltung der Fondsregeln und zur potenziellen Automatisierung einiger Aspekte der Beitragszahlung und Aktivierung sollte in Betracht gezogen werden, um Transparenz und Vertrauen zu erhöhen.</w:t>
      </w:r>
    </w:p>
    <w:p w14:paraId="3B7C1393"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2207BC68"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1DD398A2"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599330D4" w14:textId="77777777" w:rsidR="00225171"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4. Sicherstellung der Compliance: Audit- und Kontrollmechanismen</w:t>
      </w:r>
    </w:p>
    <w:p w14:paraId="7EC514C5"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69BACF03"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Dieser Abschnitt behandelt die Rolle der Plattform bei der Erleichterung und Automatisierung der Compliance durch robuste Audit- und Kontrollmechanismen, die entscheidend für die Aufrechterhaltung der Integrität zertifizierter Kohlenstoffgutschriften sind.</w:t>
      </w:r>
    </w:p>
    <w:p w14:paraId="3EA49343"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4AB23DC4"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4.1. Digitale Unterstützung für obligatorische Kontrollen (Emittenten- und Dritteinrichtungen)</w:t>
      </w:r>
    </w:p>
    <w:p w14:paraId="32F86C89"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F687F8F"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Agrar- und Agroforstkulturen sowie Anlagen zur Erzeugung erneuerbarer Energien unterliegen regelmäßigen Besuchen durch die ausstellende Stelle (Organisation) und externe Zertifizierungsstellen.</w:t>
      </w:r>
      <w:r>
        <w:rPr>
          <w:rFonts w:ascii="Google Sans Text" w:eastAsia="Google Sans Text" w:hAnsi="Google Sans Text" w:cs="Google Sans Text"/>
          <w:color w:val="575B5F"/>
          <w:sz w:val="24"/>
          <w:szCs w:val="24"/>
          <w:vertAlign w:val="superscript"/>
        </w:rPr>
        <w:t>1</w:t>
      </w:r>
    </w:p>
    <w:p w14:paraId="66F28F34"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Kontrollen durch die ausstellende Stelle (Rolle der Organisation):</w:t>
      </w:r>
    </w:p>
    <w:p w14:paraId="026C9A48" w14:textId="77777777" w:rsidR="00225171"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Verpflichtung:</w:t>
      </w:r>
      <w:r>
        <w:rPr>
          <w:rFonts w:ascii="Google Sans Text" w:eastAsia="Google Sans Text" w:hAnsi="Google Sans Text" w:cs="Google Sans Text"/>
          <w:color w:val="1B1C1D"/>
          <w:sz w:val="24"/>
          <w:szCs w:val="24"/>
        </w:rPr>
        <w:t xml:space="preserve"> Die Organisation (ausstellende Stelle) muss halbjährliche oder jährliche Besuche (direkt oder über beauftragte Zertifizierungsstellen) durchführen.</w:t>
      </w:r>
      <w:r>
        <w:rPr>
          <w:rFonts w:ascii="Google Sans Text" w:eastAsia="Google Sans Text" w:hAnsi="Google Sans Text" w:cs="Google Sans Text"/>
          <w:color w:val="575B5F"/>
          <w:sz w:val="24"/>
          <w:szCs w:val="24"/>
          <w:vertAlign w:val="superscript"/>
        </w:rPr>
        <w:t>1</w:t>
      </w:r>
    </w:p>
    <w:p w14:paraId="1B676E36" w14:textId="77777777" w:rsidR="00225171"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Ziele:</w:t>
      </w:r>
      <w:r>
        <w:rPr>
          <w:rFonts w:ascii="Google Sans Text" w:eastAsia="Google Sans Text" w:hAnsi="Google Sans Text" w:cs="Google Sans Text"/>
          <w:color w:val="1B1C1D"/>
          <w:sz w:val="24"/>
          <w:szCs w:val="24"/>
        </w:rPr>
        <w:t xml:space="preserve"> Überprüfung des Gesundheitszustands der Kulturen (Einhaltung von Punkt 5), der Funktionalität der erneuerbaren Anlage (Einhaltung von Punkt 10), der Einhaltung des DAF und Bewertung des Bedarfs an Zugang zum Garantiefonds.</w:t>
      </w:r>
      <w:r>
        <w:rPr>
          <w:rFonts w:ascii="Google Sans Text" w:eastAsia="Google Sans Text" w:hAnsi="Google Sans Text" w:cs="Google Sans Text"/>
          <w:color w:val="575B5F"/>
          <w:sz w:val="24"/>
          <w:szCs w:val="24"/>
          <w:vertAlign w:val="superscript"/>
        </w:rPr>
        <w:t>1</w:t>
      </w:r>
    </w:p>
    <w:p w14:paraId="69FBCDFB" w14:textId="77777777" w:rsidR="00225171"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Berichterstattung:</w:t>
      </w:r>
      <w:r>
        <w:rPr>
          <w:rFonts w:ascii="Google Sans Text" w:eastAsia="Google Sans Text" w:hAnsi="Google Sans Text" w:cs="Google Sans Text"/>
          <w:color w:val="1B1C1D"/>
          <w:sz w:val="24"/>
          <w:szCs w:val="24"/>
        </w:rPr>
        <w:t xml:space="preserve"> Ein Bericht muss erstellt und vom Eigentümer unterzeichnet (oder bei Ablehnung per PEC übermittelt) werden, der den tatsächlichen Zustand bescheinigt.</w:t>
      </w:r>
      <w:r>
        <w:rPr>
          <w:rFonts w:ascii="Google Sans Text" w:eastAsia="Google Sans Text" w:hAnsi="Google Sans Text" w:cs="Google Sans Text"/>
          <w:color w:val="575B5F"/>
          <w:sz w:val="24"/>
          <w:szCs w:val="24"/>
          <w:vertAlign w:val="superscript"/>
        </w:rPr>
        <w:t>1</w:t>
      </w:r>
    </w:p>
    <w:p w14:paraId="7C1A0825" w14:textId="77777777" w:rsidR="00225171"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Überwachungsmethoden:</w:t>
      </w:r>
      <w:r>
        <w:rPr>
          <w:rFonts w:ascii="Google Sans Text" w:eastAsia="Google Sans Text" w:hAnsi="Google Sans Text" w:cs="Google Sans Text"/>
          <w:color w:val="1B1C1D"/>
          <w:sz w:val="24"/>
          <w:szCs w:val="24"/>
        </w:rPr>
        <w:t xml:space="preserve"> Neben direkten Besuchen kann die Überwachung auch über Online-Tools, Satellitenbilder, Fotoaustausch oder Selbsterklärungen erfolgen.</w:t>
      </w:r>
      <w:r>
        <w:rPr>
          <w:rFonts w:ascii="Google Sans Text" w:eastAsia="Google Sans Text" w:hAnsi="Google Sans Text" w:cs="Google Sans Text"/>
          <w:color w:val="575B5F"/>
          <w:sz w:val="24"/>
          <w:szCs w:val="24"/>
          <w:vertAlign w:val="superscript"/>
        </w:rPr>
        <w:t>1</w:t>
      </w:r>
    </w:p>
    <w:p w14:paraId="0DB77E36" w14:textId="77777777" w:rsidR="00225171" w:rsidRDefault="00000000">
      <w:pPr>
        <w:numPr>
          <w:ilvl w:val="0"/>
          <w:numId w:val="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lastRenderedPageBreak/>
        <w:t>Strafen:</w:t>
      </w:r>
      <w:r>
        <w:rPr>
          <w:rFonts w:ascii="Google Sans Text" w:eastAsia="Google Sans Text" w:hAnsi="Google Sans Text" w:cs="Google Sans Text"/>
          <w:color w:val="1B1C1D"/>
          <w:sz w:val="24"/>
          <w:szCs w:val="24"/>
        </w:rPr>
        <w:t xml:space="preserve"> Empfohlen bei Nichteinhaltung durch Landwirte/Eigentümer.</w:t>
      </w:r>
      <w:r>
        <w:rPr>
          <w:rFonts w:ascii="Google Sans Text" w:eastAsia="Google Sans Text" w:hAnsi="Google Sans Text" w:cs="Google Sans Text"/>
          <w:color w:val="575B5F"/>
          <w:sz w:val="24"/>
          <w:szCs w:val="24"/>
          <w:vertAlign w:val="superscript"/>
        </w:rPr>
        <w:t>1</w:t>
      </w:r>
    </w:p>
    <w:p w14:paraId="5371A061" w14:textId="77777777" w:rsidR="00225171"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Kontrollen durch externe Zertifizierungsstellen:</w:t>
      </w:r>
    </w:p>
    <w:p w14:paraId="49227D02" w14:textId="77777777" w:rsidR="00225171"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Besuchsrecht:</w:t>
      </w:r>
      <w:r>
        <w:rPr>
          <w:rFonts w:ascii="Google Sans Text" w:eastAsia="Google Sans Text" w:hAnsi="Google Sans Text" w:cs="Google Sans Text"/>
          <w:color w:val="1B1C1D"/>
          <w:sz w:val="24"/>
          <w:szCs w:val="24"/>
        </w:rPr>
        <w:t xml:space="preserve"> Zertifizierungsstellen (von der Organisation/dem Auditor/dem Eigentümer/dem Käufer beauftragt) haben das Recht, regelmäßige Besuche durchzuführen.</w:t>
      </w:r>
      <w:r>
        <w:rPr>
          <w:rFonts w:ascii="Google Sans Text" w:eastAsia="Google Sans Text" w:hAnsi="Google Sans Text" w:cs="Google Sans Text"/>
          <w:color w:val="575B5F"/>
          <w:sz w:val="24"/>
          <w:szCs w:val="24"/>
          <w:vertAlign w:val="superscript"/>
        </w:rPr>
        <w:t>1</w:t>
      </w:r>
    </w:p>
    <w:p w14:paraId="4B22926A" w14:textId="77777777" w:rsidR="00225171"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Ziele:</w:t>
      </w:r>
      <w:r>
        <w:rPr>
          <w:rFonts w:ascii="Google Sans Text" w:eastAsia="Google Sans Text" w:hAnsi="Google Sans Text" w:cs="Google Sans Text"/>
          <w:color w:val="1B1C1D"/>
          <w:sz w:val="24"/>
          <w:szCs w:val="24"/>
        </w:rPr>
        <w:t xml:space="preserve"> Überprüfung des Gesundheitszustands der Kulturen (Einhaltung von Punkt 5), des Betriebs der Anlage (Einhaltung von Punkt 10), der Einhaltung des DAF und Bewertung des Bedarfs an Zugang zum Garantiefonds.</w:t>
      </w:r>
      <w:r>
        <w:rPr>
          <w:rFonts w:ascii="Google Sans Text" w:eastAsia="Google Sans Text" w:hAnsi="Google Sans Text" w:cs="Google Sans Text"/>
          <w:color w:val="575B5F"/>
          <w:sz w:val="24"/>
          <w:szCs w:val="24"/>
          <w:vertAlign w:val="superscript"/>
        </w:rPr>
        <w:t>1</w:t>
      </w:r>
    </w:p>
    <w:p w14:paraId="0857BA70" w14:textId="77777777" w:rsidR="00225171" w:rsidRDefault="00000000">
      <w:pPr>
        <w:numPr>
          <w:ilvl w:val="0"/>
          <w:numId w:val="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Berichterstattung:</w:t>
      </w:r>
      <w:r>
        <w:rPr>
          <w:rFonts w:ascii="Google Sans Text" w:eastAsia="Google Sans Text" w:hAnsi="Google Sans Text" w:cs="Google Sans Text"/>
          <w:color w:val="1B1C1D"/>
          <w:sz w:val="24"/>
          <w:szCs w:val="24"/>
        </w:rPr>
        <w:t xml:space="preserve"> Der Bericht wird der Organisation (veröffentlichenden Stelle) per PEC (oder gleichwertig) übermittelt, um den tatsächlichen Gesundheits-/Entwicklungszustand der Agrarkultur oder den Funktionszustand der erneuerbaren Anlage zu formalisieren.</w:t>
      </w:r>
      <w:r>
        <w:rPr>
          <w:rFonts w:ascii="Google Sans Text" w:eastAsia="Google Sans Text" w:hAnsi="Google Sans Text" w:cs="Google Sans Text"/>
          <w:color w:val="575B5F"/>
          <w:sz w:val="24"/>
          <w:szCs w:val="24"/>
          <w:vertAlign w:val="superscript"/>
        </w:rPr>
        <w:t>1</w:t>
      </w:r>
    </w:p>
    <w:p w14:paraId="28980A92"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 Erwähnung von "Online-Tools, Satellitenbildern, Austausch von Fotomaterial oder Selbsterklärung der Betreiber"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für die Kontrollen durch die ausstellende Stelle, neben physischen Besuchen, deutet auf einen starken Trend zur Fernüberwachung und digitalen Verifizierung hin. Dies stellt eine erhebliche Chance für den CTO dar, Teile des Compliance-Prozesses zu automatisieren, den manuellen Aufwand zu reduzieren und die Häufigkeit der Verifizierung zu erhöhen. Die Notwendigkeit halbjährlicher/jährlicher Berichte und PEC-Kommunikation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impliziert ein strukturiertes Berichts- und Kommunikationsmodul innerhalb der Plattform.</w:t>
      </w:r>
    </w:p>
    <w:p w14:paraId="6BDA3923"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CTO sollte Technologien für die Fernerkundung (Satellitenbilder, Drohnen), KI/ML für die Bildanalyse (z.B. Bewertung des Pflanzenzustands, Pflanzenidentifikation) und sichere digitale Einreichungsportale für Selbsterklärungen und fotografische Beweise prüfen und integrieren. Dies kann die Effizienz und Skalierbarkeit von Compliance-Prüfungen erheblich verbessern, den Aufwand für physische Inspektionen reduzieren und gleichzeitig die Datenintegrität wahren. Die Plattform sollte auch die Berichterstellung und die sichere Kommunikation mit den Zertifizierungsstellen automatisieren.</w:t>
      </w:r>
    </w:p>
    <w:p w14:paraId="2DCED31A"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28548C3"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4.2. Optimierung des Dokumentationszugriffs für Audits</w:t>
      </w:r>
    </w:p>
    <w:p w14:paraId="7E454324"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22DC845"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Organisationen sind verpflichtet, Audits durch Dritte, die von Käufern zertifizierter </w:t>
      </w:r>
      <w:r>
        <w:rPr>
          <w:rFonts w:ascii="Google Sans Text" w:eastAsia="Google Sans Text" w:hAnsi="Google Sans Text" w:cs="Google Sans Text"/>
          <w:color w:val="1B1C1D"/>
          <w:sz w:val="24"/>
          <w:szCs w:val="24"/>
        </w:rPr>
        <w:lastRenderedPageBreak/>
        <w:t>CO2-Kohlenstoffgutschriften angefordert werden, zu akzeptieren.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Alle erforderlichen Dokumente (Anhang D) müssen innerhalb von 30 Tagen nach der Audit-Anfrage bereitgestellt werden.</w:t>
      </w:r>
      <w:r>
        <w:rPr>
          <w:rFonts w:ascii="Google Sans Text" w:eastAsia="Google Sans Text" w:hAnsi="Google Sans Text" w:cs="Google Sans Text"/>
          <w:color w:val="575B5F"/>
          <w:sz w:val="24"/>
          <w:szCs w:val="24"/>
          <w:vertAlign w:val="superscript"/>
        </w:rPr>
        <w:t>1</w:t>
      </w:r>
    </w:p>
    <w:p w14:paraId="7168D335"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 detaillierte Liste der obligatorischen Audit-Dokumente (Anhang D) und die strikte 30-Tage-Frist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zeigen, dass Compliance nicht nachträglich erfolgen kann. Die Plattform muss "audit-ready by design" sein, was bedeutet, dass alle erforderlichen Daten und Dokumente systematisch gesammelt, archiviert und so verknüpft werden, dass ein schneller Abruf und eine schnelle Überprüfung möglich sind. Die explizite Erwähnung der Überprüfung von Berechnungsmethoden, Sicherheitsfaktoren und Pufferkoeffizienten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bedeutet, dass die Plattform diese Prozesse für Auditoren transparent darlegen muss.</w:t>
      </w:r>
    </w:p>
    <w:p w14:paraId="5D7B97C8"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Spezifische Dokumentation für Audits (Anhang D):</w:t>
      </w:r>
    </w:p>
    <w:p w14:paraId="697AB37D" w14:textId="77777777" w:rsidR="00225171"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 – Vertragsprüfung:</w:t>
      </w:r>
      <w:r>
        <w:rPr>
          <w:rFonts w:ascii="Google Sans Text" w:eastAsia="Google Sans Text" w:hAnsi="Google Sans Text" w:cs="Google Sans Text"/>
          <w:color w:val="1B1C1D"/>
          <w:sz w:val="24"/>
          <w:szCs w:val="24"/>
        </w:rPr>
        <w:t xml:space="preserve"> Verträge, die Rechte zur Projekterstellung belegen, Verträge mit qualifizierten Händlern/Baumschulen (Einhaltung von Punkt 5) und Abtretungs-/Übertragungsdokumente.</w:t>
      </w:r>
      <w:r>
        <w:rPr>
          <w:rFonts w:ascii="Google Sans Text" w:eastAsia="Google Sans Text" w:hAnsi="Google Sans Text" w:cs="Google Sans Text"/>
          <w:color w:val="575B5F"/>
          <w:sz w:val="24"/>
          <w:szCs w:val="24"/>
          <w:vertAlign w:val="superscript"/>
        </w:rPr>
        <w:t>1</w:t>
      </w:r>
    </w:p>
    <w:p w14:paraId="2344A877" w14:textId="77777777" w:rsidR="00225171"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 – DAF-Konformität:</w:t>
      </w:r>
      <w:r>
        <w:rPr>
          <w:rFonts w:ascii="Google Sans Text" w:eastAsia="Google Sans Text" w:hAnsi="Google Sans Text" w:cs="Google Sans Text"/>
          <w:color w:val="1B1C1D"/>
          <w:sz w:val="24"/>
          <w:szCs w:val="24"/>
        </w:rPr>
        <w:t xml:space="preserve"> Herkunftszertifikate für Samen/Pflanzen (Einhaltung von Punkt 5), Kauf-/Lieferscheine für Pflanzen, ISO 9001-Zertifizierung der Baumschule und Dokumente, die die DAF-Einhaltung belegen.</w:t>
      </w:r>
      <w:r>
        <w:rPr>
          <w:rFonts w:ascii="Google Sans Text" w:eastAsia="Google Sans Text" w:hAnsi="Google Sans Text" w:cs="Google Sans Text"/>
          <w:color w:val="575B5F"/>
          <w:sz w:val="24"/>
          <w:szCs w:val="24"/>
          <w:vertAlign w:val="superscript"/>
        </w:rPr>
        <w:t>1</w:t>
      </w:r>
    </w:p>
    <w:p w14:paraId="1BFF9FD8" w14:textId="77777777" w:rsidR="00225171"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 – Projektdaten:</w:t>
      </w:r>
      <w:r>
        <w:rPr>
          <w:rFonts w:ascii="Google Sans Text" w:eastAsia="Google Sans Text" w:hAnsi="Google Sans Text" w:cs="Google Sans Text"/>
          <w:color w:val="1B1C1D"/>
          <w:sz w:val="24"/>
          <w:szCs w:val="24"/>
        </w:rPr>
        <w:t xml:space="preserve"> Serverstruktur mit allen Projektinformationen, Kodierung jedes Assets, aktuelle Fotos (letzte 3 Monate, halbjährliche Updates), Katasterdaten, GPS-Koordinaten, konsistente Betreiberverträge und Stichproben-Vor-Ort-Inspektionen (10 % der gesamten Tonnen). Überprüfung der Berechnungsmethodik (Anhang A, B.1, C.1), des Sicherheitsfaktors und der Anwendung des Garantiefonds-Koeffizienten.</w:t>
      </w:r>
      <w:r>
        <w:rPr>
          <w:rFonts w:ascii="Google Sans Text" w:eastAsia="Google Sans Text" w:hAnsi="Google Sans Text" w:cs="Google Sans Text"/>
          <w:color w:val="575B5F"/>
          <w:sz w:val="24"/>
          <w:szCs w:val="24"/>
          <w:vertAlign w:val="superscript"/>
        </w:rPr>
        <w:t>1</w:t>
      </w:r>
    </w:p>
    <w:p w14:paraId="38A3E74D" w14:textId="77777777" w:rsidR="00225171" w:rsidRDefault="00000000">
      <w:pPr>
        <w:numPr>
          <w:ilvl w:val="0"/>
          <w:numId w:val="9"/>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D – Technologische Tools &amp; Blockchain:</w:t>
      </w:r>
      <w:r>
        <w:rPr>
          <w:rFonts w:ascii="Google Sans Text" w:eastAsia="Google Sans Text" w:hAnsi="Google Sans Text" w:cs="Google Sans Text"/>
          <w:color w:val="1B1C1D"/>
          <w:sz w:val="24"/>
          <w:szCs w:val="24"/>
        </w:rPr>
        <w:t xml:space="preserve"> Überprüfung der Existenz/Funktion der Plattform (Interaktion mit Blockchain), Registrierung zertifizierter Gutschriften in der deklarierten Blockchain, Verfügbarkeit des Softwarehauses für technischen Support, Fähigkeit zur Generierung von Gutschriften und Dokumentation der technischen Merkmale (Blockchain-Codes, HASH-Codes, Datenkarten).</w:t>
      </w:r>
      <w:r>
        <w:rPr>
          <w:rFonts w:ascii="Google Sans Text" w:eastAsia="Google Sans Text" w:hAnsi="Google Sans Text" w:cs="Google Sans Text"/>
          <w:color w:val="575B5F"/>
          <w:sz w:val="24"/>
          <w:szCs w:val="24"/>
          <w:vertAlign w:val="superscript"/>
        </w:rPr>
        <w:t>1</w:t>
      </w:r>
    </w:p>
    <w:p w14:paraId="02ED59E8"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Der CTO sollte ein automatisiertes Compliance-Berichtsmodul implementieren, das Audit-Pakete bei Bedarf generieren kann. Dieses Modul sollte Daten aus den DMS-, GIS-, PMIS-, Quantifizierungs- und Blockchain-Modulen abrufen. Die Zugriffskontrollen für Auditoren müssen sorgfältig konzipiert werden, um die erforderliche Transparenz zu gewährleisten, ohne sensible Daten zu gefährden. Darüber hinaus sollte die Plattform interne Dashboards für die kontinuierliche </w:t>
      </w:r>
      <w:r>
        <w:rPr>
          <w:rFonts w:ascii="Google Sans Text" w:eastAsia="Google Sans Text" w:hAnsi="Google Sans Text" w:cs="Google Sans Text"/>
          <w:color w:val="1B1C1D"/>
          <w:sz w:val="24"/>
          <w:szCs w:val="24"/>
        </w:rPr>
        <w:lastRenderedPageBreak/>
        <w:t>Compliance-Überwachung enthalten, die es der Organisation ermöglichen, potenzielle Probleme proaktiv zu identifizieren und zu beheben, bevor ein offizielles Audit stattfindet.</w:t>
      </w:r>
    </w:p>
    <w:p w14:paraId="669EC018" w14:textId="77777777" w:rsidR="00225171" w:rsidRDefault="00225171">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733C3601"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67F0BAAC" w14:textId="77777777" w:rsidR="00225171"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5. Strategischer Fahrplan und zukünftige Entwicklung</w:t>
      </w:r>
    </w:p>
    <w:p w14:paraId="1936517F"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53E13606"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Dieser Abschnitt skizziert die breitere strategische Vision für die Plattform, die über Phase 1 hinausgeht und zukünftige Entwicklung, Ressourcenplanung und kontinuierliche Verbesserung umfasst.</w:t>
      </w:r>
    </w:p>
    <w:p w14:paraId="01E26990"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65F86392"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5.1. Phasenweiser Implementierungsplan (über Phase 1 hinaus)</w:t>
      </w:r>
    </w:p>
    <w:p w14:paraId="0510C2F8"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F144FED"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Komplexität der UNI-PdR, verbunden mit dem Status als "Referenzpraxis" und dem 5-Jahres-Überprüfungszyklus, legt einen agilen, iterativen Entwicklungsansatz nahe. Der Versuch eines monolithischen Aufbaus birgt ein hohes Risiko. Eine phasenweise Implementierung ermöglicht kontinuierliches Lernen, Anpassung an sich entwickelnde Vorschriften und frühzeitige Wertschöpfung. Jede Phase kann auf einem stabilen Fundament aufbauen und Feedback sowie neue Erkenntnisse integrieren.</w:t>
      </w:r>
    </w:p>
    <w:p w14:paraId="794B1AE6" w14:textId="77777777" w:rsidR="00225171"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Phase 2: Erweiterte Quantifizierung und Zertifizierungs-Workflow:</w:t>
      </w:r>
    </w:p>
    <w:p w14:paraId="5153E7A9" w14:textId="77777777" w:rsidR="00225171"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Vollständige Implementierung der Ex-ante- und Ex-post-Berechnungsmethoden.</w:t>
      </w:r>
    </w:p>
    <w:p w14:paraId="1AEB0CD9" w14:textId="77777777" w:rsidR="00225171"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Automatisierte Generierung von Konformitätszertifikaten.</w:t>
      </w:r>
    </w:p>
    <w:p w14:paraId="46589B20" w14:textId="77777777" w:rsidR="00225171"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Integration mit externen Zertifizierungsstellen für eine optimierte Validierung.</w:t>
      </w:r>
    </w:p>
    <w:p w14:paraId="5044009A" w14:textId="77777777" w:rsidR="00225171"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Entwicklung eines umfassenden Dashboards zur Überwachung der Projektleistung (CO2-Abscheidung/-Reduktion, DAF-Einhaltung).</w:t>
      </w:r>
    </w:p>
    <w:p w14:paraId="5BD7F5F3" w14:textId="77777777" w:rsidR="00225171"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Phase 3: Marktintegration und Ökosystemerweiterung:</w:t>
      </w:r>
    </w:p>
    <w:p w14:paraId="07035B99" w14:textId="77777777" w:rsidR="00225171"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Entwicklung eines Marktplatzes oder einer API für den Handel/die Übertragung von Kohlenstoffgutschriften.</w:t>
      </w:r>
    </w:p>
    <w:p w14:paraId="26DDBAC6" w14:textId="77777777" w:rsidR="00225171"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Integration mit externen Nachhaltigkeitsberichtsrahmen.</w:t>
      </w:r>
    </w:p>
    <w:p w14:paraId="23530EA1" w14:textId="77777777" w:rsidR="00225171"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lastRenderedPageBreak/>
        <w:t>Erforschung der Tokenisierung von Kohlenstoffgutschriften über die grundlegende Registrierung hinaus.</w:t>
      </w:r>
    </w:p>
    <w:p w14:paraId="44650204" w14:textId="77777777" w:rsidR="00225171"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Partnerschaften mit anderen Akteuren im Kohlenstoffmarkt-Ökosystem.</w:t>
      </w:r>
    </w:p>
    <w:p w14:paraId="720B30E3" w14:textId="77777777" w:rsidR="00225171"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Phase 4: Prädiktive Analysen und Optimierung:</w:t>
      </w:r>
    </w:p>
    <w:p w14:paraId="325F61B6" w14:textId="77777777" w:rsidR="00225171" w:rsidRDefault="00000000">
      <w:pPr>
        <w:numPr>
          <w:ilvl w:val="1"/>
          <w:numId w:val="1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Nutzung historischer Daten und KI/ML für die prädiktive Modellierung der CO2-Abscheidung/-Reduktion.</w:t>
      </w:r>
    </w:p>
    <w:p w14:paraId="103456AA" w14:textId="77777777" w:rsidR="00225171" w:rsidRDefault="00000000">
      <w:pPr>
        <w:numPr>
          <w:ilvl w:val="1"/>
          <w:numId w:val="1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Optimierung der Projektauswahl und des Managements auf der Grundlage vorhergesagter Ergebnisse.</w:t>
      </w:r>
    </w:p>
    <w:p w14:paraId="42ED7F8A" w14:textId="77777777" w:rsidR="00225171" w:rsidRDefault="00000000">
      <w:pPr>
        <w:numPr>
          <w:ilvl w:val="1"/>
          <w:numId w:val="13"/>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Erweiterte Risikomodellierung für den Garantiefonds.</w:t>
      </w:r>
    </w:p>
    <w:p w14:paraId="2C42AB6C"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Der CTO sollte eine agile Entwicklungsmethodik (z.B. Scrum, Kanban) mit kurzen Sprints und regelmäßigem Stakeholder-Feedback fördern. Dies ermöglicht Flexibilität bei der Priorisierung von Funktionen und die Anpassung an unvorhergesehene Herausforderungen oder regulatorische Änderungen, wodurch die Relevanz und Compliance der Plattform sichergestellt wird.</w:t>
      </w:r>
    </w:p>
    <w:p w14:paraId="14B7235B"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50D41AB9"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5.2. Ressourcenallokation und Teamstruktur</w:t>
      </w:r>
    </w:p>
    <w:p w14:paraId="7411FBAD"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0F11F32" w14:textId="77777777" w:rsidR="00225171"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 UNI-PdR ist eine Mischung aus Agronomie, erneuerbaren Energien, Umweltwissenschaft, regulatorischer Compliance und Spitzentechnologie (Blockchain). Der Aufbau einer konformen Plattform erfordert mehr als nur Softwareentwickler. Es bedarf eines interdisziplinären Teams, in dem Rechts-, Fach- und technische Experten von der Konzeption bis zur Implementierung eng zusammenarbeiten. Die explizite Erwähnung eines "Softwarehauses" für den Blockchain-Support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unterstreicht die Notwendigkeit spezialisierten externen Fachwissens, falls dieses nicht intern verfügbar ist.</w:t>
      </w:r>
    </w:p>
    <w:p w14:paraId="6D46AB09"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Erforderliche Schlüsselqualifikationen:</w:t>
      </w:r>
    </w:p>
    <w:p w14:paraId="4B1C6B6F" w14:textId="77777777" w:rsidR="00225171"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Blockchain-Entwickler:</w:t>
      </w:r>
      <w:r>
        <w:rPr>
          <w:rFonts w:ascii="Google Sans Text" w:eastAsia="Google Sans Text" w:hAnsi="Google Sans Text" w:cs="Google Sans Text"/>
          <w:color w:val="1B1C1D"/>
          <w:sz w:val="24"/>
          <w:szCs w:val="24"/>
        </w:rPr>
        <w:t xml:space="preserve"> Für die Entwicklung von Smart Contracts, DApp-Integration und Ledger-Management.</w:t>
      </w:r>
    </w:p>
    <w:p w14:paraId="1C526236" w14:textId="77777777" w:rsidR="00225171"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Datenwissenschaftler/Ingenieure:</w:t>
      </w:r>
      <w:r>
        <w:rPr>
          <w:rFonts w:ascii="Google Sans Text" w:eastAsia="Google Sans Text" w:hAnsi="Google Sans Text" w:cs="Google Sans Text"/>
          <w:color w:val="1B1C1D"/>
          <w:sz w:val="24"/>
          <w:szCs w:val="24"/>
        </w:rPr>
        <w:t xml:space="preserve"> Für die Implementierung von Berechnungsalgorithmen, Datenmodellierung und potenziell KI/ML für Vorhersagen.</w:t>
      </w:r>
    </w:p>
    <w:p w14:paraId="1F8E5FC6" w14:textId="77777777" w:rsidR="00225171"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Full-Stack-Entwickler:</w:t>
      </w:r>
      <w:r>
        <w:rPr>
          <w:rFonts w:ascii="Google Sans Text" w:eastAsia="Google Sans Text" w:hAnsi="Google Sans Text" w:cs="Google Sans Text"/>
          <w:color w:val="1B1C1D"/>
          <w:sz w:val="24"/>
          <w:szCs w:val="24"/>
        </w:rPr>
        <w:t xml:space="preserve"> Für Frontend-Oberflächen, Backend-Dienste und API-Entwicklung.</w:t>
      </w:r>
    </w:p>
    <w:p w14:paraId="33FD0493" w14:textId="77777777" w:rsidR="00225171"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DevOps/Cloud-Ingenieure:</w:t>
      </w:r>
      <w:r>
        <w:rPr>
          <w:rFonts w:ascii="Google Sans Text" w:eastAsia="Google Sans Text" w:hAnsi="Google Sans Text" w:cs="Google Sans Text"/>
          <w:color w:val="1B1C1D"/>
          <w:sz w:val="24"/>
          <w:szCs w:val="24"/>
        </w:rPr>
        <w:t xml:space="preserve"> Für Infrastrukturmanagement, Skalierbarkeit und Sicherheit.</w:t>
      </w:r>
    </w:p>
    <w:p w14:paraId="0CA5467C" w14:textId="77777777" w:rsidR="00225171"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Compliance-/Rechtsexperten:</w:t>
      </w:r>
      <w:r>
        <w:rPr>
          <w:rFonts w:ascii="Google Sans Text" w:eastAsia="Google Sans Text" w:hAnsi="Google Sans Text" w:cs="Google Sans Text"/>
          <w:color w:val="1B1C1D"/>
          <w:sz w:val="24"/>
          <w:szCs w:val="24"/>
        </w:rPr>
        <w:t xml:space="preserve"> Zur Interpretation der UNI-PdR, ISO-Standards und sich entwickelnder Vorschriften, um die technische Implementierung an die rechtlichen Anforderungen anzupassen.</w:t>
      </w:r>
    </w:p>
    <w:p w14:paraId="3B8DB6AC" w14:textId="77777777" w:rsidR="00225171"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Fachexperten (Agronomie/Erneuerbare Energien):</w:t>
      </w:r>
      <w:r>
        <w:rPr>
          <w:rFonts w:ascii="Google Sans Text" w:eastAsia="Google Sans Text" w:hAnsi="Google Sans Text" w:cs="Google Sans Text"/>
          <w:color w:val="1B1C1D"/>
          <w:sz w:val="24"/>
          <w:szCs w:val="24"/>
        </w:rPr>
        <w:t xml:space="preserve"> Um Kontext bereitzustellen und technische Lösungen anhand realer Praktiken zu validieren.</w:t>
      </w:r>
    </w:p>
    <w:p w14:paraId="46A5C418" w14:textId="77777777" w:rsidR="00225171" w:rsidRDefault="00000000">
      <w:pPr>
        <w:numPr>
          <w:ilvl w:val="0"/>
          <w:numId w:val="14"/>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Projektmanager:</w:t>
      </w:r>
      <w:r>
        <w:rPr>
          <w:rFonts w:ascii="Google Sans Text" w:eastAsia="Google Sans Text" w:hAnsi="Google Sans Text" w:cs="Google Sans Text"/>
          <w:color w:val="1B1C1D"/>
          <w:sz w:val="24"/>
          <w:szCs w:val="24"/>
        </w:rPr>
        <w:t xml:space="preserve"> Zur Koordination funktionsübergreifender Teams und zur Verwaltung des phasenweisen Fahrplans.</w:t>
      </w:r>
    </w:p>
    <w:p w14:paraId="60609DDD" w14:textId="77777777" w:rsidR="00225171" w:rsidRDefault="00225171">
      <w:pPr>
        <w:pBdr>
          <w:top w:val="nil"/>
          <w:left w:val="nil"/>
          <w:bottom w:val="nil"/>
          <w:right w:val="nil"/>
          <w:between w:val="nil"/>
        </w:pBdr>
        <w:spacing w:before="120" w:after="120" w:line="275" w:lineRule="auto"/>
        <w:ind w:left="465"/>
        <w:rPr>
          <w:rFonts w:ascii="Google Sans Text" w:eastAsia="Google Sans Text" w:hAnsi="Google Sans Text" w:cs="Google Sans Text"/>
          <w:color w:val="1B1C1D"/>
          <w:sz w:val="24"/>
          <w:szCs w:val="24"/>
        </w:rPr>
      </w:pPr>
    </w:p>
    <w:p w14:paraId="75951C9F" w14:textId="77777777" w:rsidR="00225171"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Überlegungen zur Teamstruktur:</w:t>
      </w:r>
      <w:r>
        <w:rPr>
          <w:rFonts w:ascii="Google Sans Text" w:eastAsia="Google Sans Text" w:hAnsi="Google Sans Text" w:cs="Google Sans Text"/>
          <w:color w:val="1B1C1D"/>
          <w:sz w:val="24"/>
          <w:szCs w:val="24"/>
        </w:rPr>
        <w:t xml:space="preserve"> Dedizierte agile Teams, funktionsübergreifende Zusammenarbeit, potenzielle externe Partnerschaften für spezialisiertes Fachwissen (z.B. Softwarehaus für Blockchain-Support, wie in Anhang D erwähnt).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Der CTO muss ein hochgradig kollaboratives Umfeld fördern, möglicherweise Compliance- und Fachexperten direkt in die Entwicklungsteams integrieren. Klare Kommunikationskanäle zwischen Rechts-, Geschäfts- und technischen Funktionen sind von größter Bedeutung. Strategische Einstellungen oder Partnerschaften für Nischenfähigkeiten (z.B. Blockchain-Sicherheit, Kohlenstoffbilanzierung) werden für eine erfolgreiche Implementierung und kontinuierliche Compliance entscheidend sein.</w:t>
      </w:r>
    </w:p>
    <w:p w14:paraId="7477EAD5" w14:textId="77777777" w:rsidR="00225171" w:rsidRDefault="00225171">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778DCF3" w14:textId="77777777" w:rsidR="00225171"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5.3. Skalierbarkeit, Sicherheit und kontinuierliche Verbesserung</w:t>
      </w:r>
    </w:p>
    <w:p w14:paraId="32C11B96"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54C2402"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Die UNI-PdR befasst sich mit langfristigen Projekten (bis zu 30 Jahre für Carbon Farming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und der Schaffung überprüfbarer, wertvoller Vermögenswerte (Kohlenstoffgutschriften). Dies weist der Plattform eine Rolle als langfristiger Verwalter von Umweltdaten und digitalen Vermögenswerten zu. Dies impliziert einen extremen Fokus auf Datenpersistenz, Systemresilienz und Zukunftssicherheit. Sicherheitsverletzungen oder Datenkorruption könnten das Vertrauen erheblich untergraben und Gutschriften entwerten.</w:t>
      </w:r>
    </w:p>
    <w:p w14:paraId="450E2463" w14:textId="77777777" w:rsidR="00225171"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Skalierbarkeit:</w:t>
      </w:r>
      <w:r>
        <w:rPr>
          <w:rFonts w:ascii="Google Sans Text" w:eastAsia="Google Sans Text" w:hAnsi="Google Sans Text" w:cs="Google Sans Text"/>
          <w:color w:val="1B1C1D"/>
          <w:sz w:val="24"/>
          <w:szCs w:val="24"/>
        </w:rPr>
        <w:t xml:space="preserve"> Die Plattform muss so konzipiert sein, dass sie zunehmende Mengen an Projekten, Daten und Kohlenstoffgutschriften-Transaktionen verarbeiten kann. Dies umfasst die Auswahl skalierbarer Datenbanklösungen, Cloud-Infrastrukturen und Blockchain-Architekturen.</w:t>
      </w:r>
    </w:p>
    <w:p w14:paraId="4A96C4A1" w14:textId="77777777" w:rsidR="00225171"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Sicherheit:</w:t>
      </w:r>
      <w:r>
        <w:rPr>
          <w:rFonts w:ascii="Google Sans Text" w:eastAsia="Google Sans Text" w:hAnsi="Google Sans Text" w:cs="Google Sans Text"/>
          <w:color w:val="1B1C1D"/>
          <w:sz w:val="24"/>
          <w:szCs w:val="24"/>
        </w:rPr>
        <w:t xml:space="preserve"> Implementierung robuster Cybersicherheitsmaßnahmen auf allen Ebenen: Daten im Ruhezustand und während der Übertragung, Anwendungssicherheit und Blockchain-Smart-Contract-Audits. Angesichts des finanziellen Werts von Kohlenstoffgutschriften ist Sicherheit von größter Bedeutung.</w:t>
      </w:r>
    </w:p>
    <w:p w14:paraId="15022617" w14:textId="77777777" w:rsidR="00225171"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Datenintegrität:</w:t>
      </w:r>
      <w:r>
        <w:rPr>
          <w:rFonts w:ascii="Google Sans Text" w:eastAsia="Google Sans Text" w:hAnsi="Google Sans Text" w:cs="Google Sans Text"/>
          <w:color w:val="1B1C1D"/>
          <w:sz w:val="24"/>
          <w:szCs w:val="24"/>
        </w:rPr>
        <w:t xml:space="preserve"> Über die Unveränderlichkeit der Blockchain hinaus müssen Datenvalidierungsregeln, Fehlerbehandlung und Abgleichsprozesse implementiert werden, um die Genauigkeit aller Eingaben und Ausgaben zu gewährleisten.</w:t>
      </w:r>
    </w:p>
    <w:p w14:paraId="0E7BEC6B" w14:textId="77777777" w:rsidR="00225171" w:rsidRDefault="00000000">
      <w:pPr>
        <w:numPr>
          <w:ilvl w:val="0"/>
          <w:numId w:val="1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Kontinuierliche Verbesserung:</w:t>
      </w:r>
      <w:r>
        <w:rPr>
          <w:rFonts w:ascii="Google Sans Text" w:eastAsia="Google Sans Text" w:hAnsi="Google Sans Text" w:cs="Google Sans Text"/>
          <w:color w:val="1B1C1D"/>
          <w:sz w:val="24"/>
          <w:szCs w:val="24"/>
        </w:rPr>
        <w:t xml:space="preserve"> Etablierung von Feedback-Schleifen aus Audits, Benutzererfahrung und regulatorischen Aktualisierungen, um kontinuierliche Plattformverbesserungen voranzutreiben. Regelmäßige Software-Updates und die Behebung von Schwachstellen sind unerlässlich.</w:t>
      </w:r>
    </w:p>
    <w:p w14:paraId="432970DB" w14:textId="77777777" w:rsidR="00225171" w:rsidRDefault="00000000">
      <w:pPr>
        <w:pBdr>
          <w:top w:val="nil"/>
          <w:left w:val="nil"/>
          <w:bottom w:val="nil"/>
          <w:right w:val="nil"/>
          <w:between w:val="nil"/>
        </w:pBdr>
        <w:spacing w:before="24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Die Strategie des CTO muss einen mehrjährigen Technologie-Fahrplan umfassen. Dazu gehören:</w:t>
      </w:r>
    </w:p>
    <w:p w14:paraId="27DB4CF0" w14:textId="77777777" w:rsidR="00225171"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Disaster Recovery und Business Continuity Planning:</w:t>
      </w:r>
      <w:r>
        <w:rPr>
          <w:rFonts w:ascii="Google Sans Text" w:eastAsia="Google Sans Text" w:hAnsi="Google Sans Text" w:cs="Google Sans Text"/>
          <w:color w:val="1B1C1D"/>
          <w:sz w:val="24"/>
          <w:szCs w:val="24"/>
        </w:rPr>
        <w:t xml:space="preserve"> Wesentlich für ein System, das hochwertige, langfristige Umweltgüter verwaltet.</w:t>
      </w:r>
    </w:p>
    <w:p w14:paraId="232362B0" w14:textId="77777777" w:rsidR="00225171"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Regelmäßige Sicherheitsaudits und Penetrationstests:</w:t>
      </w:r>
      <w:r>
        <w:rPr>
          <w:rFonts w:ascii="Google Sans Text" w:eastAsia="Google Sans Text" w:hAnsi="Google Sans Text" w:cs="Google Sans Text"/>
          <w:color w:val="1B1C1D"/>
          <w:sz w:val="24"/>
          <w:szCs w:val="24"/>
        </w:rPr>
        <w:t xml:space="preserve"> Insbesondere für Blockchain-Komponenten und Smart Contracts.</w:t>
      </w:r>
    </w:p>
    <w:p w14:paraId="1F8DC910" w14:textId="77777777" w:rsidR="00225171"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Automatisierte Überwachung und Warnmeldungen:</w:t>
      </w:r>
      <w:r>
        <w:rPr>
          <w:rFonts w:ascii="Google Sans Text" w:eastAsia="Google Sans Text" w:hAnsi="Google Sans Text" w:cs="Google Sans Text"/>
          <w:color w:val="1B1C1D"/>
          <w:sz w:val="24"/>
          <w:szCs w:val="24"/>
        </w:rPr>
        <w:t xml:space="preserve"> Für Systemzustand, Leistung und Compliance-Abweichungen.</w:t>
      </w:r>
    </w:p>
    <w:p w14:paraId="1D673D76" w14:textId="77777777" w:rsidR="00225171"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Versionskontrolle und Abwärtskompatibilität:</w:t>
      </w:r>
      <w:r>
        <w:rPr>
          <w:rFonts w:ascii="Google Sans Text" w:eastAsia="Google Sans Text" w:hAnsi="Google Sans Text" w:cs="Google Sans Text"/>
          <w:color w:val="1B1C1D"/>
          <w:sz w:val="24"/>
          <w:szCs w:val="24"/>
        </w:rPr>
        <w:t xml:space="preserve"> Zur Verwaltung von Aktualisierungen der Algorithmen und regulatorischen Anforderungen, ohne bestehende Projekte zu stören.</w:t>
      </w:r>
    </w:p>
    <w:p w14:paraId="1CAD98C2" w14:textId="77777777" w:rsidR="00225171" w:rsidRDefault="00000000">
      <w:pPr>
        <w:numPr>
          <w:ilvl w:val="0"/>
          <w:numId w:val="1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Robuste Datensicherungs- und Archivierungsstrategien:</w:t>
      </w:r>
      <w:r>
        <w:rPr>
          <w:rFonts w:ascii="Google Sans Text" w:eastAsia="Google Sans Text" w:hAnsi="Google Sans Text" w:cs="Google Sans Text"/>
          <w:color w:val="1B1C1D"/>
          <w:sz w:val="24"/>
          <w:szCs w:val="24"/>
        </w:rPr>
        <w:t xml:space="preserve"> Über das aktive System hinaus, um die langfristige Zugänglichkeit und Integrität historischer Daten zu gewährleisten und die Glaubwürdigkeit der ausgegebenen Kohlenstoffgutschriften über Jahrzehnte aufrechtzuerhalten.</w:t>
      </w:r>
    </w:p>
    <w:p w14:paraId="4ACA097E" w14:textId="77777777" w:rsidR="00225171" w:rsidRDefault="00225171">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43DAF765" w14:textId="77777777" w:rsidR="00225171"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6. Empfehlungen für den CTO</w:t>
      </w:r>
    </w:p>
    <w:p w14:paraId="4251C89D" w14:textId="77777777" w:rsidR="00225171" w:rsidRDefault="00225171">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568A1097" w14:textId="77777777" w:rsidR="00225171"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Um einen klaren und verständlichen Plan für einen CTO zu erstellen, der die wichtigsten Punkte zur Einhaltung der UNI-PdR-Richtlinien hervorhebt und die </w:t>
      </w:r>
      <w:r>
        <w:rPr>
          <w:rFonts w:ascii="Google Sans Text" w:eastAsia="Google Sans Text" w:hAnsi="Google Sans Text" w:cs="Google Sans Text"/>
          <w:color w:val="1B1C1D"/>
          <w:sz w:val="24"/>
          <w:szCs w:val="24"/>
        </w:rPr>
        <w:lastRenderedPageBreak/>
        <w:t>nächsten Schritte für die Plattformentwicklung definiert, beginnend mit der vorgeschlagenen Phase 1, werden die folgenden Empfehlungen gegeben:</w:t>
      </w:r>
    </w:p>
    <w:p w14:paraId="09AB5DBB" w14:textId="77777777" w:rsidR="00225171"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Priorisierung der grundlegenden Compliance:</w:t>
      </w:r>
      <w:r>
        <w:rPr>
          <w:rFonts w:ascii="Google Sans Text" w:eastAsia="Google Sans Text" w:hAnsi="Google Sans Text" w:cs="Google Sans Text"/>
          <w:color w:val="1B1C1D"/>
          <w:sz w:val="24"/>
          <w:szCs w:val="24"/>
        </w:rPr>
        <w:t xml:space="preserve"> Konzentrieren Sie Phase 1 auf den Aufbau eines tadellosen Datenmanagements, der Archivierung und der anfänglichen Blockchain-Integration. Das Prinzip "Audit-ready by design" sollte leitend sein, um zukünftige Nacharbeiten zu minimieren und überprüfbare Daten zu gewährleisten.</w:t>
      </w:r>
    </w:p>
    <w:p w14:paraId="0E377F7E" w14:textId="77777777" w:rsidR="00225171"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Investition in interdisziplinäres Fachwissen:</w:t>
      </w:r>
      <w:r>
        <w:rPr>
          <w:rFonts w:ascii="Google Sans Text" w:eastAsia="Google Sans Text" w:hAnsi="Google Sans Text" w:cs="Google Sans Text"/>
          <w:color w:val="1B1C1D"/>
          <w:sz w:val="24"/>
          <w:szCs w:val="24"/>
        </w:rPr>
        <w:t xml:space="preserve"> Stellen Sie ein Team zusammen, das technische Kompetenz mit einem tiefen Verständnis für Agronomie, erneuerbare Energien und regulatorische Compliance verbindet. Ziehen Sie externe Partnerschaften für spezialisiertes Blockchain- oder Kohlenstoffbilanzierungs-Know-how in Betracht, um Wissenslücken zu schließen.</w:t>
      </w:r>
    </w:p>
    <w:p w14:paraId="0222ACDD" w14:textId="77777777" w:rsidR="00225171"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Modularität und Agilität fördern:</w:t>
      </w:r>
      <w:r>
        <w:rPr>
          <w:rFonts w:ascii="Google Sans Text" w:eastAsia="Google Sans Text" w:hAnsi="Google Sans Text" w:cs="Google Sans Text"/>
          <w:color w:val="1B1C1D"/>
          <w:sz w:val="24"/>
          <w:szCs w:val="24"/>
        </w:rPr>
        <w:t xml:space="preserve"> Entwerfen Sie die Plattform mit einer modularen Architektur, um eine iterative Entwicklung und schnelle Anpassung an sich entwickelnde UNI-PdR-Richtlinien und Marktanforderungen zu ermöglichen und so die langfristige Relevanz zu sichern.</w:t>
      </w:r>
    </w:p>
    <w:p w14:paraId="074E5495" w14:textId="77777777" w:rsidR="00225171"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Automatisierung für die Verifizierung nutzen:</w:t>
      </w:r>
      <w:r>
        <w:rPr>
          <w:rFonts w:ascii="Google Sans Text" w:eastAsia="Google Sans Text" w:hAnsi="Google Sans Text" w:cs="Google Sans Text"/>
          <w:color w:val="1B1C1D"/>
          <w:sz w:val="24"/>
          <w:szCs w:val="24"/>
        </w:rPr>
        <w:t xml:space="preserve"> Erforschen und integrieren Sie Technologien wie Fernerkundung, KI/ML und automatisierte Berichterstellung, um Compliance-Prüfungen zu optimieren und den manuellen Aufwand zu reduzieren, wodurch Effizienz und Genauigkeit verbessert werden.</w:t>
      </w:r>
    </w:p>
    <w:p w14:paraId="630F97BE" w14:textId="77777777" w:rsidR="00225171"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Transparenz und Vertrauen fördern:</w:t>
      </w:r>
      <w:r>
        <w:rPr>
          <w:rFonts w:ascii="Google Sans Text" w:eastAsia="Google Sans Text" w:hAnsi="Google Sans Text" w:cs="Google Sans Text"/>
          <w:color w:val="1B1C1D"/>
          <w:sz w:val="24"/>
          <w:szCs w:val="24"/>
        </w:rPr>
        <w:t xml:space="preserve"> Nutzen Sie die Blockchain nicht nur als Datenbank, sondern als zentrale Vertrauensschicht, die die Unveränderlichkeit, Rückverfolgbarkeit und Überprüfbarkeit aller zertifizierten Kohlenstoffgutschriften gewährleistet, was für die Akzeptanz am Markt entscheidend ist.</w:t>
      </w:r>
    </w:p>
    <w:p w14:paraId="683D4D05" w14:textId="77777777" w:rsidR="00225171"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Entwicklung eines robusten Risikomanagementrahmens:</w:t>
      </w:r>
      <w:r>
        <w:rPr>
          <w:rFonts w:ascii="Google Sans Text" w:eastAsia="Google Sans Text" w:hAnsi="Google Sans Text" w:cs="Google Sans Text"/>
          <w:color w:val="1B1C1D"/>
          <w:sz w:val="24"/>
          <w:szCs w:val="24"/>
        </w:rPr>
        <w:t xml:space="preserve"> Implementieren Sie das Garantiefonds-Modul mit automatisierten Prozessen für Beiträge, Überwachung und Aktivierung, um die langfristige Integrität und Glaubwürdigkeit der ausgegebenen Gutschriften zu gewährleisten.</w:t>
      </w:r>
    </w:p>
    <w:p w14:paraId="12C0B726" w14:textId="77777777" w:rsidR="00225171" w:rsidRDefault="00000000">
      <w:pPr>
        <w:numPr>
          <w:ilvl w:val="0"/>
          <w:numId w:val="1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Planung für langfristige Verwahrung:</w:t>
      </w:r>
      <w:r>
        <w:rPr>
          <w:rFonts w:ascii="Google Sans Text" w:eastAsia="Google Sans Text" w:hAnsi="Google Sans Text" w:cs="Google Sans Text"/>
          <w:color w:val="1B1C1D"/>
          <w:sz w:val="24"/>
          <w:szCs w:val="24"/>
        </w:rPr>
        <w:t xml:space="preserve"> Erkennen Sie die Rolle der Plattform als Verwalter wertvoller Umweltgüter an und investieren Sie in Skalierbarkeit, Sicherheit, Notfallwiederherstellung und kontinuierliche Verbesserung, um deren Langlebigkeit und Zuverlässigkeit über die jahrzehntelange Lebensdauer von Kohlenstoffprojekten hinweg zu gewährleisten.</w:t>
      </w:r>
    </w:p>
    <w:p w14:paraId="063EE9BA" w14:textId="77777777" w:rsidR="00225171" w:rsidRDefault="00000000">
      <w:pPr>
        <w:pStyle w:val="berschrift4"/>
        <w:rPr>
          <w:rFonts w:ascii="Google Sans" w:eastAsia="Google Sans" w:hAnsi="Google Sans" w:cs="Google Sans"/>
        </w:rPr>
      </w:pPr>
      <w:r>
        <w:rPr>
          <w:rFonts w:ascii="Google Sans" w:eastAsia="Google Sans" w:hAnsi="Google Sans" w:cs="Google Sans"/>
        </w:rPr>
        <w:t>Referenzen</w:t>
      </w:r>
    </w:p>
    <w:p w14:paraId="36992B89" w14:textId="77777777" w:rsidR="00225171" w:rsidRDefault="00000000">
      <w:pPr>
        <w:numPr>
          <w:ilvl w:val="0"/>
          <w:numId w:val="19"/>
        </w:numPr>
        <w:pBdr>
          <w:top w:val="nil"/>
          <w:left w:val="nil"/>
          <w:bottom w:val="nil"/>
          <w:right w:val="nil"/>
          <w:between w:val="nil"/>
        </w:pBdr>
      </w:pPr>
      <w:r>
        <w:rPr>
          <w:rFonts w:ascii="Google Sans" w:eastAsia="Google Sans" w:hAnsi="Google Sans" w:cs="Google Sans"/>
          <w:sz w:val="24"/>
          <w:szCs w:val="24"/>
        </w:rPr>
        <w:t>Zugriff am Januar 1, 1970,</w:t>
      </w:r>
    </w:p>
    <w:sectPr w:rsidR="0022517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704A60B3-664B-644C-BCC5-6EC181EC51B1}"/>
    <w:embedBold r:id="rId2" w:fontKey="{61009F10-EA4A-194B-B9F1-7CAD6CD03E4C}"/>
  </w:font>
  <w:font w:name="Times New Roman">
    <w:panose1 w:val="02020603050405020304"/>
    <w:charset w:val="00"/>
    <w:family w:val="roman"/>
    <w:pitch w:val="variable"/>
    <w:sig w:usb0="E0002EFF" w:usb1="C000785B" w:usb2="00000009" w:usb3="00000000" w:csb0="000001FF" w:csb1="00000000"/>
    <w:embedRegular r:id="rId3" w:fontKey="{DAF42D14-4DAB-E047-BC8C-A788FE47640F}"/>
  </w:font>
  <w:font w:name="Georgia">
    <w:panose1 w:val="02040502050405020303"/>
    <w:charset w:val="00"/>
    <w:family w:val="roman"/>
    <w:pitch w:val="variable"/>
    <w:sig w:usb0="00000287" w:usb1="00000000" w:usb2="00000000" w:usb3="00000000" w:csb0="0000009F" w:csb1="00000000"/>
    <w:embedRegular r:id="rId4" w:fontKey="{C61F6E76-9E9E-E647-85C9-C16840C19184}"/>
    <w:embedItalic r:id="rId5" w:fontKey="{454EEA34-271B-0E4D-8032-C03E6E2CA05B}"/>
  </w:font>
  <w:font w:name="Google Sans">
    <w:altName w:val="Calibri"/>
    <w:charset w:val="00"/>
    <w:family w:val="auto"/>
    <w:pitch w:val="default"/>
    <w:embedRegular r:id="rId6" w:fontKey="{C7023AA7-35E6-1C4B-B2AB-8E622F07820D}"/>
    <w:embedBold r:id="rId7" w:fontKey="{A29DE5AB-59ED-6747-82C1-E82A326F95AB}"/>
  </w:font>
  <w:font w:name="Google Sans Text">
    <w:altName w:val="Calibri"/>
    <w:charset w:val="00"/>
    <w:family w:val="auto"/>
    <w:pitch w:val="default"/>
    <w:embedRegular r:id="rId8" w:fontKey="{4A9D0DCF-C128-6B41-9BFB-BA4CB6BFC7C8}"/>
    <w:embedBold r:id="rId9" w:fontKey="{A9EFD630-B08F-1B48-9F96-EF3637C4D7C1}"/>
    <w:embedItalic r:id="rId10" w:fontKey="{67379343-3C5F-3344-9B58-343A4BCC962A}"/>
  </w:font>
  <w:font w:name="Calibri">
    <w:panose1 w:val="020F0502020204030204"/>
    <w:charset w:val="00"/>
    <w:family w:val="swiss"/>
    <w:pitch w:val="variable"/>
    <w:sig w:usb0="E0002AFF" w:usb1="C000247B" w:usb2="00000009" w:usb3="00000000" w:csb0="000001FF" w:csb1="00000000"/>
    <w:embedRegular r:id="rId11" w:fontKey="{52CA4C08-DD0B-D249-9887-6E3A3AA80E60}"/>
  </w:font>
  <w:font w:name="Cambria">
    <w:panose1 w:val="02040503050406030204"/>
    <w:charset w:val="00"/>
    <w:family w:val="roman"/>
    <w:pitch w:val="variable"/>
    <w:sig w:usb0="E00002FF" w:usb1="400004FF" w:usb2="00000000" w:usb3="00000000" w:csb0="0000019F" w:csb1="00000000"/>
    <w:embedRegular r:id="rId12" w:fontKey="{D78005E1-7624-8E46-BEAB-59F84CA797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3E33"/>
    <w:multiLevelType w:val="multilevel"/>
    <w:tmpl w:val="B358EB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F5313DA"/>
    <w:multiLevelType w:val="multilevel"/>
    <w:tmpl w:val="AFBE96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09A2442"/>
    <w:multiLevelType w:val="multilevel"/>
    <w:tmpl w:val="412CC9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2527ACB"/>
    <w:multiLevelType w:val="multilevel"/>
    <w:tmpl w:val="19D421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563321A"/>
    <w:multiLevelType w:val="multilevel"/>
    <w:tmpl w:val="80C81C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8FB0646"/>
    <w:multiLevelType w:val="multilevel"/>
    <w:tmpl w:val="D6AAE2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7535839"/>
    <w:multiLevelType w:val="multilevel"/>
    <w:tmpl w:val="7C9E2F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E1C22D3"/>
    <w:multiLevelType w:val="multilevel"/>
    <w:tmpl w:val="41166A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12B7BCC"/>
    <w:multiLevelType w:val="multilevel"/>
    <w:tmpl w:val="42341EB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35C761BC"/>
    <w:multiLevelType w:val="multilevel"/>
    <w:tmpl w:val="8C4006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77F35AD"/>
    <w:multiLevelType w:val="multilevel"/>
    <w:tmpl w:val="D6D671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79C1C2E"/>
    <w:multiLevelType w:val="multilevel"/>
    <w:tmpl w:val="90F0C0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3F1426F7"/>
    <w:multiLevelType w:val="multilevel"/>
    <w:tmpl w:val="F4E0E34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3FEF6BF9"/>
    <w:multiLevelType w:val="multilevel"/>
    <w:tmpl w:val="D910EE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417D215F"/>
    <w:multiLevelType w:val="multilevel"/>
    <w:tmpl w:val="023ABC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418716D6"/>
    <w:multiLevelType w:val="multilevel"/>
    <w:tmpl w:val="659A3FB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43CB0F78"/>
    <w:multiLevelType w:val="multilevel"/>
    <w:tmpl w:val="2AE05C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BAF2CA4"/>
    <w:multiLevelType w:val="multilevel"/>
    <w:tmpl w:val="AC281A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4F6354EF"/>
    <w:multiLevelType w:val="multilevel"/>
    <w:tmpl w:val="27B0E5E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533C7B46"/>
    <w:multiLevelType w:val="multilevel"/>
    <w:tmpl w:val="0C0220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5A2D2E39"/>
    <w:multiLevelType w:val="multilevel"/>
    <w:tmpl w:val="EA7E9D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693976BF"/>
    <w:multiLevelType w:val="multilevel"/>
    <w:tmpl w:val="8550ACD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69CF76FB"/>
    <w:multiLevelType w:val="multilevel"/>
    <w:tmpl w:val="B7BA0A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6DAF25B2"/>
    <w:multiLevelType w:val="multilevel"/>
    <w:tmpl w:val="B1B887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6F9903D4"/>
    <w:multiLevelType w:val="multilevel"/>
    <w:tmpl w:val="FE7EE4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70315E9F"/>
    <w:multiLevelType w:val="multilevel"/>
    <w:tmpl w:val="9F2CF21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70BF2685"/>
    <w:multiLevelType w:val="multilevel"/>
    <w:tmpl w:val="D3D674A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72381063"/>
    <w:multiLevelType w:val="multilevel"/>
    <w:tmpl w:val="A0461A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77C05DE1"/>
    <w:multiLevelType w:val="multilevel"/>
    <w:tmpl w:val="92761F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7A5E2BD4"/>
    <w:multiLevelType w:val="multilevel"/>
    <w:tmpl w:val="3E3008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7D35373B"/>
    <w:multiLevelType w:val="multilevel"/>
    <w:tmpl w:val="1688DA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7F426773"/>
    <w:multiLevelType w:val="multilevel"/>
    <w:tmpl w:val="FF8665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596838793">
    <w:abstractNumId w:val="17"/>
  </w:num>
  <w:num w:numId="2" w16cid:durableId="1918008188">
    <w:abstractNumId w:val="29"/>
  </w:num>
  <w:num w:numId="3" w16cid:durableId="1388648736">
    <w:abstractNumId w:val="27"/>
  </w:num>
  <w:num w:numId="4" w16cid:durableId="266351995">
    <w:abstractNumId w:val="11"/>
  </w:num>
  <w:num w:numId="5" w16cid:durableId="1724868606">
    <w:abstractNumId w:val="6"/>
  </w:num>
  <w:num w:numId="6" w16cid:durableId="401679651">
    <w:abstractNumId w:val="0"/>
  </w:num>
  <w:num w:numId="7" w16cid:durableId="965282035">
    <w:abstractNumId w:val="30"/>
  </w:num>
  <w:num w:numId="8" w16cid:durableId="1117523367">
    <w:abstractNumId w:val="16"/>
  </w:num>
  <w:num w:numId="9" w16cid:durableId="549924960">
    <w:abstractNumId w:val="28"/>
  </w:num>
  <w:num w:numId="10" w16cid:durableId="1721393692">
    <w:abstractNumId w:val="19"/>
  </w:num>
  <w:num w:numId="11" w16cid:durableId="1975795825">
    <w:abstractNumId w:val="22"/>
  </w:num>
  <w:num w:numId="12" w16cid:durableId="819923850">
    <w:abstractNumId w:val="24"/>
  </w:num>
  <w:num w:numId="13" w16cid:durableId="1134829784">
    <w:abstractNumId w:val="23"/>
  </w:num>
  <w:num w:numId="14" w16cid:durableId="1448543251">
    <w:abstractNumId w:val="1"/>
  </w:num>
  <w:num w:numId="15" w16cid:durableId="1067143300">
    <w:abstractNumId w:val="31"/>
  </w:num>
  <w:num w:numId="16" w16cid:durableId="1782995450">
    <w:abstractNumId w:val="5"/>
  </w:num>
  <w:num w:numId="17" w16cid:durableId="507910033">
    <w:abstractNumId w:val="3"/>
  </w:num>
  <w:num w:numId="18" w16cid:durableId="1318458037">
    <w:abstractNumId w:val="20"/>
  </w:num>
  <w:num w:numId="19" w16cid:durableId="1473668309">
    <w:abstractNumId w:val="12"/>
  </w:num>
  <w:num w:numId="20" w16cid:durableId="2103064014">
    <w:abstractNumId w:val="7"/>
  </w:num>
  <w:num w:numId="21" w16cid:durableId="1759323885">
    <w:abstractNumId w:val="15"/>
  </w:num>
  <w:num w:numId="22" w16cid:durableId="1798715705">
    <w:abstractNumId w:val="25"/>
  </w:num>
  <w:num w:numId="23" w16cid:durableId="993796747">
    <w:abstractNumId w:val="21"/>
  </w:num>
  <w:num w:numId="24" w16cid:durableId="1694645185">
    <w:abstractNumId w:val="26"/>
  </w:num>
  <w:num w:numId="25" w16cid:durableId="1403210224">
    <w:abstractNumId w:val="18"/>
  </w:num>
  <w:num w:numId="26" w16cid:durableId="1478499026">
    <w:abstractNumId w:val="8"/>
  </w:num>
  <w:num w:numId="27" w16cid:durableId="1803034560">
    <w:abstractNumId w:val="13"/>
  </w:num>
  <w:num w:numId="28" w16cid:durableId="892883410">
    <w:abstractNumId w:val="10"/>
  </w:num>
  <w:num w:numId="29" w16cid:durableId="377511819">
    <w:abstractNumId w:val="14"/>
  </w:num>
  <w:num w:numId="30" w16cid:durableId="1858739604">
    <w:abstractNumId w:val="2"/>
  </w:num>
  <w:num w:numId="31" w16cid:durableId="1910461771">
    <w:abstractNumId w:val="9"/>
  </w:num>
  <w:num w:numId="32" w16cid:durableId="9754497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2"/>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171"/>
    <w:rsid w:val="00225171"/>
    <w:rsid w:val="0050115A"/>
    <w:rsid w:val="00F81C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361061F9"/>
  <w15:docId w15:val="{E31E772A-E9CA-5442-9A0F-32EA75AE4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CH"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pBdr>
        <w:top w:val="nil"/>
        <w:left w:val="nil"/>
        <w:bottom w:val="nil"/>
        <w:right w:val="nil"/>
        <w:between w:val="nil"/>
      </w:pBdr>
      <w:spacing w:before="240" w:after="240"/>
      <w:outlineLvl w:val="0"/>
    </w:pPr>
    <w:rPr>
      <w:b/>
      <w:sz w:val="48"/>
      <w:szCs w:val="48"/>
    </w:rPr>
  </w:style>
  <w:style w:type="paragraph" w:styleId="berschrift2">
    <w:name w:val="heading 2"/>
    <w:basedOn w:val="Standard"/>
    <w:next w:val="Standard"/>
    <w:uiPriority w:val="9"/>
    <w:unhideWhenUsed/>
    <w:qFormat/>
    <w:pPr>
      <w:pBdr>
        <w:top w:val="nil"/>
        <w:left w:val="nil"/>
        <w:bottom w:val="nil"/>
        <w:right w:val="nil"/>
        <w:between w:val="nil"/>
      </w:pBdr>
      <w:spacing w:before="225" w:after="225"/>
      <w:outlineLvl w:val="1"/>
    </w:pPr>
    <w:rPr>
      <w:b/>
      <w:sz w:val="36"/>
      <w:szCs w:val="36"/>
    </w:rPr>
  </w:style>
  <w:style w:type="paragraph" w:styleId="berschrift3">
    <w:name w:val="heading 3"/>
    <w:basedOn w:val="Standard"/>
    <w:next w:val="Standard"/>
    <w:uiPriority w:val="9"/>
    <w:unhideWhenUsed/>
    <w:qFormat/>
    <w:pPr>
      <w:pBdr>
        <w:top w:val="nil"/>
        <w:left w:val="nil"/>
        <w:bottom w:val="nil"/>
        <w:right w:val="nil"/>
        <w:between w:val="nil"/>
      </w:pBdr>
      <w:spacing w:before="240" w:after="240"/>
      <w:outlineLvl w:val="2"/>
    </w:pPr>
    <w:rPr>
      <w:b/>
      <w:sz w:val="28"/>
      <w:szCs w:val="28"/>
    </w:rPr>
  </w:style>
  <w:style w:type="paragraph" w:styleId="berschrift4">
    <w:name w:val="heading 4"/>
    <w:basedOn w:val="Standard"/>
    <w:next w:val="Standard"/>
    <w:uiPriority w:val="9"/>
    <w:unhideWhenUsed/>
    <w:qFormat/>
    <w:pPr>
      <w:pBdr>
        <w:top w:val="nil"/>
        <w:left w:val="nil"/>
        <w:bottom w:val="nil"/>
        <w:right w:val="nil"/>
        <w:between w:val="nil"/>
      </w:pBdr>
      <w:spacing w:before="255" w:after="255"/>
      <w:outlineLvl w:val="3"/>
    </w:pPr>
    <w:rPr>
      <w:b/>
      <w:sz w:val="24"/>
      <w:szCs w:val="24"/>
    </w:rPr>
  </w:style>
  <w:style w:type="paragraph" w:styleId="berschrift5">
    <w:name w:val="heading 5"/>
    <w:basedOn w:val="Standard"/>
    <w:next w:val="Standard"/>
    <w:uiPriority w:val="9"/>
    <w:semiHidden/>
    <w:unhideWhenUsed/>
    <w:qFormat/>
    <w:pPr>
      <w:pBdr>
        <w:top w:val="nil"/>
        <w:left w:val="nil"/>
        <w:bottom w:val="nil"/>
        <w:right w:val="nil"/>
        <w:between w:val="nil"/>
      </w:pBdr>
      <w:spacing w:before="255" w:after="255"/>
      <w:outlineLvl w:val="4"/>
    </w:pPr>
    <w:rPr>
      <w:b/>
      <w:sz w:val="18"/>
      <w:szCs w:val="18"/>
    </w:rPr>
  </w:style>
  <w:style w:type="paragraph" w:styleId="berschrift6">
    <w:name w:val="heading 6"/>
    <w:basedOn w:val="Standard"/>
    <w:next w:val="Standard"/>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7122</Words>
  <Characters>44872</Characters>
  <Application>Microsoft Office Word</Application>
  <DocSecurity>0</DocSecurity>
  <Lines>373</Lines>
  <Paragraphs>103</Paragraphs>
  <ScaleCrop>false</ScaleCrop>
  <Company/>
  <LinksUpToDate>false</LinksUpToDate>
  <CharactersWithSpaces>51891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Milivoje Batista de Oliveira</cp:lastModifiedBy>
  <cp:revision>2</cp:revision>
  <dcterms:created xsi:type="dcterms:W3CDTF">2025-07-20T19:57:00Z</dcterms:created>
  <dcterms:modified xsi:type="dcterms:W3CDTF">2025-07-20T19:57:00Z</dcterms:modified>
</cp:coreProperties>
</file>