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A22490" w14:textId="5C12A5B1" w:rsidR="00B54306" w:rsidRPr="00B54306" w:rsidRDefault="009F5861" w:rsidP="00455A40">
      <w:pPr>
        <w:pStyle w:val="Title"/>
        <w:spacing w:line="360" w:lineRule="auto"/>
        <w:jc w:val="center"/>
      </w:pPr>
      <w:r>
        <w:t xml:space="preserve">Excel </w:t>
      </w:r>
      <w:r w:rsidR="00B54306" w:rsidRPr="00B54306">
        <w:t>Data Analysis Project</w:t>
      </w:r>
    </w:p>
    <w:p w14:paraId="4261721E" w14:textId="77777777" w:rsidR="00B54306" w:rsidRPr="00B54306" w:rsidRDefault="00B54306" w:rsidP="008A7B6F">
      <w:pPr>
        <w:pStyle w:val="Heading1"/>
      </w:pPr>
      <w:r w:rsidRPr="00B54306">
        <w:t>1. Project Overview</w:t>
      </w:r>
    </w:p>
    <w:p w14:paraId="2F63BF84" w14:textId="101EC6DA" w:rsidR="00B54306" w:rsidRPr="00B54306" w:rsidRDefault="00B54306" w:rsidP="00455A40">
      <w:pPr>
        <w:pStyle w:val="Heading3"/>
        <w:spacing w:line="360" w:lineRule="auto"/>
      </w:pPr>
      <w:r w:rsidRPr="00B54306">
        <w:rPr>
          <w:b/>
          <w:bCs/>
        </w:rPr>
        <w:t>Project Title</w:t>
      </w:r>
      <w:r w:rsidRPr="00B54306">
        <w:t xml:space="preserve">: </w:t>
      </w:r>
      <w:r w:rsidR="00310B76" w:rsidRPr="008A7B6F">
        <w:t>US Debt Tracker</w:t>
      </w:r>
    </w:p>
    <w:p w14:paraId="281D32F9" w14:textId="15DDDA18" w:rsidR="00B54306" w:rsidRPr="00B54306" w:rsidRDefault="00B54306" w:rsidP="00455A40">
      <w:pPr>
        <w:pStyle w:val="Heading3"/>
        <w:spacing w:line="360" w:lineRule="auto"/>
      </w:pPr>
      <w:r w:rsidRPr="00B54306">
        <w:rPr>
          <w:b/>
          <w:bCs/>
        </w:rPr>
        <w:t>Author</w:t>
      </w:r>
      <w:r w:rsidRPr="00B54306">
        <w:t xml:space="preserve">: </w:t>
      </w:r>
      <w:r w:rsidR="00310B76">
        <w:t>Adnan Aslam</w:t>
      </w:r>
    </w:p>
    <w:p w14:paraId="03393894" w14:textId="06CA94F9" w:rsidR="00B54306" w:rsidRDefault="00B54306" w:rsidP="00455A40">
      <w:pPr>
        <w:pStyle w:val="Heading3"/>
        <w:spacing w:line="360" w:lineRule="auto"/>
      </w:pPr>
      <w:r w:rsidRPr="00B54306">
        <w:rPr>
          <w:b/>
          <w:bCs/>
        </w:rPr>
        <w:t>Tools Used</w:t>
      </w:r>
      <w:r w:rsidRPr="00B54306">
        <w:t xml:space="preserve">: </w:t>
      </w:r>
      <w:r w:rsidR="00310B76">
        <w:t>Microsoft Excel 2021</w:t>
      </w:r>
    </w:p>
    <w:p w14:paraId="48F763AB" w14:textId="77777777" w:rsidR="004E30C9" w:rsidRPr="004E30C9" w:rsidRDefault="004E30C9" w:rsidP="00455A40">
      <w:pPr>
        <w:spacing w:line="360" w:lineRule="auto"/>
      </w:pPr>
    </w:p>
    <w:p w14:paraId="453C2922" w14:textId="77777777" w:rsidR="00B54306" w:rsidRDefault="00B54306" w:rsidP="008A7B6F">
      <w:pPr>
        <w:pStyle w:val="Heading2"/>
      </w:pPr>
      <w:r w:rsidRPr="00B54306">
        <w:t>Summary</w:t>
      </w:r>
    </w:p>
    <w:p w14:paraId="0A0E3FA8" w14:textId="4AD1F978" w:rsidR="005F2F15" w:rsidRPr="005F2F15" w:rsidRDefault="005F2F15" w:rsidP="005F2F15">
      <w:r w:rsidRPr="005F2F15">
        <w:t>This personal project involves analysing public and governmental debt using a publicly available dataset to showcase my data analysis skills. The analysis focuses on identifying trends and patterns in the data, providing insights that could inform future decision-making regarding debt management. Through this project, I demonstrate my ability to conduct exploratory analysis and create clear visualizations.</w:t>
      </w:r>
    </w:p>
    <w:p w14:paraId="5644ABD3" w14:textId="77777777" w:rsidR="00C175F7" w:rsidRDefault="00B54306" w:rsidP="00C175F7">
      <w:pPr>
        <w:spacing w:line="360" w:lineRule="auto"/>
      </w:pPr>
      <w:r w:rsidRPr="004E30C9">
        <w:rPr>
          <w:rStyle w:val="Heading3Char"/>
        </w:rPr>
        <w:t>Objective</w:t>
      </w:r>
      <w:r w:rsidRPr="004E30C9">
        <w:t xml:space="preserve">: </w:t>
      </w:r>
    </w:p>
    <w:p w14:paraId="767F6D10" w14:textId="7E747F4D" w:rsidR="00B54306" w:rsidRPr="00B54306" w:rsidRDefault="00660115" w:rsidP="00C175F7">
      <w:pPr>
        <w:spacing w:line="360" w:lineRule="auto"/>
        <w:rPr>
          <w:sz w:val="32"/>
          <w:szCs w:val="32"/>
        </w:rPr>
      </w:pPr>
      <w:r w:rsidRPr="004E30C9">
        <w:t>The objective of this project is to analyse historical data on US public debt to uncover significant trends and insights that can inform policy decisions and debt management strategies.</w:t>
      </w:r>
    </w:p>
    <w:p w14:paraId="1A3D2C0C" w14:textId="77777777" w:rsidR="00C175F7" w:rsidRDefault="00B54306" w:rsidP="00C175F7">
      <w:pPr>
        <w:spacing w:line="360" w:lineRule="auto"/>
        <w:rPr>
          <w:sz w:val="32"/>
          <w:szCs w:val="32"/>
        </w:rPr>
      </w:pPr>
      <w:r w:rsidRPr="004E30C9">
        <w:rPr>
          <w:rStyle w:val="Heading3Char"/>
        </w:rPr>
        <w:t>Stakeholders:</w:t>
      </w:r>
      <w:r w:rsidRPr="00B54306">
        <w:rPr>
          <w:sz w:val="32"/>
          <w:szCs w:val="32"/>
        </w:rPr>
        <w:t xml:space="preserve"> </w:t>
      </w:r>
    </w:p>
    <w:p w14:paraId="7A7C1F17" w14:textId="06C1BA35" w:rsidR="009F5861" w:rsidRPr="004E30C9" w:rsidRDefault="00660115" w:rsidP="009F5861">
      <w:pPr>
        <w:spacing w:line="360" w:lineRule="auto"/>
      </w:pPr>
      <w:r w:rsidRPr="004E30C9">
        <w:t>The primary stakeholders for this analysis include government officials and policymakers who require accurate data and insights for effective debt management, as well as the general public interested in understanding national debt trends.</w:t>
      </w:r>
    </w:p>
    <w:p w14:paraId="25A3186B" w14:textId="77777777" w:rsidR="00B54306" w:rsidRPr="00B54306" w:rsidRDefault="00B54306" w:rsidP="008A7B6F">
      <w:pPr>
        <w:pStyle w:val="Heading2"/>
      </w:pPr>
      <w:r w:rsidRPr="00B54306">
        <w:t xml:space="preserve">Key </w:t>
      </w:r>
      <w:r w:rsidRPr="009F5861">
        <w:t>Questions</w:t>
      </w:r>
      <w:r w:rsidRPr="00B54306">
        <w:t>:</w:t>
      </w:r>
    </w:p>
    <w:p w14:paraId="16E1E460" w14:textId="4030DC09" w:rsidR="00B54306" w:rsidRPr="00660115" w:rsidRDefault="00660115" w:rsidP="00C175F7">
      <w:pPr>
        <w:pStyle w:val="ListParagraph"/>
        <w:numPr>
          <w:ilvl w:val="0"/>
          <w:numId w:val="24"/>
        </w:numPr>
        <w:spacing w:line="360" w:lineRule="auto"/>
      </w:pPr>
      <w:r w:rsidRPr="00660115">
        <w:t>What was the Yearly Debt Percentage Increase for each year compared to the previous year?</w:t>
      </w:r>
    </w:p>
    <w:p w14:paraId="7010F9B8" w14:textId="77777777" w:rsidR="00660115" w:rsidRPr="00660115" w:rsidRDefault="00660115" w:rsidP="00C175F7">
      <w:pPr>
        <w:pStyle w:val="ListParagraph"/>
        <w:numPr>
          <w:ilvl w:val="0"/>
          <w:numId w:val="24"/>
        </w:numPr>
        <w:spacing w:line="360" w:lineRule="auto"/>
      </w:pPr>
      <w:r w:rsidRPr="00660115">
        <w:t>Which months historically have seen the highest/lowest increases in Total debt?</w:t>
      </w:r>
    </w:p>
    <w:p w14:paraId="73030360" w14:textId="5A35BAB1" w:rsidR="00B54306" w:rsidRDefault="00660115" w:rsidP="00C175F7">
      <w:pPr>
        <w:pStyle w:val="ListParagraph"/>
        <w:numPr>
          <w:ilvl w:val="0"/>
          <w:numId w:val="24"/>
        </w:numPr>
        <w:spacing w:line="360" w:lineRule="auto"/>
      </w:pPr>
      <w:r w:rsidRPr="00660115">
        <w:t>What is the projected growth of the publicly held debt in the next few years?</w:t>
      </w:r>
    </w:p>
    <w:p w14:paraId="3C264598" w14:textId="77777777" w:rsidR="00660115" w:rsidRDefault="00660115" w:rsidP="00455A40">
      <w:pPr>
        <w:spacing w:line="360" w:lineRule="auto"/>
        <w:ind w:left="0"/>
        <w:rPr>
          <w:sz w:val="32"/>
          <w:szCs w:val="32"/>
        </w:rPr>
      </w:pPr>
    </w:p>
    <w:p w14:paraId="561EBFF2" w14:textId="77777777" w:rsidR="005F2F15" w:rsidRPr="00660115" w:rsidRDefault="005F2F15" w:rsidP="00455A40">
      <w:pPr>
        <w:spacing w:line="360" w:lineRule="auto"/>
        <w:ind w:left="0"/>
        <w:rPr>
          <w:sz w:val="32"/>
          <w:szCs w:val="32"/>
        </w:rPr>
      </w:pPr>
    </w:p>
    <w:p w14:paraId="1E335F2C" w14:textId="0C317F26" w:rsidR="00660115" w:rsidRDefault="00000000" w:rsidP="00455A40">
      <w:pPr>
        <w:spacing w:line="360" w:lineRule="auto"/>
        <w:rPr>
          <w:sz w:val="32"/>
          <w:szCs w:val="32"/>
        </w:rPr>
      </w:pPr>
      <w:r>
        <w:rPr>
          <w:sz w:val="32"/>
          <w:szCs w:val="32"/>
        </w:rPr>
        <w:pict w14:anchorId="4574E7C7">
          <v:rect id="_x0000_i1030" style="width:0;height:1.5pt" o:hralign="center" o:bullet="t" o:hrstd="t" o:hr="t" fillcolor="#a0a0a0" stroked="f"/>
        </w:pict>
      </w:r>
    </w:p>
    <w:p w14:paraId="54BAFF85" w14:textId="77777777" w:rsidR="00660115" w:rsidRDefault="00660115" w:rsidP="00455A40">
      <w:pPr>
        <w:spacing w:line="360" w:lineRule="auto"/>
        <w:rPr>
          <w:sz w:val="32"/>
          <w:szCs w:val="32"/>
        </w:rPr>
      </w:pPr>
    </w:p>
    <w:p w14:paraId="0A138774" w14:textId="77777777" w:rsidR="00455A40" w:rsidRPr="00B54306" w:rsidRDefault="00455A40" w:rsidP="00455A40">
      <w:pPr>
        <w:spacing w:line="360" w:lineRule="auto"/>
        <w:rPr>
          <w:sz w:val="32"/>
          <w:szCs w:val="32"/>
        </w:rPr>
      </w:pPr>
    </w:p>
    <w:p w14:paraId="45272705" w14:textId="77777777" w:rsidR="00B54306" w:rsidRPr="00B54306" w:rsidRDefault="00B54306" w:rsidP="008A7B6F">
      <w:pPr>
        <w:pStyle w:val="Heading1"/>
      </w:pPr>
      <w:r w:rsidRPr="00B54306">
        <w:t>2. Data Collection &amp; Understanding</w:t>
      </w:r>
    </w:p>
    <w:p w14:paraId="0A10C316" w14:textId="4DF37D99" w:rsidR="00B54306" w:rsidRPr="00B54306" w:rsidRDefault="00B54306" w:rsidP="008A7B6F">
      <w:pPr>
        <w:spacing w:line="360" w:lineRule="auto"/>
        <w:ind w:left="360"/>
        <w:rPr>
          <w:sz w:val="32"/>
          <w:szCs w:val="32"/>
        </w:rPr>
      </w:pPr>
      <w:r w:rsidRPr="004E30C9">
        <w:rPr>
          <w:rStyle w:val="Heading2Char"/>
        </w:rPr>
        <w:t>Data Source:</w:t>
      </w:r>
      <w:r w:rsidRPr="00B54306">
        <w:rPr>
          <w:sz w:val="32"/>
          <w:szCs w:val="32"/>
        </w:rPr>
        <w:t xml:space="preserve"> </w:t>
      </w:r>
      <w:r w:rsidR="00660115">
        <w:rPr>
          <w:sz w:val="32"/>
          <w:szCs w:val="32"/>
        </w:rPr>
        <w:t>Public Dataset</w:t>
      </w:r>
    </w:p>
    <w:p w14:paraId="4018D56B" w14:textId="3E77CB43" w:rsidR="00B54306" w:rsidRPr="00B54306" w:rsidRDefault="00B54306" w:rsidP="008A7B6F">
      <w:pPr>
        <w:spacing w:line="360" w:lineRule="auto"/>
        <w:ind w:left="360"/>
        <w:rPr>
          <w:sz w:val="32"/>
          <w:szCs w:val="32"/>
        </w:rPr>
      </w:pPr>
      <w:r w:rsidRPr="004E30C9">
        <w:rPr>
          <w:rStyle w:val="Heading2Char"/>
        </w:rPr>
        <w:t>Data Type:</w:t>
      </w:r>
      <w:r w:rsidRPr="00B54306">
        <w:rPr>
          <w:sz w:val="32"/>
          <w:szCs w:val="32"/>
        </w:rPr>
        <w:t xml:space="preserve"> </w:t>
      </w:r>
      <w:r w:rsidR="00660115">
        <w:rPr>
          <w:sz w:val="32"/>
          <w:szCs w:val="32"/>
        </w:rPr>
        <w:t>Time Series</w:t>
      </w:r>
    </w:p>
    <w:p w14:paraId="5359BE9F" w14:textId="4CC78C32" w:rsidR="00B54306" w:rsidRDefault="00B54306" w:rsidP="008A7B6F">
      <w:pPr>
        <w:pStyle w:val="Heading2"/>
      </w:pPr>
      <w:r w:rsidRPr="00660115">
        <w:t xml:space="preserve">Data Description: </w:t>
      </w:r>
    </w:p>
    <w:p w14:paraId="5B5512CF" w14:textId="3D81F972" w:rsidR="009F5861" w:rsidRPr="00660115" w:rsidRDefault="00A92B52" w:rsidP="009F5861">
      <w:pPr>
        <w:spacing w:line="360" w:lineRule="auto"/>
        <w:rPr>
          <w:sz w:val="32"/>
          <w:szCs w:val="32"/>
        </w:rPr>
      </w:pPr>
      <w:r w:rsidRPr="00A92B52">
        <w:rPr>
          <w:noProof/>
        </w:rPr>
        <w:drawing>
          <wp:inline distT="0" distB="0" distL="0" distR="0" wp14:anchorId="60EF7851" wp14:editId="46EAEDA8">
            <wp:extent cx="3803650" cy="742950"/>
            <wp:effectExtent l="0" t="0" r="6350" b="0"/>
            <wp:docPr id="186536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03650" cy="742950"/>
                    </a:xfrm>
                    <a:prstGeom prst="rect">
                      <a:avLst/>
                    </a:prstGeom>
                    <a:noFill/>
                    <a:ln>
                      <a:noFill/>
                    </a:ln>
                  </pic:spPr>
                </pic:pic>
              </a:graphicData>
            </a:graphic>
          </wp:inline>
        </w:drawing>
      </w:r>
    </w:p>
    <w:p w14:paraId="3093D94F" w14:textId="77777777" w:rsidR="00B54306" w:rsidRDefault="00B54306" w:rsidP="008A7B6F">
      <w:pPr>
        <w:pStyle w:val="Heading2"/>
      </w:pPr>
      <w:r w:rsidRPr="00B54306">
        <w:t xml:space="preserve">Initial </w:t>
      </w:r>
      <w:r w:rsidRPr="004E30C9">
        <w:t>Observations</w:t>
      </w:r>
      <w:r w:rsidRPr="00B54306">
        <w:t>:</w:t>
      </w:r>
    </w:p>
    <w:p w14:paraId="052E0136" w14:textId="4D7F5F31" w:rsidR="004E30C9" w:rsidRPr="004E30C9" w:rsidRDefault="004E30C9" w:rsidP="00455A40">
      <w:pPr>
        <w:spacing w:line="360" w:lineRule="auto"/>
      </w:pPr>
      <w:r w:rsidRPr="00A92B52">
        <w:t>The dataset reveals several important patterns:</w:t>
      </w:r>
    </w:p>
    <w:p w14:paraId="5C4EC198" w14:textId="77777777" w:rsidR="00C175F7" w:rsidRDefault="00A92B52" w:rsidP="00C175F7">
      <w:pPr>
        <w:spacing w:line="360" w:lineRule="auto"/>
        <w:rPr>
          <w:sz w:val="32"/>
          <w:szCs w:val="32"/>
        </w:rPr>
      </w:pPr>
      <w:r w:rsidRPr="00A92B52">
        <w:rPr>
          <w:rStyle w:val="Heading3Char"/>
        </w:rPr>
        <w:t>Data Structure:</w:t>
      </w:r>
      <w:r w:rsidRPr="00A92B52">
        <w:rPr>
          <w:sz w:val="32"/>
          <w:szCs w:val="32"/>
        </w:rPr>
        <w:t xml:space="preserve"> </w:t>
      </w:r>
    </w:p>
    <w:p w14:paraId="6D80EE17" w14:textId="26887720" w:rsidR="00A92B52" w:rsidRPr="00A92B52" w:rsidRDefault="00A92B52" w:rsidP="00C175F7">
      <w:pPr>
        <w:spacing w:line="360" w:lineRule="auto"/>
      </w:pPr>
      <w:r w:rsidRPr="00A92B52">
        <w:t xml:space="preserve">Organized in row format with </w:t>
      </w:r>
      <w:r w:rsidRPr="004E30C9">
        <w:t>three</w:t>
      </w:r>
      <w:r w:rsidRPr="00A92B52">
        <w:t xml:space="preserve"> rows for different entities and multiple columns for each date, which may require reshaping for analysis.</w:t>
      </w:r>
    </w:p>
    <w:p w14:paraId="5DF13A5A" w14:textId="77777777" w:rsidR="00C175F7" w:rsidRDefault="00A92B52" w:rsidP="00C175F7">
      <w:pPr>
        <w:spacing w:line="360" w:lineRule="auto"/>
        <w:rPr>
          <w:sz w:val="32"/>
          <w:szCs w:val="32"/>
        </w:rPr>
      </w:pPr>
      <w:r w:rsidRPr="00A92B52">
        <w:rPr>
          <w:rStyle w:val="Heading3Char"/>
        </w:rPr>
        <w:t>Debt Values:</w:t>
      </w:r>
      <w:r w:rsidRPr="00A92B52">
        <w:rPr>
          <w:sz w:val="32"/>
          <w:szCs w:val="32"/>
        </w:rPr>
        <w:t xml:space="preserve"> </w:t>
      </w:r>
    </w:p>
    <w:p w14:paraId="063ACD83" w14:textId="5465BC2F" w:rsidR="00A92B52" w:rsidRPr="00A92B52" w:rsidRDefault="00A92B52" w:rsidP="00C175F7">
      <w:pPr>
        <w:spacing w:line="360" w:lineRule="auto"/>
        <w:rPr>
          <w:sz w:val="32"/>
          <w:szCs w:val="32"/>
        </w:rPr>
      </w:pPr>
      <w:r w:rsidRPr="00A92B52">
        <w:t>Presented in scientific notation, which can be confusing; conversion to standard number or currency format will enhance clarity.</w:t>
      </w:r>
    </w:p>
    <w:p w14:paraId="008ED4D4" w14:textId="77777777" w:rsidR="00C175F7" w:rsidRDefault="00A92B52" w:rsidP="00C175F7">
      <w:pPr>
        <w:spacing w:line="360" w:lineRule="auto"/>
        <w:rPr>
          <w:sz w:val="32"/>
          <w:szCs w:val="32"/>
        </w:rPr>
      </w:pPr>
      <w:r w:rsidRPr="00A92B52">
        <w:rPr>
          <w:rStyle w:val="Heading3Char"/>
        </w:rPr>
        <w:t>Missing Values:</w:t>
      </w:r>
      <w:r w:rsidRPr="00A92B52">
        <w:rPr>
          <w:sz w:val="32"/>
          <w:szCs w:val="32"/>
        </w:rPr>
        <w:t xml:space="preserve"> </w:t>
      </w:r>
    </w:p>
    <w:p w14:paraId="134E4A38" w14:textId="3E4B5F9C" w:rsidR="009F5861" w:rsidRDefault="00A92B52" w:rsidP="009F5861">
      <w:pPr>
        <w:spacing w:line="360" w:lineRule="auto"/>
        <w:rPr>
          <w:sz w:val="32"/>
          <w:szCs w:val="32"/>
        </w:rPr>
      </w:pPr>
      <w:r w:rsidRPr="00A92B52">
        <w:t>Contains null and blank entries that may affect analysis accuracy; addressing these is essential for reliable results.</w:t>
      </w:r>
    </w:p>
    <w:p w14:paraId="447B9BB0" w14:textId="77777777" w:rsidR="009F5861" w:rsidRPr="00C175F7" w:rsidRDefault="009F5861" w:rsidP="009F5861">
      <w:pPr>
        <w:spacing w:line="360" w:lineRule="auto"/>
        <w:rPr>
          <w:sz w:val="32"/>
          <w:szCs w:val="32"/>
        </w:rPr>
      </w:pPr>
    </w:p>
    <w:p w14:paraId="4B39C235" w14:textId="77777777" w:rsidR="00B54306" w:rsidRDefault="00B54306" w:rsidP="008A7B6F">
      <w:pPr>
        <w:pStyle w:val="Heading2"/>
      </w:pPr>
      <w:r w:rsidRPr="00B54306">
        <w:t>Limitations &amp; Assumptions:</w:t>
      </w:r>
    </w:p>
    <w:p w14:paraId="50A38180" w14:textId="77777777" w:rsidR="00C175F7" w:rsidRDefault="004E30C9" w:rsidP="00C175F7">
      <w:pPr>
        <w:pStyle w:val="ListParagraph"/>
        <w:spacing w:line="360" w:lineRule="auto"/>
        <w:rPr>
          <w:sz w:val="32"/>
          <w:szCs w:val="32"/>
        </w:rPr>
      </w:pPr>
      <w:r w:rsidRPr="004E30C9">
        <w:rPr>
          <w:rStyle w:val="Heading3Char"/>
        </w:rPr>
        <w:t>Data Structure:</w:t>
      </w:r>
      <w:r w:rsidRPr="004E30C9">
        <w:rPr>
          <w:sz w:val="32"/>
          <w:szCs w:val="32"/>
        </w:rPr>
        <w:t xml:space="preserve"> </w:t>
      </w:r>
    </w:p>
    <w:p w14:paraId="4ED1A2CF" w14:textId="5425FE8E" w:rsidR="004E30C9" w:rsidRPr="004E30C9" w:rsidRDefault="004E30C9" w:rsidP="00C175F7">
      <w:pPr>
        <w:spacing w:line="360" w:lineRule="auto"/>
        <w:rPr>
          <w:sz w:val="32"/>
          <w:szCs w:val="32"/>
        </w:rPr>
      </w:pPr>
      <w:r w:rsidRPr="00455A40">
        <w:t>The row format with multiple columns for dates may require reshaping for specific analyses.</w:t>
      </w:r>
    </w:p>
    <w:p w14:paraId="7C872C67" w14:textId="77777777" w:rsidR="00C175F7" w:rsidRDefault="004E30C9" w:rsidP="00C175F7">
      <w:pPr>
        <w:pStyle w:val="ListParagraph"/>
        <w:spacing w:line="360" w:lineRule="auto"/>
        <w:rPr>
          <w:sz w:val="32"/>
          <w:szCs w:val="32"/>
        </w:rPr>
      </w:pPr>
      <w:r w:rsidRPr="004E30C9">
        <w:rPr>
          <w:rStyle w:val="Heading3Char"/>
        </w:rPr>
        <w:t>Missing Values:</w:t>
      </w:r>
      <w:r w:rsidRPr="004E30C9">
        <w:rPr>
          <w:sz w:val="32"/>
          <w:szCs w:val="32"/>
        </w:rPr>
        <w:t xml:space="preserve"> </w:t>
      </w:r>
    </w:p>
    <w:p w14:paraId="2255643C" w14:textId="69BF698F" w:rsidR="00C175F7" w:rsidRPr="009F5861" w:rsidRDefault="004E30C9" w:rsidP="009F5861">
      <w:pPr>
        <w:spacing w:line="360" w:lineRule="auto"/>
      </w:pPr>
      <w:r w:rsidRPr="00455A40">
        <w:t>Missing or blank entries are considered random, and imputation or exclusion methods may introduce some uncertainty.</w:t>
      </w:r>
    </w:p>
    <w:p w14:paraId="131D5E1A" w14:textId="77777777" w:rsidR="00C175F7" w:rsidRDefault="004E30C9" w:rsidP="00C175F7">
      <w:pPr>
        <w:pStyle w:val="ListParagraph"/>
        <w:spacing w:line="360" w:lineRule="auto"/>
        <w:rPr>
          <w:sz w:val="32"/>
          <w:szCs w:val="32"/>
        </w:rPr>
      </w:pPr>
      <w:r w:rsidRPr="004E30C9">
        <w:rPr>
          <w:rStyle w:val="Heading3Char"/>
        </w:rPr>
        <w:lastRenderedPageBreak/>
        <w:t>Scientific Notation:</w:t>
      </w:r>
      <w:r w:rsidRPr="004E30C9">
        <w:rPr>
          <w:sz w:val="32"/>
          <w:szCs w:val="32"/>
        </w:rPr>
        <w:t xml:space="preserve"> </w:t>
      </w:r>
    </w:p>
    <w:p w14:paraId="021F6840" w14:textId="68BF6F4A" w:rsidR="004E30C9" w:rsidRPr="00455A40" w:rsidRDefault="004E30C9" w:rsidP="00C175F7">
      <w:pPr>
        <w:spacing w:line="360" w:lineRule="auto"/>
      </w:pPr>
      <w:r w:rsidRPr="00455A40">
        <w:t>Debt values in scientific notation are accepted as accurate, with conversion to a standard format intended to enhance understanding.</w:t>
      </w:r>
    </w:p>
    <w:p w14:paraId="37A6E7A4" w14:textId="77777777" w:rsidR="00C175F7" w:rsidRDefault="004E30C9" w:rsidP="00C175F7">
      <w:pPr>
        <w:pStyle w:val="ListParagraph"/>
        <w:spacing w:line="360" w:lineRule="auto"/>
        <w:rPr>
          <w:sz w:val="32"/>
          <w:szCs w:val="32"/>
        </w:rPr>
      </w:pPr>
      <w:r w:rsidRPr="004E30C9">
        <w:rPr>
          <w:rStyle w:val="Heading3Char"/>
        </w:rPr>
        <w:t>Dataset Completeness:</w:t>
      </w:r>
      <w:r w:rsidRPr="004E30C9">
        <w:rPr>
          <w:sz w:val="32"/>
          <w:szCs w:val="32"/>
        </w:rPr>
        <w:t xml:space="preserve"> </w:t>
      </w:r>
    </w:p>
    <w:p w14:paraId="324A9410" w14:textId="2618549F" w:rsidR="004E30C9" w:rsidRPr="004E30C9" w:rsidRDefault="004E30C9" w:rsidP="00C175F7">
      <w:pPr>
        <w:spacing w:line="360" w:lineRule="auto"/>
        <w:rPr>
          <w:sz w:val="32"/>
          <w:szCs w:val="32"/>
        </w:rPr>
      </w:pPr>
      <w:r w:rsidRPr="00455A40">
        <w:t>The analysis relies on the completeness of the dataset; missing data for certain periods may limit trend identification.</w:t>
      </w:r>
    </w:p>
    <w:p w14:paraId="7A75F9D6" w14:textId="65A7B6AB" w:rsidR="00B54306" w:rsidRPr="00B54306" w:rsidRDefault="00B54306" w:rsidP="00455A40">
      <w:pPr>
        <w:spacing w:line="360" w:lineRule="auto"/>
        <w:rPr>
          <w:sz w:val="32"/>
          <w:szCs w:val="32"/>
        </w:rPr>
      </w:pPr>
    </w:p>
    <w:p w14:paraId="1AFE7B69" w14:textId="77777777" w:rsidR="00B54306" w:rsidRDefault="00B54306" w:rsidP="008A7B6F">
      <w:pPr>
        <w:pStyle w:val="Heading1"/>
      </w:pPr>
      <w:r w:rsidRPr="00B54306">
        <w:t>3. Data Cleaning and Preparation</w:t>
      </w:r>
    </w:p>
    <w:p w14:paraId="6A6C8E23" w14:textId="7D6C5C0E" w:rsidR="00D636D2" w:rsidRDefault="00D636D2" w:rsidP="00D636D2">
      <w:pPr>
        <w:spacing w:line="360" w:lineRule="auto"/>
      </w:pPr>
      <w:r w:rsidRPr="00D636D2">
        <w:t xml:space="preserve">The dataset required minimal cleaning as it was mostly well-structured. The primary transformation involved converting </w:t>
      </w:r>
      <w:r w:rsidR="009F5861">
        <w:t xml:space="preserve">nulls into empty cells, </w:t>
      </w:r>
      <w:r w:rsidRPr="00D636D2">
        <w:t>debt values from scientific notation to a standard number format, and removing unnecessary decimal points (which were zeros). No further significant cleaning was necessary.</w:t>
      </w:r>
    </w:p>
    <w:p w14:paraId="28EF067B" w14:textId="77777777" w:rsidR="00D636D2" w:rsidRPr="00D636D2" w:rsidRDefault="00D636D2" w:rsidP="000C332B">
      <w:pPr>
        <w:ind w:left="0"/>
      </w:pPr>
    </w:p>
    <w:p w14:paraId="7D030213" w14:textId="450CA6B0" w:rsidR="00D636D2" w:rsidRPr="00B54306" w:rsidRDefault="00000000" w:rsidP="000C332B">
      <w:pPr>
        <w:spacing w:line="360" w:lineRule="auto"/>
        <w:rPr>
          <w:sz w:val="32"/>
          <w:szCs w:val="32"/>
        </w:rPr>
      </w:pPr>
      <w:r>
        <w:rPr>
          <w:sz w:val="32"/>
          <w:szCs w:val="32"/>
        </w:rPr>
        <w:pict w14:anchorId="02432470">
          <v:rect id="_x0000_i1031" style="width:0;height:1.5pt" o:hralign="center" o:bullet="t" o:hrstd="t" o:hr="t" fillcolor="#a0a0a0" stroked="f"/>
        </w:pict>
      </w:r>
    </w:p>
    <w:p w14:paraId="3E05F526" w14:textId="77777777" w:rsidR="00B54306" w:rsidRPr="00B54306" w:rsidRDefault="00B54306" w:rsidP="00AF37C3">
      <w:pPr>
        <w:pStyle w:val="Heading1"/>
      </w:pPr>
      <w:r w:rsidRPr="00B54306">
        <w:t>4. Analysis Strategy</w:t>
      </w:r>
    </w:p>
    <w:p w14:paraId="0ECBBF18" w14:textId="116D38F6" w:rsidR="00B54306" w:rsidRPr="00B54306" w:rsidRDefault="00B54306" w:rsidP="00AF37C3">
      <w:pPr>
        <w:pStyle w:val="Heading1"/>
      </w:pPr>
      <w:r w:rsidRPr="00B54306">
        <w:t>Exploratory Data Analysis (EDA)</w:t>
      </w:r>
    </w:p>
    <w:p w14:paraId="3AAE4664" w14:textId="062B28CA" w:rsidR="00EA66A2" w:rsidRDefault="00B54306" w:rsidP="00C175F7">
      <w:pPr>
        <w:pStyle w:val="Heading2"/>
        <w:rPr>
          <w:szCs w:val="32"/>
        </w:rPr>
      </w:pPr>
      <w:r w:rsidRPr="00455A40">
        <w:rPr>
          <w:rStyle w:val="Heading3Char"/>
        </w:rPr>
        <w:t xml:space="preserve">Exploratory </w:t>
      </w:r>
      <w:r w:rsidRPr="00C175F7">
        <w:rPr>
          <w:rStyle w:val="Heading3Char"/>
          <w:color w:val="2F5496" w:themeColor="accent1" w:themeShade="BF"/>
          <w:sz w:val="32"/>
          <w:szCs w:val="26"/>
        </w:rPr>
        <w:t>Approach</w:t>
      </w:r>
      <w:r w:rsidRPr="00455A40">
        <w:rPr>
          <w:rStyle w:val="Heading3Char"/>
        </w:rPr>
        <w:t>:</w:t>
      </w:r>
      <w:r w:rsidRPr="00B54306">
        <w:rPr>
          <w:szCs w:val="32"/>
        </w:rPr>
        <w:t xml:space="preserve"> </w:t>
      </w:r>
    </w:p>
    <w:p w14:paraId="50EAC68A" w14:textId="77777777" w:rsidR="00C175F7" w:rsidRDefault="00EA66A2" w:rsidP="00C175F7">
      <w:pPr>
        <w:pStyle w:val="ListParagraph"/>
        <w:spacing w:after="0" w:line="360" w:lineRule="auto"/>
        <w:rPr>
          <w:rFonts w:ascii="Times New Roman" w:eastAsia="Times New Roman" w:hAnsi="Times New Roman" w:cs="Times New Roman"/>
          <w:kern w:val="0"/>
          <w:szCs w:val="24"/>
          <w:lang w:eastAsia="en-PK"/>
          <w14:ligatures w14:val="none"/>
        </w:rPr>
      </w:pPr>
      <w:r w:rsidRPr="00AF37C3">
        <w:rPr>
          <w:rStyle w:val="Heading3Char"/>
          <w:lang w:eastAsia="en-PK"/>
        </w:rPr>
        <w:t>Missing Records:</w:t>
      </w:r>
      <w:r w:rsidRPr="00EA66A2">
        <w:rPr>
          <w:rFonts w:ascii="Times New Roman" w:eastAsia="Times New Roman" w:hAnsi="Times New Roman" w:cs="Times New Roman"/>
          <w:kern w:val="0"/>
          <w:szCs w:val="24"/>
          <w:lang w:eastAsia="en-PK"/>
          <w14:ligatures w14:val="none"/>
        </w:rPr>
        <w:t xml:space="preserve"> </w:t>
      </w:r>
    </w:p>
    <w:p w14:paraId="7C868E74" w14:textId="691E77E7" w:rsidR="00EA66A2" w:rsidRPr="00AF37C3" w:rsidRDefault="00EA66A2" w:rsidP="00C175F7">
      <w:pPr>
        <w:spacing w:line="360" w:lineRule="auto"/>
        <w:rPr>
          <w:lang w:eastAsia="en-PK"/>
        </w:rPr>
      </w:pPr>
      <w:r w:rsidRPr="00AF37C3">
        <w:rPr>
          <w:lang w:eastAsia="en-PK"/>
        </w:rPr>
        <w:t>There is no data for public or intragovernmental debt from 1993 to 1996.</w:t>
      </w:r>
    </w:p>
    <w:p w14:paraId="056F5455" w14:textId="77777777" w:rsidR="00C175F7" w:rsidRDefault="00EA66A2" w:rsidP="00C175F7">
      <w:pPr>
        <w:pStyle w:val="ListParagraph"/>
        <w:spacing w:after="0" w:line="360" w:lineRule="auto"/>
        <w:rPr>
          <w:rFonts w:ascii="Times New Roman" w:eastAsia="Times New Roman" w:hAnsi="Times New Roman" w:cs="Times New Roman"/>
          <w:kern w:val="0"/>
          <w:szCs w:val="24"/>
          <w:lang w:eastAsia="en-PK"/>
          <w14:ligatures w14:val="none"/>
        </w:rPr>
      </w:pPr>
      <w:r w:rsidRPr="00AF37C3">
        <w:rPr>
          <w:rStyle w:val="Heading3Char"/>
          <w:lang w:eastAsia="en-PK"/>
        </w:rPr>
        <w:t>Inconsistent Data Frequency:</w:t>
      </w:r>
      <w:r w:rsidRPr="00EA66A2">
        <w:rPr>
          <w:rFonts w:ascii="Times New Roman" w:eastAsia="Times New Roman" w:hAnsi="Times New Roman" w:cs="Times New Roman"/>
          <w:kern w:val="0"/>
          <w:szCs w:val="24"/>
          <w:lang w:eastAsia="en-PK"/>
          <w14:ligatures w14:val="none"/>
        </w:rPr>
        <w:t xml:space="preserve"> </w:t>
      </w:r>
    </w:p>
    <w:p w14:paraId="501A506C" w14:textId="1C8C14F4" w:rsidR="000C332B" w:rsidRPr="00AF37C3" w:rsidRDefault="00EA66A2" w:rsidP="000C332B">
      <w:pPr>
        <w:spacing w:line="360" w:lineRule="auto"/>
        <w:rPr>
          <w:lang w:eastAsia="en-PK"/>
        </w:rPr>
      </w:pPr>
      <w:r w:rsidRPr="00AF37C3">
        <w:rPr>
          <w:lang w:eastAsia="en-PK"/>
        </w:rPr>
        <w:t>From 1996 to 2000, there is only one record per year. The data frequency increases between 2000 and 2004, with 4 to 12 records per year.</w:t>
      </w:r>
    </w:p>
    <w:p w14:paraId="5CFA667E" w14:textId="77777777" w:rsidR="00C175F7" w:rsidRDefault="00EA66A2" w:rsidP="00C175F7">
      <w:pPr>
        <w:pStyle w:val="ListParagraph"/>
        <w:spacing w:after="0" w:line="360" w:lineRule="auto"/>
        <w:rPr>
          <w:rFonts w:ascii="Times New Roman" w:eastAsia="Times New Roman" w:hAnsi="Times New Roman" w:cs="Times New Roman"/>
          <w:kern w:val="0"/>
          <w:szCs w:val="24"/>
          <w:lang w:eastAsia="en-PK"/>
          <w14:ligatures w14:val="none"/>
        </w:rPr>
      </w:pPr>
      <w:r w:rsidRPr="00AF37C3">
        <w:rPr>
          <w:rStyle w:val="Heading3Char"/>
          <w:lang w:eastAsia="en-PK"/>
        </w:rPr>
        <w:t>Consistent Tracking:</w:t>
      </w:r>
      <w:r w:rsidRPr="00EA66A2">
        <w:rPr>
          <w:rFonts w:ascii="Times New Roman" w:eastAsia="Times New Roman" w:hAnsi="Times New Roman" w:cs="Times New Roman"/>
          <w:kern w:val="0"/>
          <w:szCs w:val="24"/>
          <w:lang w:eastAsia="en-PK"/>
          <w14:ligatures w14:val="none"/>
        </w:rPr>
        <w:t xml:space="preserve"> </w:t>
      </w:r>
    </w:p>
    <w:p w14:paraId="06CEF246" w14:textId="1B02FEEC" w:rsidR="00EA66A2" w:rsidRDefault="00EA66A2" w:rsidP="00C175F7">
      <w:pPr>
        <w:spacing w:line="360" w:lineRule="auto"/>
        <w:rPr>
          <w:lang w:eastAsia="en-PK"/>
        </w:rPr>
      </w:pPr>
      <w:r w:rsidRPr="00AF37C3">
        <w:rPr>
          <w:lang w:eastAsia="en-PK"/>
        </w:rPr>
        <w:t>From 2005 onwards, the dataset maintains around 191 records annually, indicating consistent tracking until 2022.</w:t>
      </w:r>
    </w:p>
    <w:p w14:paraId="31C455D2" w14:textId="77777777" w:rsidR="000C332B" w:rsidRPr="00EA66A2" w:rsidRDefault="000C332B" w:rsidP="00C175F7">
      <w:pPr>
        <w:spacing w:line="360" w:lineRule="auto"/>
        <w:rPr>
          <w:rFonts w:ascii="Times New Roman" w:eastAsia="Times New Roman" w:hAnsi="Times New Roman" w:cs="Times New Roman"/>
          <w:kern w:val="0"/>
          <w:szCs w:val="24"/>
          <w:lang w:eastAsia="en-PK"/>
          <w14:ligatures w14:val="none"/>
        </w:rPr>
      </w:pPr>
    </w:p>
    <w:p w14:paraId="282C45F8" w14:textId="77777777" w:rsidR="00C175F7" w:rsidRDefault="00EA66A2" w:rsidP="00C175F7">
      <w:pPr>
        <w:pStyle w:val="ListParagraph"/>
        <w:spacing w:after="0" w:line="360" w:lineRule="auto"/>
        <w:rPr>
          <w:rFonts w:ascii="Times New Roman" w:eastAsia="Times New Roman" w:hAnsi="Times New Roman" w:cs="Times New Roman"/>
          <w:kern w:val="0"/>
          <w:szCs w:val="24"/>
          <w:lang w:eastAsia="en-PK"/>
          <w14:ligatures w14:val="none"/>
        </w:rPr>
      </w:pPr>
      <w:r w:rsidRPr="00AF37C3">
        <w:rPr>
          <w:rStyle w:val="Heading3Char"/>
          <w:lang w:eastAsia="en-PK"/>
        </w:rPr>
        <w:lastRenderedPageBreak/>
        <w:t>2023 Data:</w:t>
      </w:r>
      <w:r w:rsidRPr="00EA66A2">
        <w:rPr>
          <w:rFonts w:ascii="Times New Roman" w:eastAsia="Times New Roman" w:hAnsi="Times New Roman" w:cs="Times New Roman"/>
          <w:kern w:val="0"/>
          <w:szCs w:val="24"/>
          <w:lang w:eastAsia="en-PK"/>
          <w14:ligatures w14:val="none"/>
        </w:rPr>
        <w:t xml:space="preserve"> </w:t>
      </w:r>
    </w:p>
    <w:p w14:paraId="4C3115BC" w14:textId="0D3AE9E9" w:rsidR="00EA66A2" w:rsidRPr="00AF37C3" w:rsidRDefault="00EA66A2" w:rsidP="00C175F7">
      <w:pPr>
        <w:spacing w:line="360" w:lineRule="auto"/>
        <w:rPr>
          <w:lang w:eastAsia="en-PK"/>
        </w:rPr>
      </w:pPr>
      <w:r w:rsidRPr="00AF37C3">
        <w:rPr>
          <w:lang w:eastAsia="en-PK"/>
        </w:rPr>
        <w:t>There are only two months of data available for 2023, which will be ignored due to its incomplete nature.</w:t>
      </w:r>
    </w:p>
    <w:p w14:paraId="1BB7DB10" w14:textId="77777777" w:rsidR="00C175F7" w:rsidRDefault="00EA66A2" w:rsidP="00C175F7">
      <w:pPr>
        <w:pStyle w:val="ListParagraph"/>
        <w:spacing w:line="360" w:lineRule="auto"/>
        <w:rPr>
          <w:rFonts w:ascii="Times New Roman" w:eastAsia="Times New Roman" w:hAnsi="Times New Roman" w:cs="Times New Roman"/>
          <w:kern w:val="0"/>
          <w:szCs w:val="24"/>
          <w:lang w:eastAsia="en-PK"/>
          <w14:ligatures w14:val="none"/>
        </w:rPr>
      </w:pPr>
      <w:r w:rsidRPr="00AF37C3">
        <w:rPr>
          <w:rStyle w:val="Heading3Char"/>
          <w:lang w:eastAsia="en-PK"/>
        </w:rPr>
        <w:t>Weekly Gaps:</w:t>
      </w:r>
      <w:r w:rsidRPr="00EA66A2">
        <w:rPr>
          <w:rFonts w:ascii="Times New Roman" w:eastAsia="Times New Roman" w:hAnsi="Times New Roman" w:cs="Times New Roman"/>
          <w:kern w:val="0"/>
          <w:szCs w:val="24"/>
          <w:lang w:eastAsia="en-PK"/>
          <w14:ligatures w14:val="none"/>
        </w:rPr>
        <w:t xml:space="preserve"> </w:t>
      </w:r>
    </w:p>
    <w:p w14:paraId="6774648C" w14:textId="45850905" w:rsidR="00EA66A2" w:rsidRPr="00AF37C3" w:rsidRDefault="00EA66A2" w:rsidP="00C175F7">
      <w:pPr>
        <w:spacing w:line="360" w:lineRule="auto"/>
      </w:pPr>
      <w:r w:rsidRPr="00AF37C3">
        <w:rPr>
          <w:lang w:eastAsia="en-PK"/>
        </w:rPr>
        <w:t>Data is missing for two days each week, likely Saturdays and Sundays, suggesting no weekend tracking.</w:t>
      </w:r>
    </w:p>
    <w:p w14:paraId="1D8F28BC" w14:textId="77777777" w:rsidR="00D636D2" w:rsidRPr="00AF37C3" w:rsidRDefault="00D636D2" w:rsidP="00C175F7">
      <w:pPr>
        <w:spacing w:line="360" w:lineRule="auto"/>
        <w:ind w:left="0"/>
      </w:pPr>
    </w:p>
    <w:p w14:paraId="0888C64B" w14:textId="18AF694C" w:rsidR="00B54306" w:rsidRDefault="009F5861" w:rsidP="00C175F7">
      <w:pPr>
        <w:spacing w:line="360" w:lineRule="auto"/>
        <w:rPr>
          <w:sz w:val="32"/>
          <w:szCs w:val="32"/>
        </w:rPr>
      </w:pPr>
      <w:r>
        <w:rPr>
          <w:rStyle w:val="Heading3Char"/>
        </w:rPr>
        <w:t>EDA</w:t>
      </w:r>
      <w:r w:rsidR="00B54306" w:rsidRPr="00455A40">
        <w:rPr>
          <w:rStyle w:val="Heading3Char"/>
        </w:rPr>
        <w:t xml:space="preserve"> Visualizations:</w:t>
      </w:r>
      <w:r w:rsidR="00B54306" w:rsidRPr="00B54306">
        <w:rPr>
          <w:sz w:val="32"/>
          <w:szCs w:val="32"/>
        </w:rPr>
        <w:t xml:space="preserve"> </w:t>
      </w:r>
    </w:p>
    <w:p w14:paraId="12C1F4D4" w14:textId="41D48E81" w:rsidR="00AF37C3" w:rsidRDefault="00AF37C3" w:rsidP="009F5861">
      <w:pPr>
        <w:spacing w:line="360" w:lineRule="auto"/>
        <w:rPr>
          <w:sz w:val="32"/>
          <w:szCs w:val="32"/>
        </w:rPr>
      </w:pPr>
      <w:r w:rsidRPr="00AF37C3">
        <w:rPr>
          <w:noProof/>
        </w:rPr>
        <w:drawing>
          <wp:inline distT="0" distB="0" distL="0" distR="0" wp14:anchorId="0E06A66A" wp14:editId="302AF1D9">
            <wp:extent cx="3724275" cy="5915025"/>
            <wp:effectExtent l="0" t="0" r="9525" b="9525"/>
            <wp:docPr id="198539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92128" name=""/>
                    <pic:cNvPicPr/>
                  </pic:nvPicPr>
                  <pic:blipFill>
                    <a:blip r:embed="rId6"/>
                    <a:stretch>
                      <a:fillRect/>
                    </a:stretch>
                  </pic:blipFill>
                  <pic:spPr>
                    <a:xfrm>
                      <a:off x="0" y="0"/>
                      <a:ext cx="3724275" cy="5915025"/>
                    </a:xfrm>
                    <a:prstGeom prst="rect">
                      <a:avLst/>
                    </a:prstGeom>
                  </pic:spPr>
                </pic:pic>
              </a:graphicData>
            </a:graphic>
          </wp:inline>
        </w:drawing>
      </w:r>
    </w:p>
    <w:p w14:paraId="52A0F684" w14:textId="407344C3" w:rsidR="00AF37C3" w:rsidRPr="00B54306" w:rsidRDefault="00AF37C3" w:rsidP="00AF37C3">
      <w:pPr>
        <w:spacing w:line="360" w:lineRule="auto"/>
        <w:rPr>
          <w:sz w:val="32"/>
          <w:szCs w:val="32"/>
        </w:rPr>
      </w:pPr>
      <w:r>
        <w:rPr>
          <w:noProof/>
        </w:rPr>
        <w:lastRenderedPageBreak/>
        <w:drawing>
          <wp:inline distT="0" distB="0" distL="0" distR="0" wp14:anchorId="5DD4DA73" wp14:editId="49CD6942">
            <wp:extent cx="5772150" cy="2719388"/>
            <wp:effectExtent l="0" t="0" r="0" b="5080"/>
            <wp:docPr id="861361031" name="Chart 1">
              <a:extLst xmlns:a="http://schemas.openxmlformats.org/drawingml/2006/main">
                <a:ext uri="{FF2B5EF4-FFF2-40B4-BE49-F238E27FC236}">
                  <a16:creationId xmlns:a16="http://schemas.microsoft.com/office/drawing/2014/main" id="{52B6F69C-4ABA-E5EF-304E-752F00D2DD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3105F26" w14:textId="77777777" w:rsidR="00B54306" w:rsidRDefault="00B54306" w:rsidP="00E724F0">
      <w:pPr>
        <w:pStyle w:val="Heading2"/>
      </w:pPr>
      <w:r w:rsidRPr="00B54306">
        <w:t>Key Insights from EDA:</w:t>
      </w:r>
    </w:p>
    <w:p w14:paraId="45DFB82E" w14:textId="65088557" w:rsidR="005569E4" w:rsidRPr="005569E4" w:rsidRDefault="005569E4" w:rsidP="005569E4">
      <w:pPr>
        <w:spacing w:line="360" w:lineRule="auto"/>
      </w:pPr>
      <w:r w:rsidRPr="005569E4">
        <w:t>The dataset contains consistent and reliable records from 2006 to 2022, with 250 or more entries per year, making it suitable for detailed analysis. However, the lack of sufficient data from 1993 to 2004 may limit accuracy if this earlier period is included in the analysis.</w:t>
      </w:r>
    </w:p>
    <w:p w14:paraId="49DABE82" w14:textId="126BD531" w:rsidR="00E56236" w:rsidRPr="00B54306" w:rsidRDefault="00000000" w:rsidP="009F5861">
      <w:pPr>
        <w:spacing w:line="360" w:lineRule="auto"/>
        <w:rPr>
          <w:sz w:val="32"/>
          <w:szCs w:val="32"/>
        </w:rPr>
      </w:pPr>
      <w:r>
        <w:rPr>
          <w:sz w:val="32"/>
          <w:szCs w:val="32"/>
        </w:rPr>
        <w:pict w14:anchorId="64D98D04">
          <v:rect id="_x0000_i1032" style="width:0;height:1.5pt" o:hralign="center" o:bullet="t" o:hrstd="t" o:hr="t" fillcolor="#a0a0a0" stroked="f"/>
        </w:pict>
      </w:r>
    </w:p>
    <w:p w14:paraId="753956A1" w14:textId="77777777" w:rsidR="00B54306" w:rsidRPr="00B54306" w:rsidRDefault="00B54306" w:rsidP="00E724F0">
      <w:pPr>
        <w:pStyle w:val="Heading1"/>
      </w:pPr>
      <w:r w:rsidRPr="00B54306">
        <w:t>5. Analysis and Findings</w:t>
      </w:r>
    </w:p>
    <w:p w14:paraId="0EF93F33" w14:textId="62ED7D63" w:rsidR="00E724F0" w:rsidRPr="00E724F0" w:rsidRDefault="00B54306" w:rsidP="00E56236">
      <w:pPr>
        <w:pStyle w:val="Heading2"/>
      </w:pPr>
      <w:r w:rsidRPr="00B54306">
        <w:rPr>
          <w:b/>
          <w:bCs/>
        </w:rPr>
        <w:t>Methods Used</w:t>
      </w:r>
      <w:r w:rsidRPr="00B54306">
        <w:t xml:space="preserve">: </w:t>
      </w:r>
      <w:r w:rsidR="009A44D4">
        <w:t>Table, Pivot Table and Charts</w:t>
      </w:r>
      <w:r w:rsidRPr="00B54306">
        <w:t>.</w:t>
      </w:r>
    </w:p>
    <w:p w14:paraId="22C6F7D2" w14:textId="77777777" w:rsidR="00E724F0" w:rsidRDefault="00B54306" w:rsidP="00E724F0">
      <w:pPr>
        <w:pStyle w:val="Heading2"/>
      </w:pPr>
      <w:r w:rsidRPr="00B54306">
        <w:t xml:space="preserve">Results: </w:t>
      </w:r>
    </w:p>
    <w:p w14:paraId="59B1C5C2" w14:textId="36E5A395" w:rsidR="00E56236" w:rsidRDefault="00E724F0" w:rsidP="009F5861">
      <w:pPr>
        <w:spacing w:line="360" w:lineRule="auto"/>
      </w:pPr>
      <w:r w:rsidRPr="00E724F0">
        <w:rPr>
          <w:rStyle w:val="Heading3Char"/>
        </w:rPr>
        <w:t>Finding 1:</w:t>
      </w:r>
      <w:r w:rsidRPr="00E724F0">
        <w:br/>
      </w:r>
      <w:r w:rsidR="00B77261" w:rsidRPr="00B77261">
        <w:t>The most notable year was 2020, when</w:t>
      </w:r>
      <w:r w:rsidR="00B77261">
        <w:t xml:space="preserve"> </w:t>
      </w:r>
      <w:r w:rsidRPr="00E724F0">
        <w:t>U.S. debt spiked by 19.60% due to the combined impact of the U.S.-China trade war (2019) and COVID-19 recession.</w:t>
      </w:r>
    </w:p>
    <w:p w14:paraId="6D01F18E" w14:textId="36DC40B7" w:rsidR="00E56236" w:rsidRPr="00E724F0" w:rsidRDefault="00E724F0" w:rsidP="00507BE0">
      <w:r>
        <w:rPr>
          <w:noProof/>
        </w:rPr>
        <w:drawing>
          <wp:inline distT="0" distB="0" distL="0" distR="0" wp14:anchorId="3BDFF6FB" wp14:editId="1E33AFDA">
            <wp:extent cx="5568950" cy="2654300"/>
            <wp:effectExtent l="0" t="0" r="12700" b="12700"/>
            <wp:docPr id="594710769" name="Chart 1">
              <a:extLst xmlns:a="http://schemas.openxmlformats.org/drawingml/2006/main">
                <a:ext uri="{FF2B5EF4-FFF2-40B4-BE49-F238E27FC236}">
                  <a16:creationId xmlns:a16="http://schemas.microsoft.com/office/drawing/2014/main" id="{959E8FB7-AAF6-4A97-B9D3-481D146EE4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AB0B979" w14:textId="10A285C6" w:rsidR="00E56236" w:rsidRDefault="00E724F0" w:rsidP="00C175F7">
      <w:pPr>
        <w:spacing w:line="360" w:lineRule="auto"/>
      </w:pPr>
      <w:r w:rsidRPr="00E724F0">
        <w:rPr>
          <w:rStyle w:val="Heading3Char"/>
        </w:rPr>
        <w:lastRenderedPageBreak/>
        <w:t>Finding 2:</w:t>
      </w:r>
      <w:r w:rsidRPr="00E724F0">
        <w:br/>
        <w:t>Debt tends to rise from November to February, driven by end-of-year government spending and preparations for the new fiscal year. Conversely, debt growth slows from April to July due to increased tax revenue and reduced spending.</w:t>
      </w:r>
    </w:p>
    <w:p w14:paraId="3294AF03" w14:textId="752B776C" w:rsidR="00E724F0" w:rsidRDefault="00E724F0" w:rsidP="00E724F0">
      <w:r>
        <w:rPr>
          <w:noProof/>
        </w:rPr>
        <w:drawing>
          <wp:inline distT="0" distB="0" distL="0" distR="0" wp14:anchorId="1F9169B1" wp14:editId="28905DBB">
            <wp:extent cx="5518150" cy="2885017"/>
            <wp:effectExtent l="0" t="0" r="6350" b="10795"/>
            <wp:docPr id="662681267" name="Chart 1">
              <a:extLst xmlns:a="http://schemas.openxmlformats.org/drawingml/2006/main">
                <a:ext uri="{FF2B5EF4-FFF2-40B4-BE49-F238E27FC236}">
                  <a16:creationId xmlns:a16="http://schemas.microsoft.com/office/drawing/2014/main" id="{513156AD-586D-45B6-91D4-7F556F5742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64761FD" w14:textId="77777777" w:rsidR="00E724F0" w:rsidRPr="00E724F0" w:rsidRDefault="00E724F0" w:rsidP="00E724F0"/>
    <w:p w14:paraId="5497E4CC" w14:textId="6969BAF8" w:rsidR="00E724F0" w:rsidRDefault="00E724F0" w:rsidP="00C175F7">
      <w:pPr>
        <w:spacing w:line="360" w:lineRule="auto"/>
      </w:pPr>
      <w:r w:rsidRPr="00E724F0">
        <w:rPr>
          <w:rStyle w:val="Heading3Char"/>
        </w:rPr>
        <w:t>Finding 3:</w:t>
      </w:r>
      <w:r w:rsidRPr="00E724F0">
        <w:br/>
        <w:t>From 1993 to 2006, debt remained under $5 trillion, then gradually increased to $17 trillion by 2019. It surged to $22 trillion in 2020 and is projected to reach $33 trillion by 2027.</w:t>
      </w:r>
    </w:p>
    <w:p w14:paraId="1C7F9A60" w14:textId="77777777" w:rsidR="00E56236" w:rsidRDefault="00E56236" w:rsidP="00E724F0"/>
    <w:p w14:paraId="74CC4E37" w14:textId="1E2A050A" w:rsidR="00E56236" w:rsidRDefault="00E56236" w:rsidP="00E724F0">
      <w:r>
        <w:rPr>
          <w:noProof/>
        </w:rPr>
        <w:drawing>
          <wp:inline distT="0" distB="0" distL="0" distR="0" wp14:anchorId="4D1012DE" wp14:editId="7CB0BE5D">
            <wp:extent cx="5530850" cy="2802467"/>
            <wp:effectExtent l="0" t="0" r="12700" b="17145"/>
            <wp:docPr id="1473419294" name="Chart 1">
              <a:extLst xmlns:a="http://schemas.openxmlformats.org/drawingml/2006/main">
                <a:ext uri="{FF2B5EF4-FFF2-40B4-BE49-F238E27FC236}">
                  <a16:creationId xmlns:a16="http://schemas.microsoft.com/office/drawing/2014/main" id="{5E7EAC26-C3D8-4754-8C5B-0A4A2B15C0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6437222" w14:textId="77777777" w:rsidR="00E56236" w:rsidRDefault="00E56236" w:rsidP="00E724F0"/>
    <w:p w14:paraId="2DC63F6F" w14:textId="77777777" w:rsidR="00E56236" w:rsidRDefault="00E56236" w:rsidP="00E724F0"/>
    <w:p w14:paraId="31B220E2" w14:textId="77777777" w:rsidR="00E724F0" w:rsidRPr="00E724F0" w:rsidRDefault="00E724F0" w:rsidP="00E56236">
      <w:pPr>
        <w:ind w:left="0"/>
      </w:pPr>
    </w:p>
    <w:p w14:paraId="3959208B" w14:textId="35769F38" w:rsidR="00B54306" w:rsidRDefault="00B54306" w:rsidP="00E56236">
      <w:pPr>
        <w:pStyle w:val="Heading2"/>
      </w:pPr>
      <w:r w:rsidRPr="00B54306">
        <w:lastRenderedPageBreak/>
        <w:t>Key Insights:</w:t>
      </w:r>
    </w:p>
    <w:p w14:paraId="003883F6" w14:textId="77777777" w:rsidR="00E56236" w:rsidRPr="00E56236" w:rsidRDefault="00E56236" w:rsidP="00E56236">
      <w:pPr>
        <w:numPr>
          <w:ilvl w:val="0"/>
          <w:numId w:val="21"/>
        </w:numPr>
        <w:spacing w:line="360" w:lineRule="auto"/>
      </w:pPr>
      <w:r w:rsidRPr="00E56236">
        <w:t>The trade war and COVID-19 drove a notable debt spike in 2020.</w:t>
      </w:r>
    </w:p>
    <w:p w14:paraId="132B24D9" w14:textId="77777777" w:rsidR="00E56236" w:rsidRPr="00E56236" w:rsidRDefault="00E56236" w:rsidP="00E56236">
      <w:pPr>
        <w:numPr>
          <w:ilvl w:val="0"/>
          <w:numId w:val="21"/>
        </w:numPr>
        <w:spacing w:line="360" w:lineRule="auto"/>
      </w:pPr>
      <w:r w:rsidRPr="00E56236">
        <w:t>Debt fluctuations align with government fiscal cycles, increasing in winter and stabilizing in spring/summer.</w:t>
      </w:r>
    </w:p>
    <w:p w14:paraId="79316050" w14:textId="77777777" w:rsidR="00E56236" w:rsidRPr="00E56236" w:rsidRDefault="00E56236" w:rsidP="00E56236">
      <w:pPr>
        <w:numPr>
          <w:ilvl w:val="0"/>
          <w:numId w:val="21"/>
        </w:numPr>
        <w:spacing w:line="360" w:lineRule="auto"/>
      </w:pPr>
      <w:r w:rsidRPr="00E56236">
        <w:t>Long-term debt trends show consistent growth, with projections of continued acceleration.</w:t>
      </w:r>
    </w:p>
    <w:p w14:paraId="46AE6B4B" w14:textId="77777777" w:rsidR="00E56236" w:rsidRPr="00E56236" w:rsidRDefault="00E56236" w:rsidP="00E56236"/>
    <w:p w14:paraId="36A09D93" w14:textId="77777777" w:rsidR="00A655DA" w:rsidRDefault="00E56236" w:rsidP="00E56236">
      <w:r>
        <w:t xml:space="preserve">   </w:t>
      </w:r>
      <w:r w:rsidR="00000000">
        <w:pict w14:anchorId="0903B25E">
          <v:rect id="_x0000_i1033" style="width:0;height:1.5pt" o:hralign="center" o:hrstd="t" o:hr="t" fillcolor="#a0a0a0" stroked="f"/>
        </w:pict>
      </w:r>
      <w:r w:rsidR="00A655DA">
        <w:t xml:space="preserve"> </w:t>
      </w:r>
    </w:p>
    <w:p w14:paraId="279C23BF" w14:textId="0B903728" w:rsidR="00B54306" w:rsidRPr="00B54306" w:rsidRDefault="00E56236" w:rsidP="00E56236">
      <w:r>
        <w:t xml:space="preserve"> </w:t>
      </w:r>
    </w:p>
    <w:p w14:paraId="2C142164" w14:textId="77777777" w:rsidR="00B54306" w:rsidRDefault="00B54306" w:rsidP="00A655DA">
      <w:pPr>
        <w:pStyle w:val="Heading1"/>
      </w:pPr>
      <w:r w:rsidRPr="00B54306">
        <w:t>6. Interpretation and Business Impact</w:t>
      </w:r>
    </w:p>
    <w:p w14:paraId="7AABA61C" w14:textId="5BC7EA94" w:rsidR="00A655DA" w:rsidRPr="00A655DA" w:rsidRDefault="00A655DA" w:rsidP="00A655DA">
      <w:r w:rsidRPr="00A655DA">
        <w:rPr>
          <w:rStyle w:val="Heading2Char"/>
        </w:rPr>
        <w:t>Impact on the Common American Citizen:</w:t>
      </w:r>
    </w:p>
    <w:p w14:paraId="43DC3220" w14:textId="77777777" w:rsidR="00A655DA" w:rsidRDefault="00A655DA" w:rsidP="00A655DA">
      <w:r w:rsidRPr="00A655DA">
        <w:rPr>
          <w:rStyle w:val="Heading3Char"/>
        </w:rPr>
        <w:t>Higher taxes or reduced government services:</w:t>
      </w:r>
      <w:r w:rsidRPr="00A655DA">
        <w:t xml:space="preserve"> </w:t>
      </w:r>
    </w:p>
    <w:p w14:paraId="261084A6" w14:textId="3FE80A34" w:rsidR="00A655DA" w:rsidRPr="00A655DA" w:rsidRDefault="00A655DA" w:rsidP="00C175F7">
      <w:pPr>
        <w:spacing w:line="360" w:lineRule="auto"/>
      </w:pPr>
      <w:r w:rsidRPr="00A655DA">
        <w:t>As the national debt grows, the government may increase taxes or reduce spending on public services like healthcare, education, and infrastructure to manage the debt burden.</w:t>
      </w:r>
    </w:p>
    <w:p w14:paraId="34E164C4" w14:textId="77777777" w:rsidR="00A655DA" w:rsidRDefault="00A655DA" w:rsidP="00A655DA">
      <w:pPr>
        <w:pStyle w:val="Heading3"/>
      </w:pPr>
      <w:r w:rsidRPr="00A655DA">
        <w:t xml:space="preserve">Inflation and cost of living: </w:t>
      </w:r>
    </w:p>
    <w:p w14:paraId="62BD8D2C" w14:textId="717BC92B" w:rsidR="00A655DA" w:rsidRPr="00A655DA" w:rsidRDefault="00A655DA" w:rsidP="00C175F7">
      <w:pPr>
        <w:spacing w:line="360" w:lineRule="auto"/>
      </w:pPr>
      <w:r w:rsidRPr="00A655DA">
        <w:t>The consistent rise in debt, particularly during times of crisis like COVID-19, could lead to inflation, which increases the cost of everyday goods and services, making it harder for families to afford necessities.</w:t>
      </w:r>
    </w:p>
    <w:p w14:paraId="6B0F5B71" w14:textId="77777777" w:rsidR="00A655DA" w:rsidRDefault="00A655DA" w:rsidP="00A655DA">
      <w:pPr>
        <w:pStyle w:val="Heading3"/>
      </w:pPr>
      <w:r w:rsidRPr="00A655DA">
        <w:t xml:space="preserve">Increased borrowing costs: </w:t>
      </w:r>
    </w:p>
    <w:p w14:paraId="1CDDCC05" w14:textId="5B1FB92A" w:rsidR="00A655DA" w:rsidRDefault="00A655DA" w:rsidP="00C175F7">
      <w:pPr>
        <w:spacing w:line="360" w:lineRule="auto"/>
      </w:pPr>
      <w:r w:rsidRPr="00A655DA">
        <w:t>As national debt grows, interest rates might rise, making mortgages, car loans, and credit card interest more expensive for citizens. This would directly impact the financial stability of American households.</w:t>
      </w:r>
    </w:p>
    <w:p w14:paraId="069EBD03" w14:textId="77777777" w:rsidR="00A655DA" w:rsidRPr="00A655DA" w:rsidRDefault="00A655DA" w:rsidP="00C175F7">
      <w:pPr>
        <w:spacing w:line="360" w:lineRule="auto"/>
      </w:pPr>
    </w:p>
    <w:p w14:paraId="17CD898D" w14:textId="2EDE8C74" w:rsidR="00A655DA" w:rsidRPr="00A655DA" w:rsidRDefault="00A655DA" w:rsidP="00C175F7">
      <w:pPr>
        <w:spacing w:line="360" w:lineRule="auto"/>
      </w:pPr>
      <w:r w:rsidRPr="00A655DA">
        <w:t>These effects show how government debt trends can translate into higher living costs and financial pressures for the average American.</w:t>
      </w:r>
    </w:p>
    <w:p w14:paraId="301070FD" w14:textId="12C5C53B" w:rsidR="00B54306" w:rsidRDefault="00000000" w:rsidP="00455A40">
      <w:pPr>
        <w:spacing w:line="360" w:lineRule="auto"/>
        <w:rPr>
          <w:sz w:val="32"/>
          <w:szCs w:val="32"/>
        </w:rPr>
      </w:pPr>
      <w:r>
        <w:rPr>
          <w:sz w:val="32"/>
          <w:szCs w:val="32"/>
        </w:rPr>
        <w:pict w14:anchorId="6DDE7771">
          <v:rect id="_x0000_i1034" style="width:0;height:1.5pt" o:hralign="center" o:bullet="t" o:hrstd="t" o:hr="t" fillcolor="#a0a0a0" stroked="f"/>
        </w:pict>
      </w:r>
      <w:r w:rsidR="00A655DA">
        <w:rPr>
          <w:sz w:val="32"/>
          <w:szCs w:val="32"/>
        </w:rPr>
        <w:t xml:space="preserve"> </w:t>
      </w:r>
    </w:p>
    <w:p w14:paraId="314DD88E" w14:textId="77777777" w:rsidR="00A655DA" w:rsidRPr="00B54306" w:rsidRDefault="00A655DA" w:rsidP="00507BE0">
      <w:pPr>
        <w:spacing w:line="360" w:lineRule="auto"/>
        <w:ind w:left="0"/>
        <w:rPr>
          <w:sz w:val="32"/>
          <w:szCs w:val="32"/>
        </w:rPr>
      </w:pPr>
    </w:p>
    <w:p w14:paraId="01CB733B" w14:textId="77777777" w:rsidR="00B54306" w:rsidRDefault="00B54306" w:rsidP="00A655DA">
      <w:pPr>
        <w:pStyle w:val="Heading1"/>
      </w:pPr>
      <w:r w:rsidRPr="00B54306">
        <w:lastRenderedPageBreak/>
        <w:t>7. Recommendations</w:t>
      </w:r>
    </w:p>
    <w:p w14:paraId="361DFCD8" w14:textId="77777777" w:rsidR="00A655DA" w:rsidRDefault="00A655DA" w:rsidP="00A655DA">
      <w:r w:rsidRPr="00A655DA">
        <w:rPr>
          <w:rStyle w:val="Heading3Char"/>
        </w:rPr>
        <w:t>Reallocate Spending:</w:t>
      </w:r>
      <w:r w:rsidRPr="00A655DA">
        <w:t xml:space="preserve"> </w:t>
      </w:r>
    </w:p>
    <w:p w14:paraId="40BD8D23" w14:textId="2D913153" w:rsidR="00A655DA" w:rsidRPr="00A655DA" w:rsidRDefault="00A655DA" w:rsidP="00C175F7">
      <w:pPr>
        <w:spacing w:line="360" w:lineRule="auto"/>
      </w:pPr>
      <w:r w:rsidRPr="00A655DA">
        <w:t>Redirect funds from non-essential programs to critical areas like healthcare, education, and infrastructure that directly benefit citizens.</w:t>
      </w:r>
    </w:p>
    <w:p w14:paraId="0D355523" w14:textId="77777777" w:rsidR="00A655DA" w:rsidRDefault="00A655DA" w:rsidP="00A655DA">
      <w:r w:rsidRPr="00A655DA">
        <w:rPr>
          <w:rStyle w:val="Heading3Char"/>
        </w:rPr>
        <w:t>Increase Fiscal Oversight:</w:t>
      </w:r>
      <w:r w:rsidRPr="00A655DA">
        <w:t xml:space="preserve"> </w:t>
      </w:r>
    </w:p>
    <w:p w14:paraId="42DC4484" w14:textId="13B7CCB7" w:rsidR="00A655DA" w:rsidRPr="00A655DA" w:rsidRDefault="00A655DA" w:rsidP="00C175F7">
      <w:pPr>
        <w:spacing w:line="360" w:lineRule="auto"/>
      </w:pPr>
      <w:r w:rsidRPr="00A655DA">
        <w:t>Implement stricter budget oversight to reduce wasteful spending and limit unnecessary debt accumulation.</w:t>
      </w:r>
    </w:p>
    <w:p w14:paraId="1C13405E" w14:textId="77777777" w:rsidR="00A655DA" w:rsidRDefault="00A655DA" w:rsidP="00A655DA">
      <w:r w:rsidRPr="00A655DA">
        <w:rPr>
          <w:rStyle w:val="Heading3Char"/>
        </w:rPr>
        <w:t>Manage Debt Efficiently:</w:t>
      </w:r>
      <w:r w:rsidRPr="00A655DA">
        <w:t xml:space="preserve"> </w:t>
      </w:r>
    </w:p>
    <w:p w14:paraId="173D5CC3" w14:textId="3D811519" w:rsidR="00A655DA" w:rsidRPr="00A655DA" w:rsidRDefault="00A655DA" w:rsidP="00C175F7">
      <w:pPr>
        <w:spacing w:line="360" w:lineRule="auto"/>
      </w:pPr>
      <w:r w:rsidRPr="00A655DA">
        <w:t>Explore refinancing debt at lower rates and introduce policies to gradually reduce reliance on borrowing.</w:t>
      </w:r>
    </w:p>
    <w:p w14:paraId="336DA95A" w14:textId="77777777" w:rsidR="00A655DA" w:rsidRDefault="00A655DA" w:rsidP="00A655DA">
      <w:r w:rsidRPr="00A655DA">
        <w:rPr>
          <w:rStyle w:val="Heading3Char"/>
        </w:rPr>
        <w:t>Improve Transparency:</w:t>
      </w:r>
      <w:r w:rsidRPr="00A655DA">
        <w:t xml:space="preserve"> </w:t>
      </w:r>
    </w:p>
    <w:p w14:paraId="281C7264" w14:textId="4F66BD01" w:rsidR="00A655DA" w:rsidRPr="00A655DA" w:rsidRDefault="00A655DA" w:rsidP="00C175F7">
      <w:pPr>
        <w:spacing w:line="360" w:lineRule="auto"/>
      </w:pPr>
      <w:r w:rsidRPr="00A655DA">
        <w:t>Encourage public involvement in fiscal decisions to ensure spending aligns with citizen priorities.</w:t>
      </w:r>
    </w:p>
    <w:p w14:paraId="3B8BA7F8" w14:textId="77777777" w:rsidR="00A655DA" w:rsidRPr="00B54306" w:rsidRDefault="00A655DA" w:rsidP="00A655DA"/>
    <w:p w14:paraId="200F8309" w14:textId="77777777" w:rsidR="00B54306" w:rsidRPr="00B54306" w:rsidRDefault="00000000" w:rsidP="00455A40">
      <w:pPr>
        <w:spacing w:line="360" w:lineRule="auto"/>
        <w:rPr>
          <w:sz w:val="32"/>
          <w:szCs w:val="32"/>
        </w:rPr>
      </w:pPr>
      <w:r>
        <w:rPr>
          <w:sz w:val="32"/>
          <w:szCs w:val="32"/>
        </w:rPr>
        <w:pict w14:anchorId="0A992C34">
          <v:rect id="_x0000_i1035" style="width:0;height:1.5pt" o:hralign="center" o:hrstd="t" o:hr="t" fillcolor="#a0a0a0" stroked="f"/>
        </w:pict>
      </w:r>
    </w:p>
    <w:p w14:paraId="0E22AFBD" w14:textId="77777777" w:rsidR="00B54306" w:rsidRDefault="00B54306" w:rsidP="00A655DA">
      <w:pPr>
        <w:pStyle w:val="Heading1"/>
      </w:pPr>
      <w:r w:rsidRPr="00B54306">
        <w:t>8. Challenges and Limitations</w:t>
      </w:r>
    </w:p>
    <w:p w14:paraId="1FEFDBC2" w14:textId="77777777" w:rsidR="00A655DA" w:rsidRDefault="00A655DA" w:rsidP="00A655DA">
      <w:pPr>
        <w:pStyle w:val="Heading3"/>
      </w:pPr>
      <w:r w:rsidRPr="00A655DA">
        <w:t xml:space="preserve">Incomplete Data: </w:t>
      </w:r>
    </w:p>
    <w:p w14:paraId="240997CA" w14:textId="45E93DAC" w:rsidR="00A655DA" w:rsidRPr="00A655DA" w:rsidRDefault="00A655DA" w:rsidP="00C175F7">
      <w:pPr>
        <w:spacing w:line="360" w:lineRule="auto"/>
      </w:pPr>
      <w:r w:rsidRPr="00A655DA">
        <w:t>The dataset lacks consistent records from 1993 to 2004, which limits the accuracy of historical debt analysis.</w:t>
      </w:r>
    </w:p>
    <w:p w14:paraId="3C52A725" w14:textId="77777777" w:rsidR="00A655DA" w:rsidRDefault="00A655DA" w:rsidP="00A655DA">
      <w:pPr>
        <w:pStyle w:val="Heading3"/>
      </w:pPr>
      <w:r w:rsidRPr="00A655DA">
        <w:t xml:space="preserve">Random Missing Data: </w:t>
      </w:r>
    </w:p>
    <w:p w14:paraId="1F10EF82" w14:textId="4FCE6702" w:rsidR="00A655DA" w:rsidRPr="00A655DA" w:rsidRDefault="00A655DA" w:rsidP="00C175F7">
      <w:pPr>
        <w:spacing w:line="360" w:lineRule="auto"/>
      </w:pPr>
      <w:r w:rsidRPr="00A655DA">
        <w:t>Certain days are missing, affecting the continuity of some monthly analyses.</w:t>
      </w:r>
    </w:p>
    <w:p w14:paraId="2787053C" w14:textId="77777777" w:rsidR="00A655DA" w:rsidRDefault="00A655DA" w:rsidP="00A655DA">
      <w:pPr>
        <w:pStyle w:val="Heading3"/>
      </w:pPr>
      <w:r w:rsidRPr="00A655DA">
        <w:t xml:space="preserve">External Factors: </w:t>
      </w:r>
    </w:p>
    <w:p w14:paraId="67C120DF" w14:textId="49E3141A" w:rsidR="00A655DA" w:rsidRPr="00A655DA" w:rsidRDefault="00A655DA" w:rsidP="00C175F7">
      <w:pPr>
        <w:spacing w:line="360" w:lineRule="auto"/>
      </w:pPr>
      <w:r w:rsidRPr="00A655DA">
        <w:t>Unpredictable global events (e.g., COVID-19) may have significantly skewed debt trends, making it harder to predict future patterns with certainty.</w:t>
      </w:r>
    </w:p>
    <w:p w14:paraId="3EAC36C1" w14:textId="77777777" w:rsidR="00A655DA" w:rsidRPr="00B54306" w:rsidRDefault="00A655DA" w:rsidP="00A655DA"/>
    <w:p w14:paraId="5D546119" w14:textId="4B329E7C" w:rsidR="00B54306" w:rsidRPr="00B54306" w:rsidRDefault="00000000" w:rsidP="00A655DA">
      <w:pPr>
        <w:spacing w:line="360" w:lineRule="auto"/>
        <w:rPr>
          <w:sz w:val="32"/>
          <w:szCs w:val="32"/>
        </w:rPr>
      </w:pPr>
      <w:r>
        <w:rPr>
          <w:sz w:val="32"/>
          <w:szCs w:val="32"/>
        </w:rPr>
        <w:pict w14:anchorId="3AF157F0">
          <v:rect id="_x0000_i1036" style="width:0;height:1.5pt" o:hralign="center" o:hrstd="t" o:hr="t" fillcolor="#a0a0a0" stroked="f"/>
        </w:pict>
      </w:r>
    </w:p>
    <w:p w14:paraId="6D305B1E" w14:textId="7A16733E" w:rsidR="00571068" w:rsidRPr="00A655DA" w:rsidRDefault="00571068" w:rsidP="00A655DA">
      <w:pPr>
        <w:spacing w:line="360" w:lineRule="auto"/>
        <w:rPr>
          <w:sz w:val="32"/>
          <w:szCs w:val="32"/>
        </w:rPr>
      </w:pPr>
    </w:p>
    <w:sectPr w:rsidR="00571068" w:rsidRPr="00A655DA" w:rsidSect="00571068">
      <w:pgSz w:w="11907" w:h="16840" w:code="9"/>
      <w:pgMar w:top="720" w:right="720" w:bottom="720" w:left="720" w:header="720" w:footer="720" w:gutter="0"/>
      <w:cols w:space="708"/>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41" style="width:0;height:1.5pt" o:hralign="center" o:bullet="t" o:hrstd="t" o:hr="t" fillcolor="#a0a0a0" stroked="f"/>
    </w:pict>
  </w:numPicBullet>
  <w:numPicBullet w:numPicBulletId="1">
    <w:pict>
      <v:rect id="_x0000_i1042" style="width:0;height:1.5pt" o:hralign="center" o:bullet="t" o:hrstd="t" o:hr="t" fillcolor="#a0a0a0" stroked="f"/>
    </w:pict>
  </w:numPicBullet>
  <w:numPicBullet w:numPicBulletId="2">
    <w:pict>
      <v:rect id="_x0000_i1043" style="width:0;height:1.5pt" o:hralign="center" o:bullet="t" o:hrstd="t" o:hr="t" fillcolor="#a0a0a0" stroked="f"/>
    </w:pict>
  </w:numPicBullet>
  <w:numPicBullet w:numPicBulletId="3">
    <w:pict>
      <v:rect id="_x0000_i1044" style="width:0;height:1.5pt" o:hralign="center" o:bullet="t" o:hrstd="t" o:hr="t" fillcolor="#a0a0a0" stroked="f"/>
    </w:pict>
  </w:numPicBullet>
  <w:numPicBullet w:numPicBulletId="4">
    <w:pict>
      <v:rect id="_x0000_i1045" style="width:0;height:1.5pt" o:hralign="center" o:bullet="t" o:hrstd="t" o:hr="t" fillcolor="#a0a0a0" stroked="f"/>
    </w:pict>
  </w:numPicBullet>
  <w:abstractNum w:abstractNumId="0" w15:restartNumberingAfterBreak="0">
    <w:nsid w:val="03A16DF9"/>
    <w:multiLevelType w:val="multilevel"/>
    <w:tmpl w:val="7F3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D5333"/>
    <w:multiLevelType w:val="multilevel"/>
    <w:tmpl w:val="2906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B18EB"/>
    <w:multiLevelType w:val="multilevel"/>
    <w:tmpl w:val="3B12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548F2"/>
    <w:multiLevelType w:val="multilevel"/>
    <w:tmpl w:val="51F47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CF604C"/>
    <w:multiLevelType w:val="multilevel"/>
    <w:tmpl w:val="FCBE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650EE"/>
    <w:multiLevelType w:val="multilevel"/>
    <w:tmpl w:val="F9D2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841E15"/>
    <w:multiLevelType w:val="hybridMultilevel"/>
    <w:tmpl w:val="9B0EE27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 w15:restartNumberingAfterBreak="0">
    <w:nsid w:val="2366405A"/>
    <w:multiLevelType w:val="hybridMultilevel"/>
    <w:tmpl w:val="217C0FB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28B44E7B"/>
    <w:multiLevelType w:val="multilevel"/>
    <w:tmpl w:val="FA24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517C4C"/>
    <w:multiLevelType w:val="multilevel"/>
    <w:tmpl w:val="A77A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72385A"/>
    <w:multiLevelType w:val="multilevel"/>
    <w:tmpl w:val="A77A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B03A94"/>
    <w:multiLevelType w:val="multilevel"/>
    <w:tmpl w:val="E840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93DE1"/>
    <w:multiLevelType w:val="multilevel"/>
    <w:tmpl w:val="65B6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08433D"/>
    <w:multiLevelType w:val="multilevel"/>
    <w:tmpl w:val="9290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967DE9"/>
    <w:multiLevelType w:val="multilevel"/>
    <w:tmpl w:val="4C9E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A30975"/>
    <w:multiLevelType w:val="multilevel"/>
    <w:tmpl w:val="DBDC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CA5400"/>
    <w:multiLevelType w:val="multilevel"/>
    <w:tmpl w:val="A570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9443B1"/>
    <w:multiLevelType w:val="multilevel"/>
    <w:tmpl w:val="54BAB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C96CD8"/>
    <w:multiLevelType w:val="multilevel"/>
    <w:tmpl w:val="C5EA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7C00D7"/>
    <w:multiLevelType w:val="multilevel"/>
    <w:tmpl w:val="B4D0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1D7653"/>
    <w:multiLevelType w:val="multilevel"/>
    <w:tmpl w:val="360CB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C028D1"/>
    <w:multiLevelType w:val="multilevel"/>
    <w:tmpl w:val="4B9C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135E2F"/>
    <w:multiLevelType w:val="multilevel"/>
    <w:tmpl w:val="A77A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C376A0"/>
    <w:multiLevelType w:val="multilevel"/>
    <w:tmpl w:val="33E8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7504492">
    <w:abstractNumId w:val="8"/>
  </w:num>
  <w:num w:numId="2" w16cid:durableId="1633443995">
    <w:abstractNumId w:val="19"/>
  </w:num>
  <w:num w:numId="3" w16cid:durableId="938833123">
    <w:abstractNumId w:val="15"/>
  </w:num>
  <w:num w:numId="4" w16cid:durableId="1779451185">
    <w:abstractNumId w:val="1"/>
  </w:num>
  <w:num w:numId="5" w16cid:durableId="36783734">
    <w:abstractNumId w:val="3"/>
  </w:num>
  <w:num w:numId="6" w16cid:durableId="1510026055">
    <w:abstractNumId w:val="17"/>
  </w:num>
  <w:num w:numId="7" w16cid:durableId="1675108348">
    <w:abstractNumId w:val="20"/>
  </w:num>
  <w:num w:numId="8" w16cid:durableId="1755741011">
    <w:abstractNumId w:val="13"/>
  </w:num>
  <w:num w:numId="9" w16cid:durableId="1622226402">
    <w:abstractNumId w:val="23"/>
  </w:num>
  <w:num w:numId="10" w16cid:durableId="1105999095">
    <w:abstractNumId w:val="16"/>
  </w:num>
  <w:num w:numId="11" w16cid:durableId="1526559888">
    <w:abstractNumId w:val="11"/>
  </w:num>
  <w:num w:numId="12" w16cid:durableId="1365789014">
    <w:abstractNumId w:val="4"/>
  </w:num>
  <w:num w:numId="13" w16cid:durableId="664212777">
    <w:abstractNumId w:val="12"/>
  </w:num>
  <w:num w:numId="14" w16cid:durableId="1153833308">
    <w:abstractNumId w:val="2"/>
  </w:num>
  <w:num w:numId="15" w16cid:durableId="896628890">
    <w:abstractNumId w:val="0"/>
  </w:num>
  <w:num w:numId="16" w16cid:durableId="1660228868">
    <w:abstractNumId w:val="21"/>
  </w:num>
  <w:num w:numId="17" w16cid:durableId="978459759">
    <w:abstractNumId w:val="18"/>
  </w:num>
  <w:num w:numId="18" w16cid:durableId="731394680">
    <w:abstractNumId w:val="9"/>
  </w:num>
  <w:num w:numId="19" w16cid:durableId="64883391">
    <w:abstractNumId w:val="22"/>
  </w:num>
  <w:num w:numId="20" w16cid:durableId="1883326336">
    <w:abstractNumId w:val="10"/>
  </w:num>
  <w:num w:numId="21" w16cid:durableId="1039822045">
    <w:abstractNumId w:val="14"/>
  </w:num>
  <w:num w:numId="22" w16cid:durableId="2118524730">
    <w:abstractNumId w:val="5"/>
  </w:num>
  <w:num w:numId="23" w16cid:durableId="1918711515">
    <w:abstractNumId w:val="6"/>
  </w:num>
  <w:num w:numId="24" w16cid:durableId="5216318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B5A"/>
    <w:rsid w:val="000C332B"/>
    <w:rsid w:val="001662B8"/>
    <w:rsid w:val="00235B5A"/>
    <w:rsid w:val="00264155"/>
    <w:rsid w:val="002B6DA1"/>
    <w:rsid w:val="002E3946"/>
    <w:rsid w:val="00310B76"/>
    <w:rsid w:val="00332621"/>
    <w:rsid w:val="00366822"/>
    <w:rsid w:val="003901DD"/>
    <w:rsid w:val="003C1B44"/>
    <w:rsid w:val="00404BB9"/>
    <w:rsid w:val="00455A40"/>
    <w:rsid w:val="004E30C9"/>
    <w:rsid w:val="00507BE0"/>
    <w:rsid w:val="005569E4"/>
    <w:rsid w:val="00571068"/>
    <w:rsid w:val="005F2F15"/>
    <w:rsid w:val="00660115"/>
    <w:rsid w:val="008A7B6F"/>
    <w:rsid w:val="009A44D4"/>
    <w:rsid w:val="009F5861"/>
    <w:rsid w:val="00A655DA"/>
    <w:rsid w:val="00A86436"/>
    <w:rsid w:val="00A92B52"/>
    <w:rsid w:val="00AF37C3"/>
    <w:rsid w:val="00B54306"/>
    <w:rsid w:val="00B77261"/>
    <w:rsid w:val="00BB588B"/>
    <w:rsid w:val="00C175F7"/>
    <w:rsid w:val="00C53AFC"/>
    <w:rsid w:val="00D636D2"/>
    <w:rsid w:val="00DF5C54"/>
    <w:rsid w:val="00E56236"/>
    <w:rsid w:val="00E724F0"/>
    <w:rsid w:val="00EA66A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6FCC8"/>
  <w15:chartTrackingRefBased/>
  <w15:docId w15:val="{A8FB15E0-A1B5-49F0-8BA2-079ACC6EC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F15"/>
    <w:pPr>
      <w:ind w:left="720"/>
    </w:pPr>
    <w:rPr>
      <w:sz w:val="24"/>
    </w:rPr>
  </w:style>
  <w:style w:type="paragraph" w:styleId="Heading1">
    <w:name w:val="heading 1"/>
    <w:basedOn w:val="Normal"/>
    <w:next w:val="Normal"/>
    <w:link w:val="Heading1Char"/>
    <w:autoRedefine/>
    <w:uiPriority w:val="9"/>
    <w:qFormat/>
    <w:rsid w:val="009F5861"/>
    <w:pPr>
      <w:keepNext/>
      <w:keepLines/>
      <w:spacing w:before="240" w:after="0" w:line="360" w:lineRule="auto"/>
      <w:ind w:left="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autoRedefine/>
    <w:uiPriority w:val="9"/>
    <w:unhideWhenUsed/>
    <w:qFormat/>
    <w:rsid w:val="009F5861"/>
    <w:pPr>
      <w:keepNext/>
      <w:keepLines/>
      <w:spacing w:before="40" w:after="0" w:line="360" w:lineRule="auto"/>
      <w:ind w:left="36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autoRedefine/>
    <w:uiPriority w:val="9"/>
    <w:unhideWhenUsed/>
    <w:qFormat/>
    <w:rsid w:val="009F5861"/>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0115"/>
    <w:rPr>
      <w:rFonts w:ascii="Times New Roman" w:hAnsi="Times New Roman" w:cs="Times New Roman"/>
      <w:szCs w:val="24"/>
    </w:rPr>
  </w:style>
  <w:style w:type="table" w:styleId="TableGrid">
    <w:name w:val="Table Grid"/>
    <w:basedOn w:val="TableNormal"/>
    <w:uiPriority w:val="39"/>
    <w:rsid w:val="00660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30C9"/>
    <w:pPr>
      <w:contextualSpacing/>
    </w:pPr>
  </w:style>
  <w:style w:type="paragraph" w:styleId="Title">
    <w:name w:val="Title"/>
    <w:basedOn w:val="Normal"/>
    <w:next w:val="Normal"/>
    <w:link w:val="TitleChar"/>
    <w:uiPriority w:val="10"/>
    <w:qFormat/>
    <w:rsid w:val="004E30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0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F5861"/>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9F5861"/>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9F5861"/>
    <w:rPr>
      <w:rFonts w:asciiTheme="majorHAnsi" w:eastAsiaTheme="majorEastAsia" w:hAnsiTheme="majorHAnsi" w:cstheme="majorBidi"/>
      <w:color w:val="1F3763" w:themeColor="accent1" w:themeShade="7F"/>
      <w:sz w:val="28"/>
      <w:szCs w:val="24"/>
    </w:rPr>
  </w:style>
  <w:style w:type="character" w:styleId="Strong">
    <w:name w:val="Strong"/>
    <w:basedOn w:val="DefaultParagraphFont"/>
    <w:uiPriority w:val="22"/>
    <w:qFormat/>
    <w:rsid w:val="00EA66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77767">
      <w:bodyDiv w:val="1"/>
      <w:marLeft w:val="0"/>
      <w:marRight w:val="0"/>
      <w:marTop w:val="0"/>
      <w:marBottom w:val="0"/>
      <w:divBdr>
        <w:top w:val="none" w:sz="0" w:space="0" w:color="auto"/>
        <w:left w:val="none" w:sz="0" w:space="0" w:color="auto"/>
        <w:bottom w:val="none" w:sz="0" w:space="0" w:color="auto"/>
        <w:right w:val="none" w:sz="0" w:space="0" w:color="auto"/>
      </w:divBdr>
      <w:divsChild>
        <w:div w:id="1817527863">
          <w:marLeft w:val="0"/>
          <w:marRight w:val="0"/>
          <w:marTop w:val="0"/>
          <w:marBottom w:val="0"/>
          <w:divBdr>
            <w:top w:val="none" w:sz="0" w:space="0" w:color="auto"/>
            <w:left w:val="none" w:sz="0" w:space="0" w:color="auto"/>
            <w:bottom w:val="none" w:sz="0" w:space="0" w:color="auto"/>
            <w:right w:val="none" w:sz="0" w:space="0" w:color="auto"/>
          </w:divBdr>
          <w:divsChild>
            <w:div w:id="1660890702">
              <w:marLeft w:val="0"/>
              <w:marRight w:val="0"/>
              <w:marTop w:val="0"/>
              <w:marBottom w:val="0"/>
              <w:divBdr>
                <w:top w:val="none" w:sz="0" w:space="0" w:color="auto"/>
                <w:left w:val="none" w:sz="0" w:space="0" w:color="auto"/>
                <w:bottom w:val="none" w:sz="0" w:space="0" w:color="auto"/>
                <w:right w:val="none" w:sz="0" w:space="0" w:color="auto"/>
              </w:divBdr>
              <w:divsChild>
                <w:div w:id="2008440945">
                  <w:marLeft w:val="0"/>
                  <w:marRight w:val="0"/>
                  <w:marTop w:val="0"/>
                  <w:marBottom w:val="0"/>
                  <w:divBdr>
                    <w:top w:val="none" w:sz="0" w:space="0" w:color="auto"/>
                    <w:left w:val="none" w:sz="0" w:space="0" w:color="auto"/>
                    <w:bottom w:val="none" w:sz="0" w:space="0" w:color="auto"/>
                    <w:right w:val="none" w:sz="0" w:space="0" w:color="auto"/>
                  </w:divBdr>
                  <w:divsChild>
                    <w:div w:id="19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18040">
          <w:marLeft w:val="0"/>
          <w:marRight w:val="0"/>
          <w:marTop w:val="0"/>
          <w:marBottom w:val="0"/>
          <w:divBdr>
            <w:top w:val="none" w:sz="0" w:space="0" w:color="auto"/>
            <w:left w:val="none" w:sz="0" w:space="0" w:color="auto"/>
            <w:bottom w:val="none" w:sz="0" w:space="0" w:color="auto"/>
            <w:right w:val="none" w:sz="0" w:space="0" w:color="auto"/>
          </w:divBdr>
          <w:divsChild>
            <w:div w:id="967779886">
              <w:marLeft w:val="0"/>
              <w:marRight w:val="0"/>
              <w:marTop w:val="0"/>
              <w:marBottom w:val="0"/>
              <w:divBdr>
                <w:top w:val="none" w:sz="0" w:space="0" w:color="auto"/>
                <w:left w:val="none" w:sz="0" w:space="0" w:color="auto"/>
                <w:bottom w:val="none" w:sz="0" w:space="0" w:color="auto"/>
                <w:right w:val="none" w:sz="0" w:space="0" w:color="auto"/>
              </w:divBdr>
              <w:divsChild>
                <w:div w:id="298072907">
                  <w:marLeft w:val="0"/>
                  <w:marRight w:val="0"/>
                  <w:marTop w:val="0"/>
                  <w:marBottom w:val="0"/>
                  <w:divBdr>
                    <w:top w:val="none" w:sz="0" w:space="0" w:color="auto"/>
                    <w:left w:val="none" w:sz="0" w:space="0" w:color="auto"/>
                    <w:bottom w:val="none" w:sz="0" w:space="0" w:color="auto"/>
                    <w:right w:val="none" w:sz="0" w:space="0" w:color="auto"/>
                  </w:divBdr>
                  <w:divsChild>
                    <w:div w:id="149109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78236">
      <w:bodyDiv w:val="1"/>
      <w:marLeft w:val="0"/>
      <w:marRight w:val="0"/>
      <w:marTop w:val="0"/>
      <w:marBottom w:val="0"/>
      <w:divBdr>
        <w:top w:val="none" w:sz="0" w:space="0" w:color="auto"/>
        <w:left w:val="none" w:sz="0" w:space="0" w:color="auto"/>
        <w:bottom w:val="none" w:sz="0" w:space="0" w:color="auto"/>
        <w:right w:val="none" w:sz="0" w:space="0" w:color="auto"/>
      </w:divBdr>
    </w:div>
    <w:div w:id="304043481">
      <w:bodyDiv w:val="1"/>
      <w:marLeft w:val="0"/>
      <w:marRight w:val="0"/>
      <w:marTop w:val="0"/>
      <w:marBottom w:val="0"/>
      <w:divBdr>
        <w:top w:val="none" w:sz="0" w:space="0" w:color="auto"/>
        <w:left w:val="none" w:sz="0" w:space="0" w:color="auto"/>
        <w:bottom w:val="none" w:sz="0" w:space="0" w:color="auto"/>
        <w:right w:val="none" w:sz="0" w:space="0" w:color="auto"/>
      </w:divBdr>
    </w:div>
    <w:div w:id="317534415">
      <w:bodyDiv w:val="1"/>
      <w:marLeft w:val="0"/>
      <w:marRight w:val="0"/>
      <w:marTop w:val="0"/>
      <w:marBottom w:val="0"/>
      <w:divBdr>
        <w:top w:val="none" w:sz="0" w:space="0" w:color="auto"/>
        <w:left w:val="none" w:sz="0" w:space="0" w:color="auto"/>
        <w:bottom w:val="none" w:sz="0" w:space="0" w:color="auto"/>
        <w:right w:val="none" w:sz="0" w:space="0" w:color="auto"/>
      </w:divBdr>
    </w:div>
    <w:div w:id="508102938">
      <w:bodyDiv w:val="1"/>
      <w:marLeft w:val="0"/>
      <w:marRight w:val="0"/>
      <w:marTop w:val="0"/>
      <w:marBottom w:val="0"/>
      <w:divBdr>
        <w:top w:val="none" w:sz="0" w:space="0" w:color="auto"/>
        <w:left w:val="none" w:sz="0" w:space="0" w:color="auto"/>
        <w:bottom w:val="none" w:sz="0" w:space="0" w:color="auto"/>
        <w:right w:val="none" w:sz="0" w:space="0" w:color="auto"/>
      </w:divBdr>
    </w:div>
    <w:div w:id="626545075">
      <w:bodyDiv w:val="1"/>
      <w:marLeft w:val="0"/>
      <w:marRight w:val="0"/>
      <w:marTop w:val="0"/>
      <w:marBottom w:val="0"/>
      <w:divBdr>
        <w:top w:val="none" w:sz="0" w:space="0" w:color="auto"/>
        <w:left w:val="none" w:sz="0" w:space="0" w:color="auto"/>
        <w:bottom w:val="none" w:sz="0" w:space="0" w:color="auto"/>
        <w:right w:val="none" w:sz="0" w:space="0" w:color="auto"/>
      </w:divBdr>
    </w:div>
    <w:div w:id="756825580">
      <w:bodyDiv w:val="1"/>
      <w:marLeft w:val="0"/>
      <w:marRight w:val="0"/>
      <w:marTop w:val="0"/>
      <w:marBottom w:val="0"/>
      <w:divBdr>
        <w:top w:val="none" w:sz="0" w:space="0" w:color="auto"/>
        <w:left w:val="none" w:sz="0" w:space="0" w:color="auto"/>
        <w:bottom w:val="none" w:sz="0" w:space="0" w:color="auto"/>
        <w:right w:val="none" w:sz="0" w:space="0" w:color="auto"/>
      </w:divBdr>
    </w:div>
    <w:div w:id="822038700">
      <w:bodyDiv w:val="1"/>
      <w:marLeft w:val="0"/>
      <w:marRight w:val="0"/>
      <w:marTop w:val="0"/>
      <w:marBottom w:val="0"/>
      <w:divBdr>
        <w:top w:val="none" w:sz="0" w:space="0" w:color="auto"/>
        <w:left w:val="none" w:sz="0" w:space="0" w:color="auto"/>
        <w:bottom w:val="none" w:sz="0" w:space="0" w:color="auto"/>
        <w:right w:val="none" w:sz="0" w:space="0" w:color="auto"/>
      </w:divBdr>
    </w:div>
    <w:div w:id="857621030">
      <w:bodyDiv w:val="1"/>
      <w:marLeft w:val="0"/>
      <w:marRight w:val="0"/>
      <w:marTop w:val="0"/>
      <w:marBottom w:val="0"/>
      <w:divBdr>
        <w:top w:val="none" w:sz="0" w:space="0" w:color="auto"/>
        <w:left w:val="none" w:sz="0" w:space="0" w:color="auto"/>
        <w:bottom w:val="none" w:sz="0" w:space="0" w:color="auto"/>
        <w:right w:val="none" w:sz="0" w:space="0" w:color="auto"/>
      </w:divBdr>
    </w:div>
    <w:div w:id="967781916">
      <w:bodyDiv w:val="1"/>
      <w:marLeft w:val="0"/>
      <w:marRight w:val="0"/>
      <w:marTop w:val="0"/>
      <w:marBottom w:val="0"/>
      <w:divBdr>
        <w:top w:val="none" w:sz="0" w:space="0" w:color="auto"/>
        <w:left w:val="none" w:sz="0" w:space="0" w:color="auto"/>
        <w:bottom w:val="none" w:sz="0" w:space="0" w:color="auto"/>
        <w:right w:val="none" w:sz="0" w:space="0" w:color="auto"/>
      </w:divBdr>
    </w:div>
    <w:div w:id="1406489726">
      <w:bodyDiv w:val="1"/>
      <w:marLeft w:val="0"/>
      <w:marRight w:val="0"/>
      <w:marTop w:val="0"/>
      <w:marBottom w:val="0"/>
      <w:divBdr>
        <w:top w:val="none" w:sz="0" w:space="0" w:color="auto"/>
        <w:left w:val="none" w:sz="0" w:space="0" w:color="auto"/>
        <w:bottom w:val="none" w:sz="0" w:space="0" w:color="auto"/>
        <w:right w:val="none" w:sz="0" w:space="0" w:color="auto"/>
      </w:divBdr>
    </w:div>
    <w:div w:id="1445689852">
      <w:bodyDiv w:val="1"/>
      <w:marLeft w:val="0"/>
      <w:marRight w:val="0"/>
      <w:marTop w:val="0"/>
      <w:marBottom w:val="0"/>
      <w:divBdr>
        <w:top w:val="none" w:sz="0" w:space="0" w:color="auto"/>
        <w:left w:val="none" w:sz="0" w:space="0" w:color="auto"/>
        <w:bottom w:val="none" w:sz="0" w:space="0" w:color="auto"/>
        <w:right w:val="none" w:sz="0" w:space="0" w:color="auto"/>
      </w:divBdr>
    </w:div>
    <w:div w:id="1491602155">
      <w:bodyDiv w:val="1"/>
      <w:marLeft w:val="0"/>
      <w:marRight w:val="0"/>
      <w:marTop w:val="0"/>
      <w:marBottom w:val="0"/>
      <w:divBdr>
        <w:top w:val="none" w:sz="0" w:space="0" w:color="auto"/>
        <w:left w:val="none" w:sz="0" w:space="0" w:color="auto"/>
        <w:bottom w:val="none" w:sz="0" w:space="0" w:color="auto"/>
        <w:right w:val="none" w:sz="0" w:space="0" w:color="auto"/>
      </w:divBdr>
    </w:div>
    <w:div w:id="1742364914">
      <w:bodyDiv w:val="1"/>
      <w:marLeft w:val="0"/>
      <w:marRight w:val="0"/>
      <w:marTop w:val="0"/>
      <w:marBottom w:val="0"/>
      <w:divBdr>
        <w:top w:val="none" w:sz="0" w:space="0" w:color="auto"/>
        <w:left w:val="none" w:sz="0" w:space="0" w:color="auto"/>
        <w:bottom w:val="none" w:sz="0" w:space="0" w:color="auto"/>
        <w:right w:val="none" w:sz="0" w:space="0" w:color="auto"/>
      </w:divBdr>
    </w:div>
    <w:div w:id="1892767958">
      <w:bodyDiv w:val="1"/>
      <w:marLeft w:val="0"/>
      <w:marRight w:val="0"/>
      <w:marTop w:val="0"/>
      <w:marBottom w:val="0"/>
      <w:divBdr>
        <w:top w:val="none" w:sz="0" w:space="0" w:color="auto"/>
        <w:left w:val="none" w:sz="0" w:space="0" w:color="auto"/>
        <w:bottom w:val="none" w:sz="0" w:space="0" w:color="auto"/>
        <w:right w:val="none" w:sz="0" w:space="0" w:color="auto"/>
      </w:divBdr>
    </w:div>
    <w:div w:id="1946109843">
      <w:bodyDiv w:val="1"/>
      <w:marLeft w:val="0"/>
      <w:marRight w:val="0"/>
      <w:marTop w:val="0"/>
      <w:marBottom w:val="0"/>
      <w:divBdr>
        <w:top w:val="none" w:sz="0" w:space="0" w:color="auto"/>
        <w:left w:val="none" w:sz="0" w:space="0" w:color="auto"/>
        <w:bottom w:val="none" w:sz="0" w:space="0" w:color="auto"/>
        <w:right w:val="none" w:sz="0" w:space="0" w:color="auto"/>
      </w:divBdr>
    </w:div>
    <w:div w:id="204852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[US Debt Tracker Project.xlsx]EDA!PivotTable1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Debt Record Availability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3"/>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EDA!$B$1</c:f>
              <c:strCache>
                <c:ptCount val="1"/>
                <c:pt idx="0">
                  <c:v>Total</c:v>
                </c:pt>
              </c:strCache>
            </c:strRef>
          </c:tx>
          <c:spPr>
            <a:ln w="28575" cap="rnd">
              <a:solidFill>
                <a:schemeClr val="accent1"/>
              </a:solidFill>
              <a:round/>
            </a:ln>
            <a:effectLst/>
          </c:spPr>
          <c:marker>
            <c:symbol val="none"/>
          </c:marker>
          <c:cat>
            <c:strRef>
              <c:f>EDA!$A$2:$A$32</c:f>
              <c:strCache>
                <c:ptCount val="30"/>
                <c:pt idx="0">
                  <c:v>1993</c:v>
                </c:pt>
                <c:pt idx="1">
                  <c:v>1994</c:v>
                </c:pt>
                <c:pt idx="2">
                  <c:v>1995</c:v>
                </c:pt>
                <c:pt idx="3">
                  <c:v>1996</c:v>
                </c:pt>
                <c:pt idx="4">
                  <c:v>1997</c:v>
                </c:pt>
                <c:pt idx="5">
                  <c:v>1998</c:v>
                </c:pt>
                <c:pt idx="6">
                  <c:v>1999</c:v>
                </c:pt>
                <c:pt idx="7">
                  <c:v>2000</c:v>
                </c:pt>
                <c:pt idx="8">
                  <c:v>2001</c:v>
                </c:pt>
                <c:pt idx="9">
                  <c:v>2002</c:v>
                </c:pt>
                <c:pt idx="10">
                  <c:v>2003</c:v>
                </c:pt>
                <c:pt idx="11">
                  <c:v>2004</c:v>
                </c:pt>
                <c:pt idx="12">
                  <c:v>2005</c:v>
                </c:pt>
                <c:pt idx="13">
                  <c:v>2006</c:v>
                </c:pt>
                <c:pt idx="14">
                  <c:v>2007</c:v>
                </c:pt>
                <c:pt idx="15">
                  <c:v>2008</c:v>
                </c:pt>
                <c:pt idx="16">
                  <c:v>2009</c:v>
                </c:pt>
                <c:pt idx="17">
                  <c:v>2010</c:v>
                </c:pt>
                <c:pt idx="18">
                  <c:v>2011</c:v>
                </c:pt>
                <c:pt idx="19">
                  <c:v>2012</c:v>
                </c:pt>
                <c:pt idx="20">
                  <c:v>2013</c:v>
                </c:pt>
                <c:pt idx="21">
                  <c:v>2014</c:v>
                </c:pt>
                <c:pt idx="22">
                  <c:v>2015</c:v>
                </c:pt>
                <c:pt idx="23">
                  <c:v>2016</c:v>
                </c:pt>
                <c:pt idx="24">
                  <c:v>2017</c:v>
                </c:pt>
                <c:pt idx="25">
                  <c:v>2018</c:v>
                </c:pt>
                <c:pt idx="26">
                  <c:v>2019</c:v>
                </c:pt>
                <c:pt idx="27">
                  <c:v>2020</c:v>
                </c:pt>
                <c:pt idx="28">
                  <c:v>2021</c:v>
                </c:pt>
                <c:pt idx="29">
                  <c:v>2022</c:v>
                </c:pt>
              </c:strCache>
            </c:strRef>
          </c:cat>
          <c:val>
            <c:numRef>
              <c:f>EDA!$B$2:$B$32</c:f>
              <c:numCache>
                <c:formatCode>General</c:formatCode>
                <c:ptCount val="30"/>
                <c:pt idx="4">
                  <c:v>1</c:v>
                </c:pt>
                <c:pt idx="5">
                  <c:v>1</c:v>
                </c:pt>
                <c:pt idx="6">
                  <c:v>1</c:v>
                </c:pt>
                <c:pt idx="7">
                  <c:v>1</c:v>
                </c:pt>
                <c:pt idx="8">
                  <c:v>4</c:v>
                </c:pt>
                <c:pt idx="9">
                  <c:v>12</c:v>
                </c:pt>
                <c:pt idx="10">
                  <c:v>11</c:v>
                </c:pt>
                <c:pt idx="11">
                  <c:v>12</c:v>
                </c:pt>
                <c:pt idx="12">
                  <c:v>191</c:v>
                </c:pt>
                <c:pt idx="13">
                  <c:v>251</c:v>
                </c:pt>
                <c:pt idx="14">
                  <c:v>251</c:v>
                </c:pt>
                <c:pt idx="15">
                  <c:v>252</c:v>
                </c:pt>
                <c:pt idx="16">
                  <c:v>252</c:v>
                </c:pt>
                <c:pt idx="17">
                  <c:v>252</c:v>
                </c:pt>
                <c:pt idx="18">
                  <c:v>251</c:v>
                </c:pt>
                <c:pt idx="19">
                  <c:v>251</c:v>
                </c:pt>
                <c:pt idx="20">
                  <c:v>251</c:v>
                </c:pt>
                <c:pt idx="21">
                  <c:v>251</c:v>
                </c:pt>
                <c:pt idx="22">
                  <c:v>252</c:v>
                </c:pt>
                <c:pt idx="23">
                  <c:v>251</c:v>
                </c:pt>
                <c:pt idx="24">
                  <c:v>251</c:v>
                </c:pt>
                <c:pt idx="25">
                  <c:v>251</c:v>
                </c:pt>
                <c:pt idx="26">
                  <c:v>250</c:v>
                </c:pt>
                <c:pt idx="27">
                  <c:v>253</c:v>
                </c:pt>
                <c:pt idx="28">
                  <c:v>252</c:v>
                </c:pt>
                <c:pt idx="29">
                  <c:v>250</c:v>
                </c:pt>
              </c:numCache>
            </c:numRef>
          </c:val>
          <c:smooth val="0"/>
          <c:extLst>
            <c:ext xmlns:c16="http://schemas.microsoft.com/office/drawing/2014/chart" uri="{C3380CC4-5D6E-409C-BE32-E72D297353CC}">
              <c16:uniqueId val="{00000000-5874-4E09-BABA-666141A85F71}"/>
            </c:ext>
          </c:extLst>
        </c:ser>
        <c:dLbls>
          <c:showLegendKey val="0"/>
          <c:showVal val="0"/>
          <c:showCatName val="0"/>
          <c:showSerName val="0"/>
          <c:showPercent val="0"/>
          <c:showBubbleSize val="0"/>
        </c:dLbls>
        <c:smooth val="0"/>
        <c:axId val="453228928"/>
        <c:axId val="453229888"/>
      </c:lineChart>
      <c:catAx>
        <c:axId val="453228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453229888"/>
        <c:crosses val="autoZero"/>
        <c:auto val="1"/>
        <c:lblAlgn val="ctr"/>
        <c:lblOffset val="100"/>
        <c:noMultiLvlLbl val="0"/>
      </c:catAx>
      <c:valAx>
        <c:axId val="45322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Record CCount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P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453228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Yearly Debt Percentage Increase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PK"/>
        </a:p>
      </c:txPr>
    </c:title>
    <c:autoTitleDeleted val="0"/>
    <c:plotArea>
      <c:layout/>
      <c:lineChart>
        <c:grouping val="standard"/>
        <c:varyColors val="0"/>
        <c:ser>
          <c:idx val="0"/>
          <c:order val="0"/>
          <c:tx>
            <c:strRef>
              <c:f>'Yearly Percentage Change'!$B$7504</c:f>
              <c:strCache>
                <c:ptCount val="1"/>
                <c:pt idx="0">
                  <c:v> Debt Held by the Public Percentage Increase for each year </c:v>
                </c:pt>
              </c:strCache>
            </c:strRef>
          </c:tx>
          <c:spPr>
            <a:ln w="28575" cap="rnd">
              <a:solidFill>
                <a:schemeClr val="accent1"/>
              </a:solidFill>
              <a:round/>
            </a:ln>
            <a:effectLst/>
          </c:spPr>
          <c:marker>
            <c:symbol val="none"/>
          </c:marker>
          <c:cat>
            <c:numRef>
              <c:f>'Yearly Percentage Change'!$A$7505:$A$7509</c:f>
              <c:numCache>
                <c:formatCode>0</c:formatCode>
                <c:ptCount val="5"/>
                <c:pt idx="0">
                  <c:v>2018</c:v>
                </c:pt>
                <c:pt idx="1">
                  <c:v>2019</c:v>
                </c:pt>
                <c:pt idx="2">
                  <c:v>2020</c:v>
                </c:pt>
                <c:pt idx="3">
                  <c:v>2021</c:v>
                </c:pt>
                <c:pt idx="4">
                  <c:v>2022</c:v>
                </c:pt>
              </c:numCache>
            </c:numRef>
          </c:cat>
          <c:val>
            <c:numRef>
              <c:f>'Yearly Percentage Change'!$B$7505:$B$7509</c:f>
              <c:numCache>
                <c:formatCode>0.00</c:formatCode>
                <c:ptCount val="5"/>
                <c:pt idx="0">
                  <c:v>8.687317326709282</c:v>
                </c:pt>
                <c:pt idx="1">
                  <c:v>6.6371873777303012</c:v>
                </c:pt>
                <c:pt idx="2">
                  <c:v>25.986581558961934</c:v>
                </c:pt>
                <c:pt idx="3">
                  <c:v>6.9862798395000087</c:v>
                </c:pt>
                <c:pt idx="4">
                  <c:v>5.9363887364595982</c:v>
                </c:pt>
              </c:numCache>
            </c:numRef>
          </c:val>
          <c:smooth val="0"/>
          <c:extLst>
            <c:ext xmlns:c16="http://schemas.microsoft.com/office/drawing/2014/chart" uri="{C3380CC4-5D6E-409C-BE32-E72D297353CC}">
              <c16:uniqueId val="{00000000-FB36-4556-8D9F-8294BCCF7C18}"/>
            </c:ext>
          </c:extLst>
        </c:ser>
        <c:ser>
          <c:idx val="1"/>
          <c:order val="1"/>
          <c:tx>
            <c:strRef>
              <c:f>'Yearly Percentage Change'!$C$7504</c:f>
              <c:strCache>
                <c:ptCount val="1"/>
                <c:pt idx="0">
                  <c:v> Intragovernmental Holdings Percentage Increase for each year </c:v>
                </c:pt>
              </c:strCache>
            </c:strRef>
          </c:tx>
          <c:spPr>
            <a:ln w="28575" cap="rnd">
              <a:solidFill>
                <a:schemeClr val="accent2"/>
              </a:solidFill>
              <a:round/>
            </a:ln>
            <a:effectLst/>
          </c:spPr>
          <c:marker>
            <c:symbol val="none"/>
          </c:marker>
          <c:cat>
            <c:numRef>
              <c:f>'Yearly Percentage Change'!$A$7505:$A$7509</c:f>
              <c:numCache>
                <c:formatCode>0</c:formatCode>
                <c:ptCount val="5"/>
                <c:pt idx="0">
                  <c:v>2018</c:v>
                </c:pt>
                <c:pt idx="1">
                  <c:v>2019</c:v>
                </c:pt>
                <c:pt idx="2">
                  <c:v>2020</c:v>
                </c:pt>
                <c:pt idx="3">
                  <c:v>2021</c:v>
                </c:pt>
                <c:pt idx="4">
                  <c:v>2022</c:v>
                </c:pt>
              </c:numCache>
            </c:numRef>
          </c:cat>
          <c:val>
            <c:numRef>
              <c:f>'Yearly Percentage Change'!$C$7505:$C$7509</c:f>
              <c:numCache>
                <c:formatCode>0.00</c:formatCode>
                <c:ptCount val="5"/>
                <c:pt idx="0">
                  <c:v>3.4237226643747918</c:v>
                </c:pt>
                <c:pt idx="1">
                  <c:v>2.6992233198182012</c:v>
                </c:pt>
                <c:pt idx="2">
                  <c:v>1.4001134151558463</c:v>
                </c:pt>
                <c:pt idx="3">
                  <c:v>5.8555641677213845</c:v>
                </c:pt>
                <c:pt idx="4">
                  <c:v>6.6213329172762059</c:v>
                </c:pt>
              </c:numCache>
            </c:numRef>
          </c:val>
          <c:smooth val="0"/>
          <c:extLst>
            <c:ext xmlns:c16="http://schemas.microsoft.com/office/drawing/2014/chart" uri="{C3380CC4-5D6E-409C-BE32-E72D297353CC}">
              <c16:uniqueId val="{00000001-FB36-4556-8D9F-8294BCCF7C18}"/>
            </c:ext>
          </c:extLst>
        </c:ser>
        <c:ser>
          <c:idx val="2"/>
          <c:order val="2"/>
          <c:tx>
            <c:strRef>
              <c:f>'Yearly Percentage Change'!$D$7504</c:f>
              <c:strCache>
                <c:ptCount val="1"/>
                <c:pt idx="0">
                  <c:v> Total Public Debt Outstanding Percentage Increase for each year </c:v>
                </c:pt>
              </c:strCache>
            </c:strRef>
          </c:tx>
          <c:spPr>
            <a:ln w="28575" cap="rnd">
              <a:solidFill>
                <a:schemeClr val="accent3"/>
              </a:solidFill>
              <a:round/>
            </a:ln>
            <a:effectLst/>
          </c:spPr>
          <c:marker>
            <c:symbol val="none"/>
          </c:marker>
          <c:cat>
            <c:numRef>
              <c:f>'Yearly Percentage Change'!$A$7505:$A$7509</c:f>
              <c:numCache>
                <c:formatCode>0</c:formatCode>
                <c:ptCount val="5"/>
                <c:pt idx="0">
                  <c:v>2018</c:v>
                </c:pt>
                <c:pt idx="1">
                  <c:v>2019</c:v>
                </c:pt>
                <c:pt idx="2">
                  <c:v>2020</c:v>
                </c:pt>
                <c:pt idx="3">
                  <c:v>2021</c:v>
                </c:pt>
                <c:pt idx="4">
                  <c:v>2022</c:v>
                </c:pt>
              </c:numCache>
            </c:numRef>
          </c:cat>
          <c:val>
            <c:numRef>
              <c:f>'Yearly Percentage Change'!$D$7505:$D$7509</c:f>
              <c:numCache>
                <c:formatCode>0.00</c:formatCode>
                <c:ptCount val="5"/>
                <c:pt idx="0">
                  <c:v>7.2289156626506017</c:v>
                </c:pt>
                <c:pt idx="1">
                  <c:v>5.5852116810244787</c:v>
                </c:pt>
                <c:pt idx="2">
                  <c:v>19.595369244959358</c:v>
                </c:pt>
                <c:pt idx="3">
                  <c:v>6.7371106898564932</c:v>
                </c:pt>
                <c:pt idx="4">
                  <c:v>6.0859905730453923</c:v>
                </c:pt>
              </c:numCache>
            </c:numRef>
          </c:val>
          <c:smooth val="0"/>
          <c:extLst>
            <c:ext xmlns:c16="http://schemas.microsoft.com/office/drawing/2014/chart" uri="{C3380CC4-5D6E-409C-BE32-E72D297353CC}">
              <c16:uniqueId val="{00000002-FB36-4556-8D9F-8294BCCF7C18}"/>
            </c:ext>
          </c:extLst>
        </c:ser>
        <c:dLbls>
          <c:showLegendKey val="0"/>
          <c:showVal val="0"/>
          <c:showCatName val="0"/>
          <c:showSerName val="0"/>
          <c:showPercent val="0"/>
          <c:showBubbleSize val="0"/>
        </c:dLbls>
        <c:smooth val="0"/>
        <c:axId val="477152752"/>
        <c:axId val="477155632"/>
      </c:lineChart>
      <c:catAx>
        <c:axId val="477152752"/>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PK"/>
          </a:p>
        </c:txPr>
        <c:crossAx val="477155632"/>
        <c:crosses val="autoZero"/>
        <c:auto val="1"/>
        <c:lblAlgn val="ctr"/>
        <c:lblOffset val="100"/>
        <c:noMultiLvlLbl val="0"/>
      </c:catAx>
      <c:valAx>
        <c:axId val="4771556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PK"/>
          </a:p>
        </c:txPr>
        <c:crossAx val="477152752"/>
        <c:crosses val="autoZero"/>
        <c:crossBetween val="between"/>
        <c:dispUnits>
          <c:builtInUnit val="hundreds"/>
          <c:dispUnitsLbl>
            <c:layout>
              <c:manualLayout>
                <c:xMode val="edge"/>
                <c:yMode val="edge"/>
                <c:x val="1.9444444444444445E-2"/>
                <c:y val="0.19949074074074077"/>
              </c:manualLayout>
            </c:layout>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Percentage Increase</a:t>
                  </a:r>
                </a:p>
              </c:rich>
            </c:tx>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PK"/>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PK"/>
        </a:p>
      </c:txPr>
    </c:legend>
    <c:plotVisOnly val="1"/>
    <c:dispBlanksAs val="gap"/>
    <c:showDLblsOverMax val="0"/>
  </c:chart>
  <c:spPr>
    <a:solidFill>
      <a:schemeClr val="lt1"/>
    </a:solidFill>
    <a:ln w="12700" cap="flat" cmpd="sng" algn="ctr">
      <a:solidFill>
        <a:schemeClr val="accent2"/>
      </a:solidFill>
      <a:prstDash val="solid"/>
      <a:miter lim="800000"/>
    </a:ln>
    <a:effectLst/>
  </c:spPr>
  <c:txPr>
    <a:bodyPr/>
    <a:lstStyle/>
    <a:p>
      <a:pPr>
        <a:defRPr>
          <a:solidFill>
            <a:schemeClr val="dk1"/>
          </a:solidFill>
          <a:latin typeface="+mn-lt"/>
          <a:ea typeface="+mn-ea"/>
          <a:cs typeface="+mn-cs"/>
        </a:defRPr>
      </a:pPr>
      <a:endParaRPr lang="en-P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[US Debt Tracker Project.xlsx]Monthly Highs and Lows!PivotTable5</c:name>
    <c:fmtId val="-1"/>
  </c:pivotSource>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Monthly</a:t>
            </a:r>
            <a:r>
              <a:rPr lang="en-US" baseline="0"/>
              <a:t> Cange in Debt Value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PK"/>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PK"/>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'Monthly Highs and Lows'!$F$3</c:f>
              <c:strCache>
                <c:ptCount val="1"/>
                <c:pt idx="0">
                  <c:v>Total</c:v>
                </c:pt>
              </c:strCache>
            </c:strRef>
          </c:tx>
          <c:spPr>
            <a:solidFill>
              <a:schemeClr val="accent1"/>
            </a:solidFill>
            <a:ln>
              <a:noFill/>
            </a:ln>
            <a:effectLst/>
          </c:spPr>
          <c:invertIfNegative val="0"/>
          <c:trendline>
            <c:spPr>
              <a:ln w="19050" cap="rnd">
                <a:solidFill>
                  <a:schemeClr val="accent1"/>
                </a:solidFill>
                <a:prstDash val="sysDot"/>
              </a:ln>
              <a:effectLst/>
            </c:spPr>
            <c:trendlineType val="linear"/>
            <c:dispRSqr val="0"/>
            <c:dispEq val="0"/>
          </c:trendline>
          <c:cat>
            <c:strRef>
              <c:f>'Monthly Highs and Lows'!$E$4:$E$16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'Monthly Highs and Lows'!$F$4:$F$16</c:f>
              <c:numCache>
                <c:formatCode>#,##0</c:formatCode>
                <c:ptCount val="12"/>
                <c:pt idx="0">
                  <c:v>13086159338842.975</c:v>
                </c:pt>
                <c:pt idx="1">
                  <c:v>12885786183745.584</c:v>
                </c:pt>
                <c:pt idx="2">
                  <c:v>12665015865834.633</c:v>
                </c:pt>
                <c:pt idx="3">
                  <c:v>12409417067082.684</c:v>
                </c:pt>
                <c:pt idx="4">
                  <c:v>12426682958860.76</c:v>
                </c:pt>
                <c:pt idx="5">
                  <c:v>12486248662519.439</c:v>
                </c:pt>
                <c:pt idx="6">
                  <c:v>12590094568288.854</c:v>
                </c:pt>
                <c:pt idx="7">
                  <c:v>12658007033132.529</c:v>
                </c:pt>
                <c:pt idx="8">
                  <c:v>12743892598039.215</c:v>
                </c:pt>
                <c:pt idx="9">
                  <c:v>12809069746835.443</c:v>
                </c:pt>
                <c:pt idx="10">
                  <c:v>12974617623931.623</c:v>
                </c:pt>
                <c:pt idx="11">
                  <c:v>13041028728414.443</c:v>
                </c:pt>
              </c:numCache>
            </c:numRef>
          </c:val>
          <c:extLst>
            <c:ext xmlns:c16="http://schemas.microsoft.com/office/drawing/2014/chart" uri="{C3380CC4-5D6E-409C-BE32-E72D297353CC}">
              <c16:uniqueId val="{00000001-6E9E-4FB0-A176-F4E5C16FC686}"/>
            </c:ext>
          </c:extLst>
        </c:ser>
        <c:dLbls>
          <c:showLegendKey val="0"/>
          <c:showVal val="0"/>
          <c:showCatName val="0"/>
          <c:showSerName val="0"/>
          <c:showPercent val="0"/>
          <c:showBubbleSize val="0"/>
        </c:dLbls>
        <c:gapWidth val="219"/>
        <c:overlap val="-27"/>
        <c:axId val="535638448"/>
        <c:axId val="535641328"/>
      </c:barChart>
      <c:catAx>
        <c:axId val="5356384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PK"/>
          </a:p>
        </c:txPr>
        <c:crossAx val="535641328"/>
        <c:crosses val="autoZero"/>
        <c:auto val="1"/>
        <c:lblAlgn val="ctr"/>
        <c:lblOffset val="100"/>
        <c:noMultiLvlLbl val="0"/>
      </c:catAx>
      <c:valAx>
        <c:axId val="5356413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PK"/>
          </a:p>
        </c:txPr>
        <c:crossAx val="535638448"/>
        <c:crosses val="autoZero"/>
        <c:crossBetween val="between"/>
        <c:dispUnits>
          <c:builtInUnit val="billions"/>
          <c:dispUnitsLbl>
            <c:layout>
              <c:manualLayout>
                <c:xMode val="edge"/>
                <c:yMode val="edge"/>
                <c:x val="1.9444444444444445E-2"/>
                <c:y val="0.44384040536599589"/>
              </c:manualLayout>
            </c:layout>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PK"/>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accent2"/>
      </a:solidFill>
      <a:prstDash val="solid"/>
      <a:miter lim="800000"/>
    </a:ln>
    <a:effectLst/>
  </c:spPr>
  <c:txPr>
    <a:bodyPr/>
    <a:lstStyle/>
    <a:p>
      <a:pPr>
        <a:defRPr>
          <a:solidFill>
            <a:schemeClr val="dk1"/>
          </a:solidFill>
          <a:latin typeface="+mn-lt"/>
          <a:ea typeface="+mn-ea"/>
          <a:cs typeface="+mn-cs"/>
        </a:defRPr>
      </a:pPr>
      <a:endParaRPr lang="en-PK"/>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Projected Growth of Public Debt</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PK"/>
        </a:p>
      </c:txPr>
    </c:title>
    <c:autoTitleDeleted val="0"/>
    <c:plotArea>
      <c:layout/>
      <c:lineChart>
        <c:grouping val="standard"/>
        <c:varyColors val="0"/>
        <c:ser>
          <c:idx val="0"/>
          <c:order val="0"/>
          <c:tx>
            <c:strRef>
              <c:f>'Projected Growth'!$E$1</c:f>
              <c:strCache>
                <c:ptCount val="1"/>
                <c:pt idx="0">
                  <c:v> Debt Held by the Public </c:v>
                </c:pt>
              </c:strCache>
            </c:strRef>
          </c:tx>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PK"/>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'Projected Growth'!$D$2:$D$32</c:f>
              <c:numCache>
                <c:formatCode>General</c:formatCode>
                <c:ptCount val="31"/>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pt idx="17">
                  <c:v>2014</c:v>
                </c:pt>
                <c:pt idx="18">
                  <c:v>2015</c:v>
                </c:pt>
                <c:pt idx="19">
                  <c:v>2016</c:v>
                </c:pt>
                <c:pt idx="20">
                  <c:v>2017</c:v>
                </c:pt>
                <c:pt idx="21">
                  <c:v>2018</c:v>
                </c:pt>
                <c:pt idx="22">
                  <c:v>2019</c:v>
                </c:pt>
                <c:pt idx="23">
                  <c:v>2020</c:v>
                </c:pt>
                <c:pt idx="24">
                  <c:v>2021</c:v>
                </c:pt>
                <c:pt idx="25">
                  <c:v>2022</c:v>
                </c:pt>
                <c:pt idx="26">
                  <c:v>2023</c:v>
                </c:pt>
                <c:pt idx="27">
                  <c:v>2024</c:v>
                </c:pt>
                <c:pt idx="28">
                  <c:v>2025</c:v>
                </c:pt>
                <c:pt idx="29">
                  <c:v>2026</c:v>
                </c:pt>
                <c:pt idx="30">
                  <c:v>2027</c:v>
                </c:pt>
              </c:numCache>
            </c:numRef>
          </c:cat>
          <c:val>
            <c:numRef>
              <c:f>'Projected Growth'!$E$2:$E$32</c:f>
              <c:numCache>
                <c:formatCode>_-* #,##0_-;\-* #,##0_-;_-* "-"??_-;_-@_-</c:formatCode>
                <c:ptCount val="31"/>
                <c:pt idx="0">
                  <c:v>3789670000000</c:v>
                </c:pt>
                <c:pt idx="1">
                  <c:v>3733860000000</c:v>
                </c:pt>
                <c:pt idx="2">
                  <c:v>3636100000000</c:v>
                </c:pt>
                <c:pt idx="3">
                  <c:v>3405300000000</c:v>
                </c:pt>
                <c:pt idx="4">
                  <c:v>3404030000000</c:v>
                </c:pt>
                <c:pt idx="5">
                  <c:v>3649350000000</c:v>
                </c:pt>
                <c:pt idx="6">
                  <c:v>4044240000000</c:v>
                </c:pt>
                <c:pt idx="7">
                  <c:v>4408390000000</c:v>
                </c:pt>
                <c:pt idx="8">
                  <c:v>4764350000000</c:v>
                </c:pt>
                <c:pt idx="9">
                  <c:v>4969450000000</c:v>
                </c:pt>
                <c:pt idx="10">
                  <c:v>5183280000000</c:v>
                </c:pt>
                <c:pt idx="11">
                  <c:v>6435080000000</c:v>
                </c:pt>
                <c:pt idx="12">
                  <c:v>7811010000000</c:v>
                </c:pt>
                <c:pt idx="13">
                  <c:v>9390480000000</c:v>
                </c:pt>
                <c:pt idx="14">
                  <c:v>10447700000000</c:v>
                </c:pt>
                <c:pt idx="15">
                  <c:v>11581500000000</c:v>
                </c:pt>
                <c:pt idx="16">
                  <c:v>12355400000000</c:v>
                </c:pt>
                <c:pt idx="17">
                  <c:v>13024000000000</c:v>
                </c:pt>
                <c:pt idx="18">
                  <c:v>13672500000000</c:v>
                </c:pt>
                <c:pt idx="19">
                  <c:v>14443700000000</c:v>
                </c:pt>
                <c:pt idx="20">
                  <c:v>14918700000000</c:v>
                </c:pt>
                <c:pt idx="21">
                  <c:v>16101700000000</c:v>
                </c:pt>
                <c:pt idx="22">
                  <c:v>17170400000000</c:v>
                </c:pt>
                <c:pt idx="23">
                  <c:v>21632400000000</c:v>
                </c:pt>
                <c:pt idx="24">
                  <c:v>23143700000000</c:v>
                </c:pt>
                <c:pt idx="25">
                  <c:v>24553500000000</c:v>
                </c:pt>
                <c:pt idx="26">
                  <c:v>25914662026666.379</c:v>
                </c:pt>
                <c:pt idx="27">
                  <c:v>28355618399440.621</c:v>
                </c:pt>
                <c:pt idx="28">
                  <c:v>30196887590341.535</c:v>
                </c:pt>
                <c:pt idx="29">
                  <c:v>31037255233544.188</c:v>
                </c:pt>
                <c:pt idx="30">
                  <c:v>33040025000632.766</c:v>
                </c:pt>
              </c:numCache>
            </c:numRef>
          </c:val>
          <c:smooth val="0"/>
          <c:extLst>
            <c:ext xmlns:c16="http://schemas.microsoft.com/office/drawing/2014/chart" uri="{C3380CC4-5D6E-409C-BE32-E72D297353CC}">
              <c16:uniqueId val="{00000000-8B5A-4C01-8FA5-EC479263ABB5}"/>
            </c:ext>
          </c:extLst>
        </c:ser>
        <c:dLbls>
          <c:dLblPos val="t"/>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0445712"/>
        <c:axId val="460444272"/>
      </c:lineChart>
      <c:catAx>
        <c:axId val="460445712"/>
        <c:scaling>
          <c:orientation val="minMax"/>
        </c:scaling>
        <c:delete val="0"/>
        <c:axPos val="b"/>
        <c:numFmt formatCode="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PK"/>
          </a:p>
        </c:txPr>
        <c:crossAx val="460444272"/>
        <c:crosses val="autoZero"/>
        <c:auto val="1"/>
        <c:lblAlgn val="ctr"/>
        <c:lblOffset val="100"/>
        <c:noMultiLvlLbl val="0"/>
      </c:catAx>
      <c:valAx>
        <c:axId val="460444272"/>
        <c:scaling>
          <c:orientation val="minMax"/>
        </c:scaling>
        <c:delete val="0"/>
        <c:axPos val="l"/>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PK"/>
          </a:p>
        </c:txPr>
        <c:crossAx val="460445712"/>
        <c:crosses val="autoZero"/>
        <c:crossBetween val="between"/>
        <c:dispUnits>
          <c:builtInUnit val="trillions"/>
          <c:dispUnitsLbl>
            <c:layout>
              <c:manualLayout>
                <c:xMode val="edge"/>
                <c:yMode val="edge"/>
                <c:x val="1.6364699006428989E-2"/>
                <c:y val="0.39393518518518517"/>
              </c:manualLayout>
            </c:layout>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PK"/>
              </a:p>
            </c:txPr>
          </c:dispUnitsLbl>
        </c:dispUnits>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P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684</TotalTime>
  <Pages>8</Pages>
  <Words>1004</Words>
  <Characters>5729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Gondal</dc:creator>
  <cp:keywords/>
  <dc:description/>
  <cp:lastModifiedBy>Adnan Gondal</cp:lastModifiedBy>
  <cp:revision>14</cp:revision>
  <dcterms:created xsi:type="dcterms:W3CDTF">2024-10-07T06:36:00Z</dcterms:created>
  <dcterms:modified xsi:type="dcterms:W3CDTF">2024-10-19T11:29:00Z</dcterms:modified>
</cp:coreProperties>
</file>