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APEX FINANCIAL CORP</w:t>
      </w:r>
    </w:p>
    <w:p>
      <w:pPr>
        <w:jc w:val="center"/>
      </w:pPr>
      <w:r>
        <w:rPr>
          <w:color w:val="0f3460"/>
          <w:sz w:val="36"/>
          <w:szCs w:val="36"/>
        </w:rPr>
        <w:t xml:space="preserve">Annual Financial Report</w:t>
      </w:r>
    </w:p>
    <w:p>
      <w:pPr>
        <w:jc w:val="center"/>
      </w:pPr>
      <w:r>
        <w:rPr>
          <w:color w:val="888888"/>
          <w:sz w:val="28"/>
          <w:szCs w:val="28"/>
        </w:rPr>
        <w:t xml:space="preserve">Fiscal Year 2024</w:t>
      </w:r>
    </w:p>
    <w:p>
      <w:pPr>
        <w:spacing w:before="200"/>
        <w:jc w:val="center"/>
      </w:pPr>
      <w:r>
        <w:rPr>
          <w:i/>
          <w:iCs/>
          <w:color w:val="888888"/>
          <w:sz w:val="22"/>
          <w:szCs w:val="22"/>
        </w:rPr>
        <w:t xml:space="preserve">Generated: January 15, 2025</w:t>
      </w:r>
    </w:p>
    <w:p>
      <w:pPr>
        <w:spacing w:before="120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r>
        <w:rPr>
          <w:sz w:val="22"/>
          <w:szCs w:val="22"/>
        </w:rPr>
        <w:t xml:space="preserve">Apex Financial Corp delivered record-breaking financial performance in FY2024, achieving total revenue of $199.6M and net profit of $42.8M — a 21.4% profit margin. The company experienced year-over-year growth of 18.3%, driven by strong performance across consulting, SaaS subscriptions, and enterprise software licensing. Headcount grew by 12.1% to 2,847 employees, reflecting strategic investment in talent.</w:t>
      </w:r>
    </w:p>
    <w:p>
      <w:pPr>
        <w:spacing w:before="100"/>
      </w:pPr>
      <w:r>
        <w:t xml:space="preserve"/>
      </w:r>
    </w:p>
    <w:p>
      <w:pPr>
        <w:pStyle w:val="Heading1"/>
      </w:pPr>
      <w:r>
        <w:t xml:space="preserve">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FY2023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Total Revenue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$199.6M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$168.7M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+18.3%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Net Profit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$42.8M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$34.2M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+25.1%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Profit Margin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21.4%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20.3%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+1.1pp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Total Assets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$1,245M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$1,040M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+19.7%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Total Employees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2,847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2,539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+12.1%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</w:pPr>
      <w:r>
        <w:t xml:space="preserve">Quarterly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($M)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Profit ($M)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 (%)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QoQ Growth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Q1 2024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$42.1M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$8.3M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19.7%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Q2 2024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$47.3M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$9.7M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20.5%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+12.4%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Q3 2024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$51.8M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$11.2M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21.6%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+9.5%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Q4 2024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$58.4M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$13.6M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23.3%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+12.7%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TOTAL FY2024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$199.6M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$42.8M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21.4%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+18.3% YoY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</w:pPr>
      <w:r>
        <w:t xml:space="preserve">Asset Allocation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($M)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Portfolio %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YoY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Cash &amp; Equivalents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$120M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9.7%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+5.2%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 Income / Bonds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$340M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27.6%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+8.1%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Equities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$520M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42.2%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+22.4%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Real Estate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$180M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14.6%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+11.8%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Commodities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$85M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6.9%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+3.7%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$1,245M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+15.3%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</w:pPr>
      <w:r>
        <w:t xml:space="preserve">Transaction Log — FY2024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$3,200,000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Consulting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TechCorp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Settled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TXN002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2024-02-08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Expense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$850,000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Payroll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Settled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2024-03-22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$5,100,000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Software License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Globex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Settled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TXN004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2024-04-11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Investment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$2,000,000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Equipment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Cleared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2024-05-30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$4,750,000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Consulting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Initech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Settled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TXN006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2024-06-17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Expense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$1,200,000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AdAgency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2024-07-04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$6,300,000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MegaCorp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Settled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TXN008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2024-08-21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Expense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$975,000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R&amp;D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Settled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2024-09-14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$7,800,000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Consulting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StartupXYZ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Settled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TXN010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2024-10-03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Investment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$3,500,000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Acquisition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DataFirm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Cleared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2024-11-19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$8,900,000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Software License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EduGroup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Settled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TXN012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2024-12-31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Expense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$1,450,000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Bonus Payout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</w:pPr>
      <w:r>
        <w:t xml:space="preserve">Risk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Metric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shd w:color="1a1a2e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Value at Risk (95%)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2.4%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 3.0%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Within Limit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Sharpe Ratio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1.87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&gt; 1.50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Above Target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Beta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Below Market</w:t>
            </w:r>
          </w:p>
        </w:tc>
      </w:tr>
      <w:tr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Annualized Volatility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14.3%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 18%</w:t>
            </w:r>
          </w:p>
        </w:tc>
        <w:tc>
          <w:tcPr>
            <w:shd w:color="f0f4f8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Within Limit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Maximum Drawdown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-8.2%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&gt; -15%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Acceptable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</w:pPr>
      <w:r>
        <w:t xml:space="preserve">FY2025 Outlook &amp; Guidance</w:t>
      </w:r>
    </w:p>
    <w:p>
      <w:r>
        <w:rPr>
          <w:sz w:val="22"/>
          <w:szCs w:val="22"/>
        </w:rPr>
        <w:t xml:space="preserve">Management projects revenue of $230M–$245M for FY2025, representing 15–22% growth above FY2024 levels. Key growth catalysts include SaaS platform expansion, entry into three new international markets (EMEA, APAC, LatAm), and the commercial launch of an AI-powered financial analytics product suite. Strategic headcount additions of 350–400 employees will be prioritized in engineering, sales, and customer success. Profit margin targets are set at 22–24% for the fiscal year.</w:t>
      </w:r>
    </w:p>
    <w:p>
      <w:pPr>
        <w:spacing w:before="3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This document is confidential and intended for internal use only. © 2024 Apex Financial Corp. All rights reserved.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t xml:space="preserve">  |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Apex Financial Corp — FY2024 Annual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2026-02-21T18:34:55.929Z</dcterms:created>
  <dcterms:modified xsi:type="dcterms:W3CDTF">2026-02-21T18:34:55.930Z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