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9</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center"/>
              <w:rPr>
                <w:rFonts w:ascii="Google Sans" w:cs="Google Sans" w:eastAsia="Google Sans" w:hAnsi="Google Sans"/>
              </w:rPr>
            </w:pPr>
            <w:r w:rsidDel="00000000" w:rsidR="00000000" w:rsidRPr="00000000">
              <w:rPr>
                <w:rtl w:val="0"/>
              </w:rPr>
              <w:t xml:space="preserve">1</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rtl w:val="0"/>
              </w:rPr>
              <w:t xml:space="preserve">Human error could happen like employees falling victims to phishing attacks that happen daily, and if that happened customer data could be leaked due to poor encryption and even without access bad actors could leak data from the publicly accessible databases. Additionally, even with low crime rates bank safe should be locked. Furthermore, natural disasters could impact operations, highlighting the need for contingency planning.</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rFonts w:ascii="Google Sans" w:cs="Google Sans" w:eastAsia="Google Sans" w:hAnsi="Google Sans"/>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