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1FE93D" w14:textId="5A5BF842" w:rsidR="00CF4F2F" w:rsidRDefault="00CF4F2F" w:rsidP="00CF4F2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Industry Level Analysis </w:t>
      </w:r>
    </w:p>
    <w:p w14:paraId="154FF417" w14:textId="2017BA17" w:rsidR="00CF4F2F" w:rsidRDefault="007855FC" w:rsidP="00CF4F2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855FC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63FED379" wp14:editId="0257FCBE">
            <wp:extent cx="5731510" cy="34893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D41B9" w14:textId="77777777" w:rsidR="00AF2A30" w:rsidRPr="00AF2A30" w:rsidRDefault="00AF2A30" w:rsidP="00AF2A3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F2A30">
        <w:rPr>
          <w:rFonts w:ascii="Times New Roman" w:hAnsi="Times New Roman" w:cs="Times New Roman"/>
          <w:b/>
          <w:bCs/>
          <w:sz w:val="28"/>
          <w:szCs w:val="28"/>
          <w:lang w:val="en-US"/>
        </w:rPr>
        <w:t>The Energy sector (dark blue) has the highest median energy use per employee, consistent with energy-intensive operations.</w:t>
      </w:r>
    </w:p>
    <w:p w14:paraId="042F18F9" w14:textId="7230118C" w:rsidR="00AF2A30" w:rsidRDefault="00AF2A30" w:rsidP="00AF2A3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F2A30">
        <w:rPr>
          <w:rFonts w:ascii="Times New Roman" w:hAnsi="Times New Roman" w:cs="Times New Roman"/>
          <w:b/>
          <w:bCs/>
          <w:sz w:val="28"/>
          <w:szCs w:val="28"/>
          <w:lang w:val="en-US"/>
        </w:rPr>
        <w:t>The Transport sector (purple) and Real Estate sector (red) exhibit lower median energy use, with the Telecom sector (light pink) using the least energy per employee.</w:t>
      </w:r>
    </w:p>
    <w:p w14:paraId="391E0C30" w14:textId="50C66FAB" w:rsidR="00AF2A30" w:rsidRDefault="00AF2A30" w:rsidP="00AF2A3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7B6D1FA" w14:textId="77777777" w:rsidR="00AF2A30" w:rsidRPr="00AF2A30" w:rsidRDefault="00AF2A30" w:rsidP="00AF2A3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F08479E" w14:textId="5D96BBF8" w:rsidR="007855FC" w:rsidRDefault="007855FC" w:rsidP="00CF4F2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855FC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drawing>
          <wp:inline distT="0" distB="0" distL="0" distR="0" wp14:anchorId="300F8972" wp14:editId="562BBCB4">
            <wp:extent cx="5731510" cy="348424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1EDB8" w14:textId="77777777" w:rsidR="00AF2A30" w:rsidRPr="00AF2A30" w:rsidRDefault="00AF2A30" w:rsidP="00AF2A3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F2A30">
        <w:rPr>
          <w:rFonts w:ascii="Times New Roman" w:hAnsi="Times New Roman" w:cs="Times New Roman"/>
          <w:b/>
          <w:bCs/>
          <w:sz w:val="28"/>
          <w:szCs w:val="28"/>
          <w:lang w:val="en-US"/>
        </w:rPr>
        <w:t>The Energy sector (dark blue) dominates in total energy use, which aligns with it being an energy production-focused sector.</w:t>
      </w:r>
    </w:p>
    <w:p w14:paraId="7AB60D61" w14:textId="71797B6A" w:rsidR="00AF2A30" w:rsidRDefault="00AF2A30" w:rsidP="00AF2A3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F2A30">
        <w:rPr>
          <w:rFonts w:ascii="Times New Roman" w:hAnsi="Times New Roman" w:cs="Times New Roman"/>
          <w:b/>
          <w:bCs/>
          <w:sz w:val="28"/>
          <w:szCs w:val="28"/>
          <w:lang w:val="en-US"/>
        </w:rPr>
        <w:t>The Banking sector (green) shows a lesser total energy use, while the Telecom sector (light pink) remains the least among all, suggesting it is less energy-intensive overall or more energy-efficient.</w:t>
      </w:r>
    </w:p>
    <w:p w14:paraId="7F6D94B5" w14:textId="29EED1FA" w:rsidR="0099386A" w:rsidRDefault="0099386A" w:rsidP="00CF4F2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9FA1ECA" w14:textId="1B7C035A" w:rsidR="0099386A" w:rsidRDefault="0099386A" w:rsidP="00CF4F2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F99509C" w14:textId="37B6645D" w:rsidR="0099386A" w:rsidRDefault="0099386A" w:rsidP="00CF4F2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B3508A4" w14:textId="6C997901" w:rsidR="0099386A" w:rsidRDefault="0099386A" w:rsidP="00CF4F2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6C41E43" w14:textId="70F7AB25" w:rsidR="0099386A" w:rsidRDefault="000C4DA4" w:rsidP="00CF4F2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C4DA4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drawing>
          <wp:inline distT="0" distB="0" distL="0" distR="0" wp14:anchorId="70B7EF07" wp14:editId="5B59DE3F">
            <wp:extent cx="5639587" cy="3286584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328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9A400" w14:textId="480F4DC5" w:rsidR="00AF2A30" w:rsidRPr="00AF2A30" w:rsidRDefault="00AF2A30" w:rsidP="00AF2A3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F2A30">
        <w:rPr>
          <w:rFonts w:ascii="Times New Roman" w:hAnsi="Times New Roman" w:cs="Times New Roman"/>
          <w:b/>
          <w:bCs/>
          <w:sz w:val="28"/>
          <w:szCs w:val="28"/>
          <w:lang w:val="en-US"/>
        </w:rPr>
        <w:t>The Energy sector (dark blue) stands out with the highest median total water use..</w:t>
      </w:r>
    </w:p>
    <w:p w14:paraId="4FA4CEB2" w14:textId="0E275CFB" w:rsidR="00AF2A30" w:rsidRDefault="00AF2A30" w:rsidP="00AF2A3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F2A30">
        <w:rPr>
          <w:rFonts w:ascii="Times New Roman" w:hAnsi="Times New Roman" w:cs="Times New Roman"/>
          <w:b/>
          <w:bCs/>
          <w:sz w:val="28"/>
          <w:szCs w:val="28"/>
          <w:lang w:val="en-US"/>
        </w:rPr>
        <w:t>The Banking sector (green) and Transport sector (purple) use a considerably lesser amount of water, which is still significantly more than the Telecom sector (light pink) and Real Estate sector (red), with the latter two showing the lowest water use.</w:t>
      </w:r>
    </w:p>
    <w:p w14:paraId="1726B791" w14:textId="435CF9DC" w:rsidR="00AF2A30" w:rsidRDefault="00AF2A30" w:rsidP="00AF2A3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0EA5200" w14:textId="1858A51E" w:rsidR="00AF2A30" w:rsidRDefault="00AF2A30" w:rsidP="00AF2A3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BC31E95" w14:textId="77777777" w:rsidR="00AF2A30" w:rsidRDefault="00AF2A30" w:rsidP="00AF2A3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44FC101" w14:textId="2778F3D3" w:rsidR="0099386A" w:rsidRDefault="000C4DA4" w:rsidP="00CF4F2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C4DA4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drawing>
          <wp:inline distT="0" distB="0" distL="0" distR="0" wp14:anchorId="01479C9B" wp14:editId="334F9703">
            <wp:extent cx="5706271" cy="3562847"/>
            <wp:effectExtent l="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356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F72BD" w14:textId="77777777" w:rsidR="00AF2A30" w:rsidRPr="00AF2A30" w:rsidRDefault="00AF2A30" w:rsidP="00AF2A3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F2A30">
        <w:rPr>
          <w:rFonts w:ascii="Times New Roman" w:hAnsi="Times New Roman" w:cs="Times New Roman"/>
          <w:b/>
          <w:bCs/>
          <w:sz w:val="28"/>
          <w:szCs w:val="28"/>
          <w:lang w:val="en-US"/>
        </w:rPr>
        <w:t>Again, the Energy sector (dark blue) emits the most greenhouse gases by a substantial margin, correlating with its high energy use.</w:t>
      </w:r>
    </w:p>
    <w:p w14:paraId="0F947C21" w14:textId="4E6AACD1" w:rsidR="00AF2A30" w:rsidRDefault="00AF2A30" w:rsidP="00AF2A3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D74BBEB" w14:textId="325A1916" w:rsidR="00AF2A30" w:rsidRDefault="00AF2A30" w:rsidP="00AF2A3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5813E6E" w14:textId="0A44C8D9" w:rsidR="00AF2A30" w:rsidRDefault="00AF2A30" w:rsidP="00AF2A3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BD9D9DE" w14:textId="3F87D37E" w:rsidR="00AF2A30" w:rsidRDefault="00AF2A30" w:rsidP="00AF2A3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8C96B4E" w14:textId="77777777" w:rsidR="00AF2A30" w:rsidRDefault="00AF2A30" w:rsidP="00AF2A3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4B32EF4" w14:textId="0135AB42" w:rsidR="0099386A" w:rsidRDefault="000C4DA4" w:rsidP="00CF4F2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C4DA4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drawing>
          <wp:inline distT="0" distB="0" distL="0" distR="0" wp14:anchorId="712A8AA3" wp14:editId="0815793E">
            <wp:extent cx="5630061" cy="3315163"/>
            <wp:effectExtent l="0" t="0" r="889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331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7A17A" w14:textId="78A46545" w:rsidR="00AF2A30" w:rsidRDefault="00AF2A30" w:rsidP="00AF2A3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The Transport Sector had a steady rise and decrease the Total waste produced over the years 2019-2022 but in 2022 the energy sector had a sudden rise in the total waste produced </w:t>
      </w:r>
    </w:p>
    <w:p w14:paraId="55CDF04A" w14:textId="58883A32" w:rsidR="00EC7363" w:rsidRDefault="00EC7363" w:rsidP="00AF2A3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D2D7EE8" w14:textId="556A75F4" w:rsidR="00EC7363" w:rsidRDefault="00EC7363" w:rsidP="00AF2A3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03BEC3A" w14:textId="45E25E10" w:rsidR="00EC7363" w:rsidRDefault="00EC7363" w:rsidP="00AF2A3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83F625C" w14:textId="52AD0F08" w:rsidR="00EC7363" w:rsidRDefault="00EC7363" w:rsidP="00AF2A3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42674CE" w14:textId="77777777" w:rsidR="00EC7363" w:rsidRDefault="00EC7363" w:rsidP="00AF2A3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5CBDE76" w14:textId="77777777" w:rsidR="00AF2A30" w:rsidRDefault="00AF2A30" w:rsidP="00CF4F2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ADCC8C9" w14:textId="625BE6F0" w:rsidR="0099386A" w:rsidRDefault="000C4DA4" w:rsidP="00CF4F2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C4DA4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drawing>
          <wp:inline distT="0" distB="0" distL="0" distR="0" wp14:anchorId="0C6D8167" wp14:editId="29884385">
            <wp:extent cx="5731510" cy="339344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E9B87" w14:textId="77777777" w:rsidR="00EC7363" w:rsidRPr="00EC7363" w:rsidRDefault="00EC7363" w:rsidP="00EC736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C7363">
        <w:rPr>
          <w:rFonts w:ascii="Times New Roman" w:hAnsi="Times New Roman" w:cs="Times New Roman"/>
          <w:b/>
          <w:bCs/>
          <w:sz w:val="28"/>
          <w:szCs w:val="28"/>
          <w:lang w:val="en-US"/>
        </w:rPr>
        <w:t>The graph indicates that the Banking sector (green) provides a high number of average training hours per employee, with varying employee turnover rates.</w:t>
      </w:r>
    </w:p>
    <w:p w14:paraId="7AB778CC" w14:textId="56417005" w:rsidR="00EC7363" w:rsidRDefault="00EC7363" w:rsidP="00EC736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C7363">
        <w:rPr>
          <w:rFonts w:ascii="Times New Roman" w:hAnsi="Times New Roman" w:cs="Times New Roman"/>
          <w:b/>
          <w:bCs/>
          <w:sz w:val="28"/>
          <w:szCs w:val="28"/>
          <w:lang w:val="en-US"/>
        </w:rPr>
        <w:t>The spread of data points indicates a diverse impact of training on turnover rates within these sectors.</w:t>
      </w:r>
    </w:p>
    <w:p w14:paraId="080B70E3" w14:textId="39F658E1" w:rsidR="00A00596" w:rsidRDefault="00A00596" w:rsidP="00CF4F2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ABC9438" w14:textId="6F8EF212" w:rsidR="00A00596" w:rsidRDefault="00A00596" w:rsidP="00CF4F2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9E9928D" w14:textId="70A8085B" w:rsidR="00A00596" w:rsidRDefault="00A00596" w:rsidP="00CF4F2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95582CA" w14:textId="608789C6" w:rsidR="00A00596" w:rsidRDefault="00A00596" w:rsidP="00CF4F2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ABD5DA6" w14:textId="5DBE98A6" w:rsidR="00A00596" w:rsidRDefault="00A00596" w:rsidP="00CF4F2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3F2EEFE" w14:textId="49C78C8B" w:rsidR="00A00596" w:rsidRDefault="00A00596" w:rsidP="00CF4F2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1D58C68" w14:textId="277351D3" w:rsidR="00A00596" w:rsidRDefault="000C4DA4" w:rsidP="00CF4F2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C4DA4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drawing>
          <wp:inline distT="0" distB="0" distL="0" distR="0" wp14:anchorId="3FF56E0C" wp14:editId="458B971A">
            <wp:extent cx="5715798" cy="3343742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6D59C" w14:textId="29387B39" w:rsidR="00EC7363" w:rsidRDefault="00EC7363" w:rsidP="00CF4F2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6DC10C5" w14:textId="1BD1DADF" w:rsidR="00EC7363" w:rsidRDefault="00EC7363" w:rsidP="00CF4F2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C7363">
        <w:rPr>
          <w:rFonts w:ascii="Times New Roman" w:hAnsi="Times New Roman" w:cs="Times New Roman"/>
          <w:b/>
          <w:bCs/>
          <w:sz w:val="28"/>
          <w:szCs w:val="28"/>
          <w:lang w:val="en-US"/>
        </w:rPr>
        <w:t>The Telecom sector (purple) and Banking sector (green) show a broad spread of turnover rates across different levels of wages and benefits, suggesting multiple factors could be affecting turnover rates beyond compensation</w:t>
      </w:r>
    </w:p>
    <w:p w14:paraId="29EF11FC" w14:textId="5391BC13" w:rsidR="00EC7363" w:rsidRDefault="00EC7363" w:rsidP="00CF4F2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8E90257" w14:textId="3E0B8A7D" w:rsidR="00EC7363" w:rsidRDefault="00EC7363" w:rsidP="00CF4F2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BCCB0CE" w14:textId="56A7AF0B" w:rsidR="00EC7363" w:rsidRDefault="00EC7363" w:rsidP="00CF4F2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9F31B86" w14:textId="7E73DE69" w:rsidR="00EC7363" w:rsidRDefault="00EC7363" w:rsidP="00CF4F2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E28505D" w14:textId="2B9FE11E" w:rsidR="00EC7363" w:rsidRDefault="00EC7363" w:rsidP="00CF4F2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F8C13DE" w14:textId="2BE2E891" w:rsidR="00EC7363" w:rsidRDefault="00EC7363" w:rsidP="00CF4F2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B00D001" w14:textId="77777777" w:rsidR="00EC7363" w:rsidRDefault="00EC7363" w:rsidP="00CF4F2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58326D9" w14:textId="6C8E57B4" w:rsidR="00A00596" w:rsidRDefault="000C4DA4" w:rsidP="00CF4F2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C4DA4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drawing>
          <wp:inline distT="0" distB="0" distL="0" distR="0" wp14:anchorId="2BC777D2" wp14:editId="1E4C8EA1">
            <wp:extent cx="5725324" cy="3381847"/>
            <wp:effectExtent l="0" t="0" r="889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8DC95" w14:textId="77777777" w:rsidR="00EC7363" w:rsidRPr="00EC7363" w:rsidRDefault="00EC7363" w:rsidP="00EC736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C7363">
        <w:rPr>
          <w:rFonts w:ascii="Times New Roman" w:hAnsi="Times New Roman" w:cs="Times New Roman"/>
          <w:b/>
          <w:bCs/>
          <w:sz w:val="28"/>
          <w:szCs w:val="28"/>
          <w:lang w:val="en-US"/>
        </w:rPr>
        <w:t>The Banking sector (green) has the highest representation of women in the workforce and also one of the larger workforces (FTE).</w:t>
      </w:r>
    </w:p>
    <w:p w14:paraId="644828FC" w14:textId="1433024B" w:rsidR="007855FC" w:rsidRPr="00CF4F2F" w:rsidRDefault="00EC7363" w:rsidP="00EC736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C7363">
        <w:rPr>
          <w:rFonts w:ascii="Times New Roman" w:hAnsi="Times New Roman" w:cs="Times New Roman"/>
          <w:b/>
          <w:bCs/>
          <w:sz w:val="28"/>
          <w:szCs w:val="28"/>
          <w:lang w:val="en-US"/>
        </w:rPr>
        <w:t>Other sectors, such as Telecom (light pink) and Energy (dark blue), display a lower percentage of women in their workforce, highlighting potential gender disparity in these industries</w:t>
      </w:r>
    </w:p>
    <w:sectPr w:rsidR="007855FC" w:rsidRPr="00CF4F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D2576"/>
    <w:multiLevelType w:val="multilevel"/>
    <w:tmpl w:val="BBBA8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F2F"/>
    <w:rsid w:val="000C4DA4"/>
    <w:rsid w:val="007855FC"/>
    <w:rsid w:val="0099386A"/>
    <w:rsid w:val="00A00596"/>
    <w:rsid w:val="00AF2A30"/>
    <w:rsid w:val="00CF4F2F"/>
    <w:rsid w:val="00EC7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8F42B"/>
  <w15:chartTrackingRefBased/>
  <w15:docId w15:val="{4D75838B-5426-4133-AC99-0C971503E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4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8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5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Pages>8</Pages>
  <Words>317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Adnan Khan</dc:creator>
  <cp:keywords/>
  <dc:description/>
  <cp:lastModifiedBy>Adnan Khan</cp:lastModifiedBy>
  <cp:revision>2</cp:revision>
  <dcterms:created xsi:type="dcterms:W3CDTF">2024-03-24T10:49:00Z</dcterms:created>
  <dcterms:modified xsi:type="dcterms:W3CDTF">2024-03-24T16:53:00Z</dcterms:modified>
</cp:coreProperties>
</file>