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POWER AUTOMATE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8E8"/>
                <w:sz w:val="26"/>
                <w:szCs w:val="26"/>
              </w:rPr>
              <w:t xml:space="preserve">Flux d'automatisation DRG / Établissement</w:t>
            </w:r>
          </w:p>
          <w:p>
            <w:pPr>
              <w:spacing w:before="180"/>
              <w:jc w:val="center"/>
            </w:pPr>
            <w:r>
              <w:rPr>
                <w:rFonts w:ascii="Arial" w:cs="Arial" w:eastAsia="Arial" w:hAnsi="Arial"/>
                <w:i/>
                <w:iCs/>
                <w:color w:val="7FAACC"/>
                <w:sz w:val="21"/>
                <w:szCs w:val="21"/>
              </w:rPr>
              <w:t xml:space="preserve">Basé sur la liste SharePoint ModifiedEcart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500"/>
      </w:tblGrid>
      <w:tr>
        <w:tc>
          <w:tcPr>
            <w:tcW w:type="dxa" w:w="17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D6E4F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Objet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Trois flux Power Automate pour notifier les établissements et la DRG, en exploitant la liste SharePoint ModifiedEcart qui s'alimente automatiquement des éléments modifiés chaque jour.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500"/>
      </w:tblGrid>
      <w:t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Source de données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 SharePoint : ModifiedEcart — contient les éléments modifiés du jour avec les champs : Périmètre, Arrêté, Établissement, Réf suivi, Modifié par, Date modification, Statut DRG.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4A90C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Vue d'ensemble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Trois flux couvrent l'ensemble du cycle : notification initiale, remontée DRG en fin de journée, et retour vers l'établissement après action DRG.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00"/>
        <w:gridCol w:w="3000"/>
      </w:tblGrid>
      <w:tr>
        <w:trPr>
          <w:tblHeader/>
        </w:trPr>
        <w:tc>
          <w:tcPr>
            <w:tcW w:type="dxa" w:w="6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2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Flux</w:t>
            </w:r>
          </w:p>
        </w:tc>
        <w:tc>
          <w:tcPr>
            <w:tcW w:type="dxa" w:w="2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30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Destinataire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F1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 initiale établissements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Manuel (première fois)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Établissements (1 email par Étab.)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F2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Synthèse DRG fin de journée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Planification 17h30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DRG — table récapitulative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F3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Retour établissement après DRG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Modif. SharePoint par DRG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Établissement concerné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4A90C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Structure SharePoint — ModifiedEcart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liste ModifiedEcart est la source centrale. Voici les champs clés utilisés par les trois flux :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800"/>
      </w:tblGrid>
      <w:tr>
        <w:trPr>
          <w:tblHeader/>
        </w:trPr>
        <w:tc>
          <w:tcPr>
            <w:tcW w:type="dxa" w:w="26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 interne</w:t>
            </w:r>
          </w:p>
        </w:tc>
        <w:tc>
          <w:tcPr>
            <w:tcW w:type="dxa" w:w="1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 dans les flux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Périmètre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Colonne de la table email DRG (F2)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Arrêté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Colonne de la table email DRG (F2)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Etablissement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Groupement F1, colonne table F2, destinataire F3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RefSuivi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Texte/Num.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Colonne de la table email DRG (F2)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ModifiePar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Personne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Filtre F2 : ne sélectionner que les saisies Établissement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DateModification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Date/heure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Filtre F2 : modifications du jour uniquement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StatutDRG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Choix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Condition F3 : Validé / Non validé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CommentaireDRG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Contenu email F3 (branche NON)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500"/>
      </w:tblGrid>
      <w:tr>
        <w:tc>
          <w:tcPr>
            <w:tcW w:type="dxa" w:w="1700"/>
            <w:tcBorders>
              <w:top w:val="single" w:color="D4820A" w:sz="4"/>
              <w:left w:val="single" w:color="D4820A" w:sz="4"/>
              <w:bottom w:val="single" w:color="D4820A" w:sz="4"/>
              <w:right w:val="single" w:color="D4820A" w:sz="4"/>
            </w:tcBorders>
            <w:shd w:fill="FEF3E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Important — champ ModifiePar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 champ est utilisé pour distinguer qui a saisi la valeur : un utilisateur Établissement ou un utilisateur DRG. Il conditionne le déclenchement de F2 et F3. Vérifier que les comptes sont bien différenciés (groupe AD ou propriété de profil SharePoint).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90C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Flux 1 — Notification initiale des établissements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3.1 Déclencheur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Ce flux est exécuté manuellement une première fois pour informer chaque établissement des points d'écarts existants dans ModifiedEcart.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500"/>
      </w:tblGrid>
      <w:tr>
        <w:tc>
          <w:tcPr>
            <w:tcW w:type="dxa" w:w="17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D6E4F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Déclenchement manuel depuis Power Automate (bouton « Exécuter ») ou via une planification ponctuelle. Peut également être déclenché depuis Power Apps avec un bouton d'envoi initial.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3.2 Étapes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380"/>
      </w:tblGrid>
      <w:tr>
        <w:tc>
          <w:tcPr>
            <w:tcW w:type="dxa" w:w="82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8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Récupérer tous les éléments de ModifiedEcart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 « Get items » sans filtre, ou filtré sur StatutDRG = vide pour n'inclure que les écarts non encore traités.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380"/>
      </w:tblGrid>
      <w:tr>
        <w:tc>
          <w:tcPr>
            <w:tcW w:type="dxa" w:w="8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55555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8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Grouper par établissement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 « Select » puis boucle « Apply to each » sur la liste d'établissements distincts. Utiliser union() ou un tableau de valeurs uniques pour le champ Etablissement.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380"/>
      </w:tblGrid>
      <w:tr>
        <w:tc>
          <w:tcPr>
            <w:tcW w:type="dxa" w:w="82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8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Construire la table HTML par établissement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Pour chaque établissement, filtrer les éléments correspondants avec la fonction filter(). Construire une table HTML avec les colonnes : Périmètre, Arrêté, Réf suivi.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380"/>
      </w:tblGrid>
      <w:tr>
        <w:tc>
          <w:tcPr>
            <w:tcW w:type="dxa" w:w="82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8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Envoyer l'email à chaque établissement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 « Send an email (V2) » — adresse email récupérée depuis la liste des établissements ou un annuaire SharePoint.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3.3 Modèle d'email — Établissement (notification initiale)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4820A" w:sz="4"/>
              <w:left w:val="single" w:color="D4820A" w:sz="4"/>
              <w:bottom w:val="single" w:color="D4820A" w:sz="4"/>
              <w:right w:val="single" w:color="D4820A" w:sz="4"/>
            </w:tcBorders>
            <w:shd w:fill="FEF3E2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820A"/>
                <w:sz w:val="20"/>
                <w:szCs w:val="20"/>
              </w:rPr>
              <w:t xml:space="preserve">Objet : [Action requise] Récapitulatif de vos points d'écarts — JJ/MM/AAAA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Bonjour,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Dans le cadre du processus de contrôle qualité DRG, nous vous adressons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 récapitulatif des points d'écarts identifiés sur vos dossiers.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Ces éléments nécessitent votre validation ou votre correction via Power Apps.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[TABLE : Périmètre | Arrêté | Réf suivi]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Merci de traiter ces points dans les meilleurs délais.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Cordialement,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Système de notification automatique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90C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Flux 2 — Notification DRG en fin de journée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4.1 Déclencheur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500"/>
      </w:tblGrid>
      <w:tr>
        <w:tc>
          <w:tcPr>
            <w:tcW w:type="dxa" w:w="17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D6E4F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Récurrence quotidienne à 17h30 (Europe/Paris). Le flux interroge ModifiedEcart pour détecter les éléments modifiés par un utilisateur Établissement dans la journée et non encore traités par la DRG.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4.2 Étapes détaillées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380"/>
      </w:tblGrid>
      <w:tr>
        <w:tc>
          <w:tcPr>
            <w:tcW w:type="dxa" w:w="82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8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Récurrence — 17h30 chaque jour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 « Recurrence » : Fréquence = Jour, Intervalle = 1, Heure = 17:30:00, Fuseau = Romance Standard Time (Europe/Paris).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380"/>
      </w:tblGrid>
      <w:tr>
        <w:tc>
          <w:tcPr>
            <w:tcW w:type="dxa" w:w="8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55555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8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Récupérer les éléments du jour modifiés par Établissement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 « Get items » sur ModifiedEcart.
Filtre OData : ModifiePar ne 'DRG' and StatutDRG eq null and DateModification ge '@{startOfDay(utcNow())}'
Cela garantit : modifications du jour + par Établissement + non encore traitées.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380"/>
      </w:tblGrid>
      <w:tr>
        <w:tc>
          <w:tcPr>
            <w:tcW w:type="dxa" w:w="820"/>
            <w:tcBorders>
              <w:top w:val="single" w:color="D4820A" w:sz="4"/>
              <w:left w:val="single" w:color="D4820A" w:sz="4"/>
              <w:bottom w:val="single" w:color="D4820A" w:sz="4"/>
              <w:right w:val="single" w:color="D4820A" w:sz="4"/>
            </w:tcBorders>
            <w:shd w:fill="D4820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8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820A"/>
                <w:sz w:val="21"/>
                <w:szCs w:val="21"/>
              </w:rPr>
              <w:t xml:space="preserve">Condition : y a-t-il des éléments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length(body('Get_items')?['value']) = 0 → terminer sans envoyer d'email (évite les emails vides).
Si &gt; 0 → continuer vers l'étape 4.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380"/>
      </w:tblGrid>
      <w:tr>
        <w:tc>
          <w:tcPr>
            <w:tcW w:type="dxa" w:w="82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8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Construire la table HTML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 « Select » pour créer un tableau JSON avec les colonnes Périmètre, Arrêté, Établissement, Réf suivi.
Puis action « Create HTML table » sur la sortie Select.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380"/>
      </w:tblGrid>
      <w:tr>
        <w:tc>
          <w:tcPr>
            <w:tcW w:type="dxa" w:w="82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W w:type="dxa" w:w="8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Envoyer l'email à la DRG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 « Send an email (V2) » à l'adresse DRG. Corps HTML activé. Inclure la table générée à l'étape 4.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4.3 Expression de filtre OData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Filtre : éléments modifiés aujourd'hui par un Établissement, non validés DRG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ModifiePar ne 'DRG'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and StatutDRG eq null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and DateModification ge '@{startOfDay(utcNow())}'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Construction de la table — action Select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: outputs('Get_items')?['body/value']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Map 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Périmètre      → item()?['Perimetre']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Arrêté         → item()?['Arrete']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Établissement  → item()?['Etablissement']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Réf suivi      → item()?['RefSuivi']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4.4 Modèle d'email — DRG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D6E4F0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0"/>
                <w:szCs w:val="20"/>
              </w:rPr>
              <w:t xml:space="preserve">Objet : [Contrôle DRG] Dossiers traités par les établissements — JJ/MM/AAAA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Bonjour,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Des saisies ont été effectuées par les établissements ce jour.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Voici le récapitulatif des dossiers en attente de votre validation 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[TABLE : Périmètre | Arrêté | Établissement | Réf suivi]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Merci de vous connecter à Power Apps pour valider ou rejeter ces éléments.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Cordialement,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Système de notification automatique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90C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Flux 3 — Notification établissement après réponse DRG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5.1 Déclencheur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500"/>
      </w:tblGrid>
      <w:tr>
        <w:tc>
          <w:tcPr>
            <w:tcW w:type="dxa" w:w="17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D6E4F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SharePoint — « When an item is modified » sur la liste ModifiedEcart. Le flux se déclenche dès qu'un élément est modifié par un utilisateur DRG (détecté via le champ ModifiePar).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500"/>
      </w:tblGrid>
      <w:tr>
        <w:tc>
          <w:tcPr>
            <w:tcW w:type="dxa" w:w="17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D7D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Anti-boucle obligatoire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Ajouter immédiatement une condition : si ModifiePar = 'DRG' → continuer. Sinon → terminer. Sans ce filtre, les mises à jour effectuées par Établissement déclencheraient aussi ce flux.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5.2 Logique conditionnelle — Réponse DRG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7"/>
        <w:gridCol w:w="3067"/>
        <w:gridCol w:w="3066"/>
      </w:tblGrid>
      <w:tr>
        <w:trPr>
          <w:tblHeader/>
        </w:trPr>
        <w:tc>
          <w:tcPr>
            <w:tcW w:type="dxa" w:w="3067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067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Si OUI — Validé</w:t>
            </w:r>
          </w:p>
        </w:tc>
        <w:tc>
          <w:tcPr>
            <w:tcW w:type="dxa" w:w="3066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 Si NON — Non validé</w:t>
            </w:r>
          </w:p>
        </w:tc>
      </w:tr>
      <w:tr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4820A"/>
                <w:sz w:val="19"/>
                <w:szCs w:val="19"/>
              </w:rPr>
              <w:t xml:space="preserve">StatutDRG</w:t>
            </w:r>
          </w:p>
          <w:p>
            <w:r>
              <w:rPr>
                <w:rFonts w:ascii="Arial" w:cs="Arial" w:eastAsia="Arial" w:hAnsi="Arial"/>
                <w:b/>
                <w:bCs/>
                <w:color w:val="D4820A"/>
                <w:sz w:val="19"/>
                <w:szCs w:val="19"/>
              </w:rPr>
              <w:t xml:space="preserve">= Validé ?</w:t>
            </w:r>
          </w:p>
        </w:tc>
        <w:tc>
          <w:tcPr>
            <w:tcW w:type="dxa" w:w="3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Établissement : dossier validé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Sujet : [Validation] Dossier confirmé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Corps : confirmation + Réf suivi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Établissement : point à retraiter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Sujet : [Action requise] Point à corriger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Corps : commentaire DRG + Réf suivi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5.3 Étapes détaillées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380"/>
      </w:tblGrid>
      <w:tr>
        <w:tc>
          <w:tcPr>
            <w:tcW w:type="dxa" w:w="82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8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Déclencheur : modification SharePoint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 When an item is modified » sur ModifiedEcart. Récupère automatiquement tous les champs de l'élément modifié.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380"/>
      </w:tblGrid>
      <w:tr>
        <w:tc>
          <w:tcPr>
            <w:tcW w:type="dxa" w:w="820"/>
            <w:tcBorders>
              <w:top w:val="single" w:color="D4820A" w:sz="4"/>
              <w:left w:val="single" w:color="D4820A" w:sz="4"/>
              <w:bottom w:val="single" w:color="D4820A" w:sz="4"/>
              <w:right w:val="single" w:color="D4820A" w:sz="4"/>
            </w:tcBorders>
            <w:shd w:fill="D4820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8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820A"/>
                <w:sz w:val="21"/>
                <w:szCs w:val="21"/>
              </w:rPr>
              <w:t xml:space="preserve">Filtre anti-boucle — ModifiePar = DRG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Condition : triggerOutputs()?['body/ModifiePar/DisplayName'] contient 'DRG' (adapter à la valeur exacte dans votre tenant).
Si NON → action « Terminate » (Status: Succeeded) pour arrêter sans erreur.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380"/>
      </w:tblGrid>
      <w:tr>
        <w:tc>
          <w:tcPr>
            <w:tcW w:type="dxa" w:w="820"/>
            <w:tcBorders>
              <w:top w:val="single" w:color="D4820A" w:sz="4"/>
              <w:left w:val="single" w:color="D4820A" w:sz="4"/>
              <w:bottom w:val="single" w:color="D4820A" w:sz="4"/>
              <w:right w:val="single" w:color="D4820A" w:sz="4"/>
            </w:tcBorders>
            <w:shd w:fill="D4820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8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820A"/>
                <w:sz w:val="21"/>
                <w:szCs w:val="21"/>
              </w:rPr>
              <w:t xml:space="preserve">Condition : StatutDRG = Validé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Condition : triggerOutputs()?['body/StatutDRG/Value'] est égal à 'Validé'.
Branche OUI → email validation · Branche NON → email rejet.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380"/>
      </w:tblGrid>
      <w:tr>
        <w:tc>
          <w:tcPr>
            <w:tcW w:type="dxa" w:w="8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04a</w:t>
            </w:r>
          </w:p>
        </w:tc>
        <w:tc>
          <w:tcPr>
            <w:tcW w:type="dxa" w:w="8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1"/>
                <w:szCs w:val="21"/>
              </w:rPr>
              <w:t xml:space="preserve">Branche OUI — Email validation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Envoyer email à l'établissement (adresse issue du champ Etablissement ou annuaire).
Inclure : Réf suivi, Périmètre, Arrêté, message de confirmation.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380"/>
      </w:tblGrid>
      <w:tr>
        <w:tc>
          <w:tcPr>
            <w:tcW w:type="dxa" w:w="82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04b</w:t>
            </w:r>
          </w:p>
        </w:tc>
        <w:tc>
          <w:tcPr>
            <w:tcW w:type="dxa" w:w="8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Branche NON — Email rejet/correction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Envoyer email à l'établissement.
Inclure : Réf suivi, CommentaireDRG, message expliquant que le point doit être retraité.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380"/>
      </w:tblGrid>
      <w:tr>
        <w:tc>
          <w:tcPr>
            <w:tcW w:type="dxa" w:w="82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W w:type="dxa" w:w="8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Vérifier les écarts restants pour cet établissement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 « Get items » avec filtre : Etablissement eq 'X' and StatutDRG eq null.
Stocker le résultat dans la variable NbEcarts = length(...).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380"/>
      </w:tblGrid>
      <w:tr>
        <w:tc>
          <w:tcPr>
            <w:tcW w:type="dxa" w:w="8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06</w:t>
            </w:r>
          </w:p>
        </w:tc>
        <w:tc>
          <w:tcPr>
            <w:tcW w:type="dxa" w:w="8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1"/>
                <w:szCs w:val="21"/>
              </w:rPr>
              <w:t xml:space="preserve">Si NbEcarts = 0 → email « Tout est conforme »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Envoyer un email de clôture à l'établissement indiquant qu'il n'y a plus d'écart en attente.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5.4 Modèles d'emails — Établissement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Email A — Dossier validé par la DRG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D4EDDA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0"/>
                <w:szCs w:val="20"/>
              </w:rPr>
              <w:t xml:space="preserve">Objet : [Validation] Votre dossier a été confirmé par la DRG — JJ/MM/AAAA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Bonjour,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Nous vous informons que le dossier suivant a été validé par la DRG 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Réf suivi   : @{triggerOutputs()?['body/RefSuivi']}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Périmètre   : @{triggerOutputs()?['body/Perimetre']}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Arrêté      : @{triggerOutputs()?['body/Arrete']}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Aucune action supplémentaire n'est requise de votre part.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Cordialement,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Système de notification automatique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Email B — Point à retraiter (DRG a répondu NON)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D7DA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Objet : [Action requise] Un point nécessite votre correction — JJ/MM/AAAA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Bonjour,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Suite à l'examen de la DRG, le dossier suivant requiert votre attention 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Réf suivi   : @{triggerOutputs()?['body/RefSuivi']}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Périmètre   : @{triggerOutputs()?['body/Perimetre']}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Arrêté      : @{triggerOutputs()?['body/Arrete']}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Commentaire DRG : @{triggerOutputs()?['body/CommentaireDRG']}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Merci de corriger et resoumettre ce point via Power Apps.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Cordialement,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Système de notification automatique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Email C — Aucun écart restant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D4EDDA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0"/>
                <w:szCs w:val="20"/>
              </w:rPr>
              <w:t xml:space="preserve">Objet : [Clôture] Tous vos dossiers sont conformes — JJ/MM/AAAA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Bonjour,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Nous avons le plaisir de vous informer qu'il n'y a plus aucun écart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 attente de traitement pour votre établissement.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Tous vos dossiers sont désormais validés.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Cordialement,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Système de notification automatique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90C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Bonnes pratiques &amp; points de vigilance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300"/>
      </w:tblGrid>
      <w:tr>
        <w:trPr>
          <w:tblHeader/>
        </w:trPr>
        <w:tc>
          <w:tcPr>
            <w:tcW w:type="dxa" w:w="5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Thème</w:t>
            </w:r>
          </w:p>
        </w:tc>
        <w:tc>
          <w:tcPr>
            <w:tcW w:type="dxa" w:w="63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Recommandation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Anti-boucle F3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Toujours vérifier ModifiePar en début de F3. Sans ce filtre, les Établissements déclenchent F3 → email parasite sur eux-mêmes.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Emails vides F2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 condition « éléments &gt; 0 » en F2 est indispensable pour éviter un email DRG vide chaque soir de weekend ou jour férié.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Fuseau horaire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Utiliser convertTimeZone(utcNow(), 'UTC', 'Romance Standard Time') pour les dates affichées dans les emails.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ModifiePar — format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 champ ModifiePar dans SharePoint renvoie un objet. Utiliser ModifiePar/DisplayName ou ModifiePar/Email selon votre configuration. Tester avec un Run history.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Destinataire email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Créer une liste SharePoint « Annuaire Établissements » (Nom, Email) pour résoudre dynamiquement l'adresse email depuis le champ Etablissement.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Historique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Activer la conservation des exécutions (28 jours) dans les paramètres du flux. Indispensable pour déboguer les envois manqués.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HTML email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Activer « Is HTML » sur l'action Send email pour que la table et les sauts de ligne soient rendus correctement par Outlook.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Gestion d'erreurs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Configurer « Run after » sur Failed + Skipped pour chaque action critique. Ajouter un email d'alerte administrateur en cas d'erreur de flux.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6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/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/>
            <w:left w:val="none"/>
            <w:bottom w:val="single" w:color="4A90C4" w:sz="4"/>
            <w:right w:val="none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80" w:before="80"/>
          </w:pPr>
          <w:r>
            <w:rPr>
              <w:rFonts w:ascii="Arial" w:cs="Arial" w:eastAsia="Arial" w:hAnsi="Arial"/>
              <w:b/>
              <w:bCs/>
              <w:color w:val="1F5C99"/>
              <w:sz w:val="18"/>
              <w:szCs w:val="18"/>
            </w:rPr>
            <w:t xml:space="preserve">Power Automate — Flux DRG / Établissement</w:t>
          </w:r>
        </w:p>
      </w:tc>
      <w:tc>
        <w:tcPr>
          <w:tcW w:type="dxa" w:w="5040"/>
          <w:tcBorders>
            <w:top w:val="none"/>
            <w:left w:val="none"/>
            <w:bottom w:val="single" w:color="4A90C4" w:sz="4"/>
            <w:right w:val="none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7"/>
              <w:szCs w:val="17"/>
            </w:rPr>
            <w:t xml:space="preserve">ModifiedEcart · SharePoint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90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2026-04-28T07:39:11.052Z</dcterms:created>
  <dcterms:modified xsi:type="dcterms:W3CDTF">2026-04-28T07:39:11.052Z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