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Strategic Planning Progress Report</w:t>
      </w:r>
    </w:p>
    <w:p>
      <w:pPr>
        <w:spacing w:after="360"/>
        <w:jc w:val="center"/>
      </w:pPr>
      <w:r>
        <w:rPr>
          <w:sz w:val="22"/>
          <w:szCs w:val="22"/>
        </w:rPr>
        <w:t xml:space="preserve">Report Date: December 1, 2026</w:t>
      </w:r>
      <w:r>
        <w:rPr>
          <w:sz w:val="22"/>
          <w:szCs w:val="22"/>
        </w:rPr>
        <w:t xml:space="preserve"> | </w:t>
      </w:r>
      <w:r>
        <w:rPr>
          <w:sz w:val="22"/>
          <w:szCs w:val="22"/>
        </w:rPr>
        <w:t xml:space="preserve">Period: Q1-Q4 2026</w:t>
      </w:r>
      <w:r>
        <w:rPr>
          <w:sz w:val="22"/>
          <w:szCs w:val="22"/>
        </w:rPr>
        <w:t xml:space="preserve"> | </w:t>
      </w:r>
      <w:r>
        <w:rPr>
          <w:sz w:val="22"/>
          <w:szCs w:val="22"/>
        </w:rPr>
        <w:t xml:space="preserve">Quarterly Review</w:t>
      </w:r>
    </w:p>
    <w:p>
      <w:pPr>
        <w:pStyle w:val="Heading2"/>
      </w:pPr>
      <w: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Overall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D9534F"/>
              </w:rPr>
              <w:t xml:space="preserve">0 KPIs on track</w:t>
            </w:r>
            <w:r>
              <w:t xml:space="preserve"> | </w:t>
            </w:r>
            <w:r>
              <w:rPr>
                <w:b/>
                <w:bCs/>
                <w:color w:val="F0AD4E"/>
              </w:rPr>
              <w:t xml:space="preserve">3 KPIs requiring attention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Key Recommendation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5CB85C"/>
              </w:rPr>
              <w:t xml:space="preserve">Option 3 — Foundational Health &amp; Risk 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Confidence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100%</w:t>
            </w:r>
          </w:p>
        </w:tc>
      </w:tr>
    </w:tbl>
    <w:p>
      <w:pPr>
        <w:spacing w:after="120"/>
      </w:pPr>
    </w:p>
    <w:p>
      <w:pPr>
        <w:spacing w:after="180"/>
      </w:pPr>
      <w:r>
        <w:rPr>
          <w:sz w:val="24"/>
          <w:szCs w:val="24"/>
        </w:rPr>
        <w:t xml:space="preserve">The organization is making limited progress towards strategic objectives. All three KPIs show improvement trends but remain below the 75% threshold required to be considered 'on track'. Immediate intervention is recommended to address processing time and incident count concerns.</w:t>
      </w:r>
    </w:p>
    <w:p>
      <w:pPr>
        <w:pStyle w:val="Heading2"/>
      </w:pPr>
      <w:r>
        <w:t xml:space="preserve">Critical Issues Identified</w:t>
      </w:r>
    </w:p>
    <w:p>
      <w:pPr>
        <w:spacing w:after="120"/>
      </w:pPr>
      <w:r>
        <w:rPr>
          <w:sz w:val="24"/>
          <w:szCs w:val="24"/>
        </w:rPr>
        <w:t xml:space="preserve">The following performance gaps require strategic intervention: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Forecast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Processing Time (Near Term)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2.51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2.30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+9%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Incident Count (Near Term)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33.23 incidents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30.00 incidents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+11%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Processing Time (Mid Term)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2.43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2.30 hours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+6%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Incident Count (Mid Term)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31.99 incidents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30.00 incidents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+7%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Strategic Options Analysis</w:t>
      </w:r>
    </w:p>
    <w:p>
      <w:pPr>
        <w:spacing w:after="120"/>
      </w:pPr>
      <w:r>
        <w:rPr>
          <w:sz w:val="24"/>
          <w:szCs w:val="24"/>
        </w:rPr>
        <w:t xml:space="preserve">Three strategic options were evaluated using risk-adjusted scoring. The recommended option balances risk mitigation with expected value creation.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510"/>
        <w:gridCol w:w="1560"/>
        <w:gridCol w:w="1560"/>
        <w:gridCol w:w="156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Rank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Strategic Option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Stress CVaR10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Stress Mean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Base Mean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5724"/>
                <w:sz w:val="28"/>
                <w:szCs w:val="28"/>
              </w:rPr>
              <w:t xml:space="preserve">#1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Option 3 — Foundational Health &amp; Risk Mitigation</w:t>
            </w:r>
          </w:p>
          <w:p>
            <w:pPr>
              <w:spacing w:before="80"/>
            </w:pPr>
            <w:r>
              <w:rPr>
                <w:b/>
                <w:bCs/>
                <w:color w:val="155724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2.054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2.603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2.603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#2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 1 — Accelerated Automation Unblock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0.676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#3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 2 — Minimum Viable Automation &amp; Resilience Boost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0.117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0.433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0.433</w:t>
            </w:r>
          </w:p>
        </w:tc>
      </w:tr>
    </w:tbl>
    <w:p>
      <w:pPr>
        <w:spacing w:after="180"/>
      </w:pPr>
    </w:p>
    <w:p>
      <w:pPr>
        <w:spacing w:after="240"/>
      </w:pPr>
      <w:r>
        <w:rPr>
          <w:b/>
          <w:bCs/>
          <w:sz w:val="24"/>
          <w:szCs w:val="24"/>
        </w:rPr>
        <w:t xml:space="preserve">Rationale: </w:t>
      </w:r>
      <w:r>
        <w:rPr>
          <w:sz w:val="24"/>
          <w:szCs w:val="24"/>
        </w:rPr>
        <w:t xml:space="preserve">Option 3 is ranked #1 by stress CVaR10 (risk-averse approach) with the strongest performance in worst-case scenarios. This option provides the most robust foundation for addressing current performance gaps while managing downside risk.</w:t>
      </w:r>
    </w:p>
    <w:p>
      <w:pPr>
        <w:pStyle w:val="Heading2"/>
      </w:pPr>
      <w:r>
        <w:t xml:space="preserve">Key Performance Indicator Progress</w:t>
      </w:r>
    </w:p>
    <w:p>
      <w:pPr>
        <w:pStyle w:val="Heading3"/>
      </w:pPr>
      <w:r>
        <w:t xml:space="preserve">1. Increase Automation and Straight-Through Processing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Improve STP to reduce manual workload, errors, and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Progress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82.00%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87.01%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95.00%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38.6%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Status: </w:t>
      </w:r>
      <w:r>
        <w:rPr>
          <w:color w:val="F0AD4E"/>
        </w:rPr>
        <w:t xml:space="preserve">In Progress</w:t>
      </w:r>
    </w:p>
    <w:p>
      <w:pPr>
        <w:spacing w:after="120"/>
      </w:pPr>
      <w:r>
        <w:rPr>
          <w:b/>
          <w:bCs/>
        </w:rPr>
        <w:t xml:space="preserve">Period Change: </w:t>
      </w:r>
      <w:r>
        <w:t xml:space="preserve">STP rate improved by +4.23% (5.1% increase) over the reporting period.</w:t>
      </w:r>
    </w:p>
    <w:p>
      <w:pPr>
        <w:spacing w:after="240"/>
      </w:pPr>
      <w:r>
        <w:rPr>
          <w:b/>
          <w:bCs/>
        </w:rPr>
        <w:t xml:space="preserve">Key Driver: </w:t>
      </w:r>
      <w:r>
        <w:t xml:space="preserve">Data Quality &amp; Reference Alignment contributed +0.66% improvement.</w:t>
      </w:r>
    </w:p>
    <w:p>
      <w:pPr>
        <w:pStyle w:val="Heading3"/>
      </w:pPr>
      <w:r>
        <w:t xml:space="preserve">2. Reduce Processing Time and Improve Client Experience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Reduce cycle time of priority flows by process redesign and digitalization.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Progress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2.60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2.35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1.50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21C24"/>
              </w:rPr>
              <w:t xml:space="preserve">22.8%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Status: </w:t>
      </w:r>
      <w:r>
        <w:rPr>
          <w:color w:val="D9534F"/>
        </w:rPr>
        <w:t xml:space="preserve">Requires Attention</w:t>
      </w:r>
    </w:p>
    <w:p>
      <w:pPr>
        <w:spacing w:after="240"/>
      </w:pPr>
      <w:r>
        <w:rPr>
          <w:b/>
          <w:bCs/>
        </w:rPr>
        <w:t xml:space="preserve">Period Change: </w:t>
      </w:r>
      <w:r>
        <w:t xml:space="preserve">Processing time improved by -0.20 hours (7.9% reduction) over the reporting period.</w:t>
      </w:r>
    </w:p>
    <w:p>
      <w:pPr>
        <w:pStyle w:val="Heading3"/>
      </w:pPr>
      <w:r>
        <w:t xml:space="preserve">3. Strengthen Operational Resilience and Risk Control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Reduce production incidents and improve observability and recovery.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Progress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35.00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28.91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40.6%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Status: </w:t>
      </w:r>
      <w:r>
        <w:rPr>
          <w:color w:val="D9534F"/>
        </w:rPr>
        <w:t xml:space="preserve">Requires Attention</w:t>
      </w:r>
    </w:p>
    <w:p>
      <w:pPr>
        <w:spacing w:after="120"/>
      </w:pPr>
      <w:r>
        <w:rPr>
          <w:b/>
          <w:bCs/>
        </w:rPr>
        <w:t xml:space="preserve">Period Change: </w:t>
      </w:r>
      <w:r>
        <w:t xml:space="preserve">Incident count improved by -4.84 incidents (14.3% reduction) over the reporting period.</w:t>
      </w:r>
    </w:p>
    <w:p>
      <w:pPr>
        <w:spacing w:after="240"/>
      </w:pPr>
      <w:r>
        <w:rPr>
          <w:b/>
          <w:bCs/>
        </w:rPr>
        <w:t xml:space="preserve">Key Driver: </w:t>
      </w:r>
      <w:r>
        <w:t xml:space="preserve">Observability &amp; Incident Reduction initiatives contributed -1.62 incident reduction.</w:t>
      </w:r>
    </w:p>
    <w:p>
      <w:pPr>
        <w:pStyle w:val="Heading2"/>
      </w:pPr>
      <w:r>
        <w:t xml:space="preserve">Recommendations and Next Steps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1. Implement Option 3</w:t>
      </w:r>
    </w:p>
    <w:p>
      <w:pPr>
        <w:spacing w:after="180"/>
      </w:pPr>
      <w:r>
        <w:t xml:space="preserve">Execute Foundational Health &amp; Risk Mitigation strategy with emphasis on addressing the forecasted gaps in processing time and incident count. This option provides the strongest risk-adjusted returns and most robust performance in stress scenarios.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2. Accelerate Processing Time Improvements</w:t>
      </w:r>
    </w:p>
    <w:p>
      <w:pPr>
        <w:spacing w:after="180"/>
      </w:pPr>
      <w:r>
        <w:t xml:space="preserve">With only 22.8% progress toward target, processing time requires focused intervention. Current trajectory shows improvement but remains significantly above expected levels across all forecast periods.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3. Enhance Incident Management Capabilities</w:t>
      </w:r>
    </w:p>
    <w:p>
      <w:pPr>
        <w:spacing w:after="180"/>
      </w:pPr>
      <w:r>
        <w:t xml:space="preserve">While showing positive trends (40.6% progress), incident count forecasts indicate persistent gaps. Continue investment in observability and incident reduction initiatives.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4. Maintain Momentum on Automation</w:t>
      </w:r>
    </w:p>
    <w:p>
      <w:pPr>
        <w:spacing w:after="240"/>
      </w:pPr>
      <w:r>
        <w:t xml:space="preserve">STP rate shows strongest relative progress (38.6%) with positive drivers identified. Continue current trajectory while ensuring data quality and reference alignment efforts remain prioritized.</w:t>
      </w:r>
    </w:p>
    <w:p>
      <w:pPr>
        <w:pStyle w:val="Heading2"/>
      </w:pPr>
      <w:r>
        <w:t xml:space="preserve">Conclusion</w:t>
      </w:r>
    </w:p>
    <w:p>
      <w:r>
        <w:t xml:space="preserve">The organization demonstrates positive momentum across all three strategic objectives, with measurable improvements in automation, processing time, and incident management. However, all KPIs remain below the 75% progress threshold, indicating the need for strategic intervention. Option 3 — Foundational Health &amp; Risk Mitigation is strongly recommended based on its superior risk-adjusted performance and resilience in stress scenarios. Immediate focus should be placed on accelerating processing time improvements and enhancing incident management capabilities to close the identified gaps.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100"/>
      <w:outlineLvl w:val="2"/>
    </w:pPr>
    <w:rPr>
      <w:rFonts w:ascii="Arial" w:cs="Arial" w:eastAsia="Arial" w:hAnsi="Arial"/>
      <w:b/>
      <w:bCs/>
      <w:color w:val="3D6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2026-02-06T14:54:55.367Z</dcterms:created>
  <dcterms:modified xsi:type="dcterms:W3CDTF">2026-02-06T14:54:55.368Z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