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2A6D" w:rsidRPr="004734A9" w:rsidRDefault="00BD71FD" w:rsidP="004734A9">
      <w:pPr>
        <w:pStyle w:val="Titre1"/>
      </w:pPr>
      <w:r w:rsidRPr="004734A9">
        <w:t xml:space="preserve">Diagnostic </w:t>
      </w:r>
      <w:proofErr w:type="spellStart"/>
      <w:r w:rsidRPr="004734A9">
        <w:t>itRWR</w:t>
      </w:r>
      <w:proofErr w:type="spellEnd"/>
      <w:r w:rsidRPr="004734A9">
        <w:t> </w:t>
      </w:r>
    </w:p>
    <w:p w:rsidR="004734A9" w:rsidRDefault="004734A9">
      <w:pPr>
        <w:rPr>
          <w:lang w:val="fr-FR"/>
        </w:rPr>
      </w:pPr>
      <w:r>
        <w:rPr>
          <w:lang w:val="fr-FR"/>
        </w:rPr>
        <w:t xml:space="preserve">Article sur les networks que j’ai extraits de </w:t>
      </w:r>
      <w:proofErr w:type="spellStart"/>
      <w:r>
        <w:rPr>
          <w:lang w:val="fr-FR"/>
        </w:rPr>
        <w:t>Hetionet</w:t>
      </w:r>
      <w:proofErr w:type="spellEnd"/>
      <w:r>
        <w:rPr>
          <w:lang w:val="fr-FR"/>
        </w:rPr>
        <w:t xml:space="preserve"> : </w:t>
      </w:r>
    </w:p>
    <w:p w:rsidR="004734A9" w:rsidRDefault="004734A9">
      <w:pPr>
        <w:rPr>
          <w:lang w:val="fr-FR"/>
        </w:rPr>
      </w:pPr>
      <w:hyperlink r:id="rId4" w:history="1">
        <w:r w:rsidRPr="000C41F0">
          <w:rPr>
            <w:rStyle w:val="Lienhypertexte"/>
            <w:lang w:val="fr-FR"/>
          </w:rPr>
          <w:t>https://elifesciences.org/articles/26726</w:t>
        </w:r>
      </w:hyperlink>
      <w:r>
        <w:rPr>
          <w:lang w:val="fr-FR"/>
        </w:rPr>
        <w:t xml:space="preserve"> </w:t>
      </w:r>
    </w:p>
    <w:p w:rsidR="004734A9" w:rsidRPr="004734A9" w:rsidRDefault="004734A9" w:rsidP="004734A9">
      <w:pPr>
        <w:pStyle w:val="Titre3"/>
      </w:pPr>
      <w:r w:rsidRPr="004734A9">
        <w:t>Description :</w:t>
      </w:r>
    </w:p>
    <w:p w:rsidR="00BD71FD" w:rsidRDefault="00BD71FD">
      <w:pPr>
        <w:rPr>
          <w:lang w:val="fr-FR"/>
        </w:rPr>
      </w:pPr>
      <w:r>
        <w:rPr>
          <w:lang w:val="fr-FR"/>
        </w:rPr>
        <w:t xml:space="preserve">Graines sur le multiplex 1 (composés chimiques / drogues) : </w:t>
      </w:r>
    </w:p>
    <w:p w:rsidR="00BD71FD" w:rsidRPr="00BD71FD" w:rsidRDefault="00BD71FD" w:rsidP="00BD71FD">
      <w:pPr>
        <w:rPr>
          <w:lang w:val="fr-FR"/>
        </w:rPr>
      </w:pPr>
      <w:r>
        <w:rPr>
          <w:lang w:val="fr-FR"/>
        </w:rPr>
        <w:t xml:space="preserve">- </w:t>
      </w:r>
      <w:proofErr w:type="spellStart"/>
      <w:r w:rsidRPr="00BD71FD">
        <w:rPr>
          <w:lang w:val="fr-FR"/>
        </w:rPr>
        <w:t>Vapreotide</w:t>
      </w:r>
      <w:proofErr w:type="spellEnd"/>
    </w:p>
    <w:p w:rsidR="00BD71FD" w:rsidRDefault="00BD71FD" w:rsidP="00BD71FD">
      <w:pPr>
        <w:rPr>
          <w:lang w:val="fr-FR"/>
        </w:rPr>
      </w:pPr>
      <w:r>
        <w:rPr>
          <w:lang w:val="fr-FR"/>
        </w:rPr>
        <w:t xml:space="preserve">- </w:t>
      </w:r>
      <w:proofErr w:type="spellStart"/>
      <w:r w:rsidRPr="00BD71FD">
        <w:rPr>
          <w:lang w:val="fr-FR"/>
        </w:rPr>
        <w:t>Terlipressin</w:t>
      </w:r>
      <w:proofErr w:type="spellEnd"/>
    </w:p>
    <w:p w:rsidR="00BD71FD" w:rsidRDefault="00BD71FD" w:rsidP="00BD71FD">
      <w:pPr>
        <w:rPr>
          <w:lang w:val="fr-FR"/>
        </w:rPr>
      </w:pPr>
      <w:r>
        <w:rPr>
          <w:lang w:val="fr-FR"/>
        </w:rPr>
        <w:t>Ces drogues n’ont pas de lien direct vers la couche 2 (maladies – il existe un graphe biparti entre les couches 1 et 2) et la couche 4 (</w:t>
      </w:r>
      <w:proofErr w:type="spellStart"/>
      <w:r>
        <w:rPr>
          <w:lang w:val="fr-FR"/>
        </w:rPr>
        <w:t>pathways</w:t>
      </w:r>
      <w:proofErr w:type="spellEnd"/>
      <w:r>
        <w:rPr>
          <w:lang w:val="fr-FR"/>
        </w:rPr>
        <w:t xml:space="preserve"> – il n’y a pas de graphe biparti entre les couches 1 et 4).</w:t>
      </w:r>
      <w:r w:rsidR="00742FDA">
        <w:rPr>
          <w:lang w:val="fr-FR"/>
        </w:rPr>
        <w:t xml:space="preserve"> </w:t>
      </w:r>
    </w:p>
    <w:p w:rsidR="00742FDA" w:rsidRDefault="00742FDA" w:rsidP="00BD71FD">
      <w:pPr>
        <w:rPr>
          <w:lang w:val="fr-FR"/>
        </w:rPr>
      </w:pPr>
      <w:r>
        <w:rPr>
          <w:lang w:val="fr-FR"/>
        </w:rPr>
        <w:t>Ces drogues sont connectée</w:t>
      </w:r>
      <w:r w:rsidR="004734A9">
        <w:rPr>
          <w:lang w:val="fr-FR"/>
        </w:rPr>
        <w:t>s</w:t>
      </w:r>
      <w:r>
        <w:rPr>
          <w:lang w:val="fr-FR"/>
        </w:rPr>
        <w:t xml:space="preserve"> entre elles sur la couche 1 et </w:t>
      </w:r>
      <w:proofErr w:type="spellStart"/>
      <w:r>
        <w:rPr>
          <w:lang w:val="fr-FR"/>
        </w:rPr>
        <w:t>intéragissent</w:t>
      </w:r>
      <w:proofErr w:type="spellEnd"/>
      <w:r>
        <w:rPr>
          <w:lang w:val="fr-FR"/>
        </w:rPr>
        <w:t xml:space="preserve"> avec 10 autres drogues (+ ou – en commun, je n’ai pas vérifié). La </w:t>
      </w:r>
      <w:proofErr w:type="spellStart"/>
      <w:r>
        <w:rPr>
          <w:lang w:val="fr-FR"/>
        </w:rPr>
        <w:t>connection</w:t>
      </w:r>
      <w:proofErr w:type="spellEnd"/>
      <w:r>
        <w:rPr>
          <w:lang w:val="fr-FR"/>
        </w:rPr>
        <w:t xml:space="preserve"> représente une similarité chimique</w:t>
      </w:r>
      <w:r w:rsidR="004734A9">
        <w:rPr>
          <w:lang w:val="fr-FR"/>
        </w:rPr>
        <w:t xml:space="preserve"> antre les composés.</w:t>
      </w:r>
    </w:p>
    <w:p w:rsidR="00BD71FD" w:rsidRDefault="00BD71FD" w:rsidP="00BD71FD">
      <w:pPr>
        <w:rPr>
          <w:lang w:val="fr-FR"/>
        </w:rPr>
      </w:pPr>
      <w:proofErr w:type="spellStart"/>
      <w:r w:rsidRPr="00BD71FD">
        <w:rPr>
          <w:lang w:val="fr-FR"/>
        </w:rPr>
        <w:t>Vapreotide</w:t>
      </w:r>
      <w:proofErr w:type="spellEnd"/>
      <w:r>
        <w:rPr>
          <w:lang w:val="fr-FR"/>
        </w:rPr>
        <w:t xml:space="preserve"> est relié directement à 3 gènes du multiplex 3 (corrélation des </w:t>
      </w:r>
      <w:r>
        <w:rPr>
          <w:lang w:val="fr-FR"/>
        </w:rPr>
        <w:t>gènes</w:t>
      </w:r>
      <w:r>
        <w:rPr>
          <w:lang w:val="fr-FR"/>
        </w:rPr>
        <w:t xml:space="preserve"> et </w:t>
      </w:r>
      <w:proofErr w:type="spellStart"/>
      <w:r>
        <w:rPr>
          <w:lang w:val="fr-FR"/>
        </w:rPr>
        <w:t>intéraction</w:t>
      </w:r>
      <w:proofErr w:type="spellEnd"/>
      <w:r>
        <w:rPr>
          <w:lang w:val="fr-FR"/>
        </w:rPr>
        <w:t xml:space="preserve"> des gènes) : </w:t>
      </w:r>
      <w:r w:rsidRPr="00BD71FD">
        <w:rPr>
          <w:lang w:val="fr-FR"/>
        </w:rPr>
        <w:t>SSTR2</w:t>
      </w:r>
      <w:r>
        <w:rPr>
          <w:lang w:val="fr-FR"/>
        </w:rPr>
        <w:t xml:space="preserve">, </w:t>
      </w:r>
      <w:r w:rsidRPr="00BD71FD">
        <w:rPr>
          <w:lang w:val="fr-FR"/>
        </w:rPr>
        <w:t>SSTR5</w:t>
      </w:r>
      <w:r>
        <w:rPr>
          <w:lang w:val="fr-FR"/>
        </w:rPr>
        <w:t xml:space="preserve">, </w:t>
      </w:r>
      <w:r w:rsidRPr="00BD71FD">
        <w:rPr>
          <w:lang w:val="fr-FR"/>
        </w:rPr>
        <w:t>TACR1</w:t>
      </w:r>
    </w:p>
    <w:p w:rsidR="00BD71FD" w:rsidRDefault="00BD71FD" w:rsidP="00BD71FD">
      <w:pPr>
        <w:rPr>
          <w:lang w:val="fr-FR"/>
        </w:rPr>
      </w:pPr>
      <w:proofErr w:type="spellStart"/>
      <w:r w:rsidRPr="00BD71FD">
        <w:rPr>
          <w:lang w:val="fr-FR"/>
        </w:rPr>
        <w:t>Terlipressin</w:t>
      </w:r>
      <w:proofErr w:type="spellEnd"/>
      <w:r>
        <w:rPr>
          <w:lang w:val="fr-FR"/>
        </w:rPr>
        <w:t xml:space="preserve"> est relié à 3 gènes : </w:t>
      </w:r>
      <w:r w:rsidRPr="00BD71FD">
        <w:rPr>
          <w:lang w:val="fr-FR"/>
        </w:rPr>
        <w:t>AVPR1A</w:t>
      </w:r>
      <w:r>
        <w:rPr>
          <w:lang w:val="fr-FR"/>
        </w:rPr>
        <w:t xml:space="preserve">, </w:t>
      </w:r>
      <w:r w:rsidRPr="00BD71FD">
        <w:rPr>
          <w:lang w:val="fr-FR"/>
        </w:rPr>
        <w:t>AVPR1B</w:t>
      </w:r>
      <w:r>
        <w:rPr>
          <w:lang w:val="fr-FR"/>
        </w:rPr>
        <w:t xml:space="preserve">, </w:t>
      </w:r>
      <w:r w:rsidRPr="00BD71FD">
        <w:rPr>
          <w:lang w:val="fr-FR"/>
        </w:rPr>
        <w:t>AVPR2</w:t>
      </w:r>
    </w:p>
    <w:p w:rsidR="00BD71FD" w:rsidRDefault="00BD71FD" w:rsidP="00BD71FD">
      <w:pPr>
        <w:rPr>
          <w:lang w:val="fr-FR"/>
        </w:rPr>
      </w:pPr>
      <w:r>
        <w:rPr>
          <w:lang w:val="fr-FR"/>
        </w:rPr>
        <w:t>Recherche rapide sur le web :</w:t>
      </w:r>
    </w:p>
    <w:p w:rsidR="00BD71FD" w:rsidRDefault="00BD71FD" w:rsidP="00BD71FD">
      <w:proofErr w:type="spellStart"/>
      <w:r w:rsidRPr="00BD71FD">
        <w:rPr>
          <w:lang w:val="fr-FR"/>
        </w:rPr>
        <w:t>Vapreotide</w:t>
      </w:r>
      <w:proofErr w:type="spellEnd"/>
      <w:r>
        <w:rPr>
          <w:lang w:val="fr-FR"/>
        </w:rPr>
        <w:t xml:space="preserve"> est </w:t>
      </w:r>
      <w:r w:rsidRPr="00BD71FD">
        <w:t>principalement utilisée en médecine pour ses effets</w:t>
      </w:r>
      <w:r w:rsidRPr="00BD71FD">
        <w:rPr>
          <w:b/>
          <w:bCs/>
        </w:rPr>
        <w:t xml:space="preserve"> </w:t>
      </w:r>
      <w:r w:rsidRPr="00BD71FD">
        <w:t>antisécrétoires</w:t>
      </w:r>
      <w:r w:rsidRPr="00BD71FD">
        <w:rPr>
          <w:b/>
          <w:bCs/>
        </w:rPr>
        <w:t xml:space="preserve"> </w:t>
      </w:r>
      <w:r w:rsidRPr="00BD71FD">
        <w:t xml:space="preserve">et </w:t>
      </w:r>
      <w:r w:rsidRPr="001C03BB">
        <w:rPr>
          <w:b/>
          <w:bCs/>
        </w:rPr>
        <w:t>vasoconstricteurs</w:t>
      </w:r>
      <w:r w:rsidRPr="00BD71FD">
        <w:t>.</w:t>
      </w:r>
      <w:r>
        <w:t xml:space="preserve"> </w:t>
      </w:r>
      <w:r w:rsidRPr="00BD71FD">
        <w:rPr>
          <w:lang w:val="fr-FR"/>
        </w:rPr>
        <w:t xml:space="preserve">Elle est souvent utilisée en urgence chez les patients atteints de cirrhose hépatique avec </w:t>
      </w:r>
      <w:r w:rsidRPr="001C03BB">
        <w:rPr>
          <w:b/>
          <w:bCs/>
          <w:lang w:val="fr-FR"/>
        </w:rPr>
        <w:t>hypertension</w:t>
      </w:r>
      <w:r w:rsidRPr="00BD71FD">
        <w:rPr>
          <w:lang w:val="fr-FR"/>
        </w:rPr>
        <w:t xml:space="preserve"> portale.</w:t>
      </w:r>
      <w:r w:rsidR="001C03BB">
        <w:rPr>
          <w:lang w:val="fr-FR"/>
        </w:rPr>
        <w:t xml:space="preserve"> </w:t>
      </w:r>
      <w:r w:rsidR="001C03BB" w:rsidRPr="001C03BB">
        <w:t xml:space="preserve">Elle peut être utilisée en cas de fistules digestives, de </w:t>
      </w:r>
      <w:r w:rsidR="001C03BB" w:rsidRPr="001C03BB">
        <w:rPr>
          <w:b/>
          <w:bCs/>
        </w:rPr>
        <w:t>pancréatite</w:t>
      </w:r>
      <w:r w:rsidR="001C03BB" w:rsidRPr="001C03BB">
        <w:t xml:space="preserve"> aiguë ou chronique, et dans certaines conditions où la réduction des sécrétions digestives est bénéfique.</w:t>
      </w:r>
      <w:r w:rsidR="001C03BB">
        <w:t xml:space="preserve"> </w:t>
      </w:r>
      <w:r w:rsidR="001C03BB">
        <w:t xml:space="preserve">Comme d'autres analogues de la somatostatine (ex. </w:t>
      </w:r>
      <w:proofErr w:type="spellStart"/>
      <w:r w:rsidR="001C03BB">
        <w:t>octréotide</w:t>
      </w:r>
      <w:proofErr w:type="spellEnd"/>
      <w:r w:rsidR="001C03BB">
        <w:t>), elle peut être utilisée dans le traitement des tumeurs carcinoïdes et autres tumeurs sécrétantes.</w:t>
      </w:r>
      <w:r w:rsidR="001C03BB">
        <w:t xml:space="preserve"> Effets secondaires : t</w:t>
      </w:r>
      <w:r w:rsidR="001C03BB">
        <w:t>roubles digestifs, douleurs au site d’injection, modification de la glycémie</w:t>
      </w:r>
    </w:p>
    <w:p w:rsidR="001C03BB" w:rsidRDefault="001C03BB" w:rsidP="00BD71FD">
      <w:pPr>
        <w:rPr>
          <w:lang w:val="fr-FR"/>
        </w:rPr>
      </w:pPr>
      <w:r w:rsidRPr="001C03BB">
        <w:t xml:space="preserve">La </w:t>
      </w:r>
      <w:proofErr w:type="spellStart"/>
      <w:r w:rsidRPr="001C03BB">
        <w:t>terlipressine</w:t>
      </w:r>
      <w:proofErr w:type="spellEnd"/>
      <w:r w:rsidRPr="001C03BB">
        <w:t xml:space="preserve"> est un analogue de la </w:t>
      </w:r>
      <w:r w:rsidRPr="001C03BB">
        <w:rPr>
          <w:b/>
          <w:bCs/>
        </w:rPr>
        <w:t>vasopressine</w:t>
      </w:r>
      <w:r w:rsidRPr="001C03BB">
        <w:t xml:space="preserve">, une hormone qui agit principalement sur les vaisseaux sanguins pour provoquer une </w:t>
      </w:r>
      <w:r w:rsidRPr="001C03BB">
        <w:rPr>
          <w:b/>
          <w:bCs/>
        </w:rPr>
        <w:t>vasoconstriction</w:t>
      </w:r>
      <w:r w:rsidRPr="001C03BB">
        <w:t>. Elle est principalement utilisée en médecine d’urgence et en hépatologie.</w:t>
      </w:r>
      <w:r>
        <w:t xml:space="preserve"> </w:t>
      </w:r>
      <w:r w:rsidRPr="001C03BB">
        <w:t xml:space="preserve">Comme la </w:t>
      </w:r>
      <w:proofErr w:type="spellStart"/>
      <w:r w:rsidRPr="001C03BB">
        <w:t>vapréotide</w:t>
      </w:r>
      <w:proofErr w:type="spellEnd"/>
      <w:r w:rsidRPr="001C03BB">
        <w:t xml:space="preserve">, la </w:t>
      </w:r>
      <w:proofErr w:type="spellStart"/>
      <w:r w:rsidRPr="001C03BB">
        <w:t>terlipressine</w:t>
      </w:r>
      <w:proofErr w:type="spellEnd"/>
      <w:r w:rsidRPr="001C03BB">
        <w:t xml:space="preserve"> réduit le flux sanguin dans le système porte (circulation </w:t>
      </w:r>
      <w:r w:rsidRPr="001C03BB">
        <w:lastRenderedPageBreak/>
        <w:t>hépatique), diminuant ainsi la pression sur les varices œsophagiennes et aidant à contrôler les saignements.</w:t>
      </w:r>
      <w:r>
        <w:t xml:space="preserve"> </w:t>
      </w:r>
      <w:r w:rsidRPr="001C03BB">
        <w:t xml:space="preserve">Elle est souvent administrée en urgence chez les patients atteints de cirrhose avec </w:t>
      </w:r>
      <w:r w:rsidRPr="001C03BB">
        <w:rPr>
          <w:b/>
          <w:bCs/>
        </w:rPr>
        <w:t>hypertension</w:t>
      </w:r>
      <w:r w:rsidRPr="001C03BB">
        <w:t xml:space="preserve"> portale.</w:t>
      </w:r>
      <w:r>
        <w:t xml:space="preserve"> </w:t>
      </w:r>
      <w:r w:rsidRPr="001C03BB">
        <w:t xml:space="preserve">Elle agit en augmentant la </w:t>
      </w:r>
      <w:r w:rsidRPr="001C03BB">
        <w:rPr>
          <w:b/>
          <w:bCs/>
        </w:rPr>
        <w:t>pression artérielle</w:t>
      </w:r>
      <w:r w:rsidRPr="001C03BB">
        <w:t xml:space="preserve"> et en réduisant la </w:t>
      </w:r>
      <w:r w:rsidRPr="001C03BB">
        <w:rPr>
          <w:b/>
          <w:bCs/>
        </w:rPr>
        <w:t>vasodilatation</w:t>
      </w:r>
      <w:r w:rsidRPr="001C03BB">
        <w:t xml:space="preserve"> excessive observée dans la cirrhose avancée.</w:t>
      </w:r>
      <w:r>
        <w:t xml:space="preserve"> Effets secondaires : b</w:t>
      </w:r>
      <w:r>
        <w:t>radycardie, hypertension, ischémie, troubles digestifs</w:t>
      </w:r>
    </w:p>
    <w:p w:rsidR="00BD71FD" w:rsidRPr="00BD71FD" w:rsidRDefault="001C03BB" w:rsidP="00BD71FD">
      <w:r>
        <w:rPr>
          <w:noProof/>
          <w14:ligatures w14:val="standardContextual"/>
        </w:rPr>
        <w:drawing>
          <wp:inline distT="0" distB="0" distL="0" distR="0">
            <wp:extent cx="5760720" cy="3244850"/>
            <wp:effectExtent l="0" t="0" r="5080" b="6350"/>
            <wp:docPr id="1979980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0434" name="Image 1979980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FD" w:rsidRDefault="00E63E34" w:rsidP="00BD71FD">
      <w:pPr>
        <w:rPr>
          <w:lang w:val="fr-FR"/>
        </w:rPr>
      </w:pPr>
      <w:r>
        <w:rPr>
          <w:lang w:val="fr-FR"/>
        </w:rPr>
        <w:t>Dans la figure on voit le score associé au top 10 des nœuds dans chaque itération (lignes de couleur) et chaque couche (panels).</w:t>
      </w:r>
    </w:p>
    <w:p w:rsidR="00E63E34" w:rsidRDefault="00E63E34" w:rsidP="00BD71FD">
      <w:pPr>
        <w:rPr>
          <w:lang w:val="fr-FR"/>
        </w:rPr>
      </w:pPr>
      <w:r w:rsidRPr="00EE377A">
        <w:rPr>
          <w:b/>
          <w:bCs/>
          <w:lang w:val="fr-FR"/>
        </w:rPr>
        <w:t>Dans le multiplex 1</w:t>
      </w:r>
      <w:r>
        <w:rPr>
          <w:lang w:val="fr-FR"/>
        </w:rPr>
        <w:t xml:space="preserve"> (drogues), on retrouve nos graines (</w:t>
      </w:r>
      <w:proofErr w:type="spellStart"/>
      <w:r w:rsidRPr="00BD71FD">
        <w:rPr>
          <w:lang w:val="fr-FR"/>
        </w:rPr>
        <w:t>Vapreotide</w:t>
      </w:r>
      <w:proofErr w:type="spellEnd"/>
      <w:r>
        <w:rPr>
          <w:lang w:val="fr-FR"/>
        </w:rPr>
        <w:t xml:space="preserve">, </w:t>
      </w:r>
      <w:proofErr w:type="spellStart"/>
      <w:r w:rsidRPr="00BD71FD">
        <w:rPr>
          <w:lang w:val="fr-FR"/>
        </w:rPr>
        <w:t>Terlipressin</w:t>
      </w:r>
      <w:proofErr w:type="spellEnd"/>
      <w:r>
        <w:rPr>
          <w:lang w:val="fr-FR"/>
        </w:rPr>
        <w:t>)</w:t>
      </w:r>
    </w:p>
    <w:p w:rsidR="00E63E34" w:rsidRDefault="00E63E34" w:rsidP="00BD71FD">
      <w:pPr>
        <w:rPr>
          <w:lang w:val="fr-FR"/>
        </w:rPr>
      </w:pPr>
      <w:r w:rsidRPr="00EE377A">
        <w:rPr>
          <w:b/>
          <w:bCs/>
          <w:lang w:val="fr-FR"/>
        </w:rPr>
        <w:t>Dans le multiplex 2</w:t>
      </w:r>
      <w:r>
        <w:rPr>
          <w:lang w:val="fr-FR"/>
        </w:rPr>
        <w:t xml:space="preserve"> (maladies), on retrouve l’</w:t>
      </w:r>
      <w:proofErr w:type="spellStart"/>
      <w:r w:rsidRPr="00EE377A">
        <w:rPr>
          <w:b/>
          <w:bCs/>
          <w:lang w:val="fr-FR"/>
        </w:rPr>
        <w:t>hypertention</w:t>
      </w:r>
      <w:proofErr w:type="spellEnd"/>
      <w:r>
        <w:rPr>
          <w:lang w:val="fr-FR"/>
        </w:rPr>
        <w:t xml:space="preserve">, le syndrome épileptique, le cancer du pancréas, maladies </w:t>
      </w:r>
      <w:r w:rsidRPr="00EE377A">
        <w:rPr>
          <w:b/>
          <w:bCs/>
          <w:lang w:val="fr-FR"/>
        </w:rPr>
        <w:t>cardio-vasculaires</w:t>
      </w:r>
      <w:r>
        <w:rPr>
          <w:lang w:val="fr-FR"/>
        </w:rPr>
        <w:t xml:space="preserve">, désordre autistique, </w:t>
      </w:r>
      <w:r w:rsidRPr="00EE377A">
        <w:rPr>
          <w:b/>
          <w:bCs/>
          <w:lang w:val="fr-FR"/>
        </w:rPr>
        <w:t>pancréatite</w:t>
      </w:r>
      <w:r>
        <w:rPr>
          <w:lang w:val="fr-FR"/>
        </w:rPr>
        <w:t xml:space="preserve"> …</w:t>
      </w:r>
    </w:p>
    <w:p w:rsidR="00E63E34" w:rsidRDefault="00E63E34" w:rsidP="00BD71FD">
      <w:pPr>
        <w:rPr>
          <w:lang w:val="fr-FR"/>
        </w:rPr>
      </w:pPr>
      <w:r>
        <w:rPr>
          <w:lang w:val="fr-FR"/>
        </w:rPr>
        <w:t>Dans le multiplex 3 (gènes), on retrouve les gènes attendus cités plus haut directement reliés aux drogues plus 4 autres gènes :</w:t>
      </w:r>
    </w:p>
    <w:p w:rsidR="00E63E34" w:rsidRPr="00E63E34" w:rsidRDefault="00E63E34" w:rsidP="00BD71FD">
      <w:pPr>
        <w:rPr>
          <w:lang w:val="en-US"/>
        </w:rPr>
      </w:pPr>
      <w:r w:rsidRPr="00E63E34">
        <w:rPr>
          <w:lang w:val="en-US"/>
        </w:rPr>
        <w:t xml:space="preserve">GNRHR (Gonadotropin Releasing Hormone Receptor) is a Protein Coding gene. Diseases associated with GNRHR include </w:t>
      </w:r>
      <w:hyperlink r:id="rId6" w:tgtFrame="_blank" w:tooltip="See Hypogonadotropic Hypogonadism 7 With Or Without Anosmia at MalaCards" w:history="1">
        <w:r w:rsidRPr="00E63E34">
          <w:rPr>
            <w:rStyle w:val="Lienhypertexte"/>
            <w:lang w:val="en-US"/>
          </w:rPr>
          <w:t>Hypogonadotropic Hypogonadism 7 With Or Without Anosmia</w:t>
        </w:r>
      </w:hyperlink>
      <w:r w:rsidRPr="00E63E34">
        <w:rPr>
          <w:lang w:val="en-US"/>
        </w:rPr>
        <w:t xml:space="preserve"> and </w:t>
      </w:r>
      <w:hyperlink r:id="rId7" w:tgtFrame="_blank" w:tooltip="See Isolated Gonadotropin-Releasing Hormone Deficiency at MalaCards" w:history="1">
        <w:r w:rsidRPr="00E63E34">
          <w:rPr>
            <w:rStyle w:val="Lienhypertexte"/>
            <w:lang w:val="en-US"/>
          </w:rPr>
          <w:t>Isolated Gonadotropin-Releasing Hormone Deficiency</w:t>
        </w:r>
      </w:hyperlink>
      <w:r w:rsidRPr="00E63E34">
        <w:rPr>
          <w:lang w:val="en-US"/>
        </w:rPr>
        <w:t xml:space="preserve">. Among its related pathways are </w:t>
      </w:r>
      <w:hyperlink r:id="rId8" w:tgtFrame="_blank" w:tooltip="See GPCR downstream signalling at Pathcards" w:history="1">
        <w:r w:rsidRPr="00EE377A">
          <w:rPr>
            <w:rStyle w:val="Lienhypertexte"/>
            <w:b/>
            <w:bCs/>
            <w:lang w:val="en-US"/>
          </w:rPr>
          <w:t xml:space="preserve">GPCR downstream </w:t>
        </w:r>
        <w:proofErr w:type="spellStart"/>
        <w:r w:rsidRPr="00EE377A">
          <w:rPr>
            <w:rStyle w:val="Lienhypertexte"/>
            <w:b/>
            <w:bCs/>
            <w:lang w:val="en-US"/>
          </w:rPr>
          <w:t>signalling</w:t>
        </w:r>
        <w:proofErr w:type="spellEnd"/>
      </w:hyperlink>
      <w:r w:rsidRPr="00EE377A">
        <w:rPr>
          <w:b/>
          <w:bCs/>
          <w:lang w:val="en-US"/>
        </w:rPr>
        <w:t xml:space="preserve"> </w:t>
      </w:r>
      <w:r w:rsidRPr="00E63E34">
        <w:rPr>
          <w:lang w:val="en-US"/>
        </w:rPr>
        <w:t xml:space="preserve">and </w:t>
      </w:r>
      <w:hyperlink r:id="rId9" w:tgtFrame="_blank" w:tooltip="See Class A/1 (Rhodopsin-like receptors) at Pathcards" w:history="1">
        <w:r w:rsidRPr="00EE377A">
          <w:rPr>
            <w:rStyle w:val="Lienhypertexte"/>
            <w:b/>
            <w:bCs/>
            <w:lang w:val="en-US"/>
          </w:rPr>
          <w:t>Class A/1 (Rhodopsin-like receptors</w:t>
        </w:r>
        <w:r w:rsidRPr="00E63E34">
          <w:rPr>
            <w:rStyle w:val="Lienhypertexte"/>
            <w:lang w:val="en-US"/>
          </w:rPr>
          <w:t>)</w:t>
        </w:r>
      </w:hyperlink>
      <w:r w:rsidRPr="00E63E34">
        <w:rPr>
          <w:lang w:val="en-US"/>
        </w:rPr>
        <w:t xml:space="preserve">. Gene Ontology (GO) annotations related to this gene </w:t>
      </w:r>
      <w:r w:rsidRPr="00E63E34">
        <w:rPr>
          <w:lang w:val="en-US"/>
        </w:rPr>
        <w:lastRenderedPageBreak/>
        <w:t xml:space="preserve">include </w:t>
      </w:r>
      <w:r w:rsidRPr="00E63E34">
        <w:rPr>
          <w:i/>
          <w:iCs/>
          <w:lang w:val="en-US"/>
        </w:rPr>
        <w:t>G protein-coupled receptor activity</w:t>
      </w:r>
      <w:r w:rsidRPr="00E63E34">
        <w:rPr>
          <w:lang w:val="en-US"/>
        </w:rPr>
        <w:t xml:space="preserve"> and </w:t>
      </w:r>
      <w:r w:rsidRPr="00E63E34">
        <w:rPr>
          <w:i/>
          <w:iCs/>
          <w:lang w:val="en-US"/>
        </w:rPr>
        <w:t>gonadotropin-releasing hormone receptor activity</w:t>
      </w:r>
      <w:r w:rsidRPr="00E63E34">
        <w:rPr>
          <w:lang w:val="en-US"/>
        </w:rPr>
        <w:t xml:space="preserve">. An important paralog of this gene is </w:t>
      </w:r>
      <w:hyperlink r:id="rId10" w:tgtFrame="_blank" w:history="1">
        <w:r w:rsidRPr="00EE377A">
          <w:rPr>
            <w:rStyle w:val="Lienhypertexte"/>
            <w:b/>
            <w:bCs/>
            <w:lang w:val="en-US"/>
          </w:rPr>
          <w:t>AVPR1A</w:t>
        </w:r>
      </w:hyperlink>
      <w:r w:rsidRPr="00E63E34">
        <w:rPr>
          <w:lang w:val="en-US"/>
        </w:rPr>
        <w:t>.</w:t>
      </w:r>
    </w:p>
    <w:p w:rsidR="00E63E34" w:rsidRDefault="00E63E34" w:rsidP="00BD71FD">
      <w:r w:rsidRPr="00E63E34">
        <w:rPr>
          <w:lang w:val="en-US"/>
        </w:rPr>
        <w:t xml:space="preserve">OXTR (Oxytocin Receptor) is a Protein Coding gene. Diseases associated with OXTR include </w:t>
      </w:r>
      <w:hyperlink r:id="rId11" w:tgtFrame="_blank" w:tooltip="See Rippling Muscle Disease 2 at MalaCards" w:history="1">
        <w:r w:rsidRPr="00E63E34">
          <w:rPr>
            <w:rStyle w:val="Lienhypertexte"/>
            <w:lang w:val="en-US"/>
          </w:rPr>
          <w:t>Rippling Muscle Disease 2</w:t>
        </w:r>
      </w:hyperlink>
      <w:r w:rsidRPr="00E63E34">
        <w:rPr>
          <w:lang w:val="en-US"/>
        </w:rPr>
        <w:t xml:space="preserve"> and </w:t>
      </w:r>
      <w:hyperlink r:id="rId12" w:tgtFrame="_blank" w:tooltip="See Long Qt Syndrome 9 at MalaCards" w:history="1">
        <w:r w:rsidRPr="00E63E34">
          <w:rPr>
            <w:rStyle w:val="Lienhypertexte"/>
            <w:lang w:val="en-US"/>
          </w:rPr>
          <w:t>Long Qt Syndrome 9</w:t>
        </w:r>
      </w:hyperlink>
      <w:r w:rsidRPr="00E63E34">
        <w:rPr>
          <w:lang w:val="en-US"/>
        </w:rPr>
        <w:t xml:space="preserve">. Among its related pathways are </w:t>
      </w:r>
      <w:hyperlink r:id="rId13" w:tgtFrame="_blank" w:tooltip="See Class A/1 (Rhodopsin-like receptors) at Pathcards" w:history="1">
        <w:r w:rsidRPr="00EE377A">
          <w:rPr>
            <w:rStyle w:val="Lienhypertexte"/>
            <w:b/>
            <w:bCs/>
            <w:lang w:val="en-US"/>
          </w:rPr>
          <w:t>Class A/1 (Rhodopsin-like receptors)</w:t>
        </w:r>
      </w:hyperlink>
      <w:r w:rsidRPr="00EE377A">
        <w:rPr>
          <w:b/>
          <w:bCs/>
          <w:lang w:val="en-US"/>
        </w:rPr>
        <w:t xml:space="preserve"> </w:t>
      </w:r>
      <w:r w:rsidRPr="00EE377A">
        <w:rPr>
          <w:lang w:val="en-US"/>
        </w:rPr>
        <w:t>and</w:t>
      </w:r>
      <w:r w:rsidRPr="00EE377A">
        <w:rPr>
          <w:b/>
          <w:bCs/>
          <w:lang w:val="en-US"/>
        </w:rPr>
        <w:t xml:space="preserve"> </w:t>
      </w:r>
      <w:hyperlink r:id="rId14" w:tgtFrame="_blank" w:tooltip="See GPCR downstream signalling at Pathcards" w:history="1">
        <w:r w:rsidRPr="00EE377A">
          <w:rPr>
            <w:rStyle w:val="Lienhypertexte"/>
            <w:b/>
            <w:bCs/>
            <w:lang w:val="en-US"/>
          </w:rPr>
          <w:t xml:space="preserve">GPCR downstream </w:t>
        </w:r>
        <w:proofErr w:type="spellStart"/>
        <w:r w:rsidRPr="00EE377A">
          <w:rPr>
            <w:rStyle w:val="Lienhypertexte"/>
            <w:b/>
            <w:bCs/>
            <w:lang w:val="en-US"/>
          </w:rPr>
          <w:t>signalling</w:t>
        </w:r>
        <w:proofErr w:type="spellEnd"/>
      </w:hyperlink>
      <w:r w:rsidRPr="00E63E34">
        <w:rPr>
          <w:lang w:val="en-US"/>
        </w:rPr>
        <w:t xml:space="preserve">. Gene Ontology (GO) annotations related to this gene include </w:t>
      </w:r>
      <w:r w:rsidRPr="00E63E34">
        <w:rPr>
          <w:i/>
          <w:iCs/>
          <w:lang w:val="en-US"/>
        </w:rPr>
        <w:t>G protein-coupled receptor activity</w:t>
      </w:r>
      <w:r w:rsidRPr="00E63E34">
        <w:rPr>
          <w:lang w:val="en-US"/>
        </w:rPr>
        <w:t xml:space="preserve"> and </w:t>
      </w:r>
      <w:r w:rsidRPr="00E63E34">
        <w:rPr>
          <w:i/>
          <w:iCs/>
          <w:lang w:val="en-US"/>
        </w:rPr>
        <w:t>peptide hormone binding</w:t>
      </w:r>
      <w:r w:rsidRPr="00E63E34">
        <w:rPr>
          <w:lang w:val="en-US"/>
        </w:rPr>
        <w:t xml:space="preserve">. </w:t>
      </w:r>
      <w:r w:rsidRPr="00E63E34">
        <w:t xml:space="preserve">An important </w:t>
      </w:r>
      <w:proofErr w:type="spellStart"/>
      <w:r w:rsidRPr="00E63E34">
        <w:t>paralog</w:t>
      </w:r>
      <w:proofErr w:type="spellEnd"/>
      <w:r w:rsidRPr="00E63E34">
        <w:t xml:space="preserve"> of </w:t>
      </w:r>
      <w:proofErr w:type="spellStart"/>
      <w:r w:rsidRPr="00E63E34">
        <w:t>this</w:t>
      </w:r>
      <w:proofErr w:type="spellEnd"/>
      <w:r w:rsidRPr="00E63E34">
        <w:t xml:space="preserve"> </w:t>
      </w:r>
      <w:proofErr w:type="spellStart"/>
      <w:r w:rsidRPr="00E63E34">
        <w:t>gene</w:t>
      </w:r>
      <w:proofErr w:type="spellEnd"/>
      <w:r w:rsidRPr="00E63E34">
        <w:t xml:space="preserve"> </w:t>
      </w:r>
      <w:proofErr w:type="spellStart"/>
      <w:r w:rsidRPr="00E63E34">
        <w:t>is</w:t>
      </w:r>
      <w:proofErr w:type="spellEnd"/>
      <w:r w:rsidRPr="00E63E34">
        <w:t xml:space="preserve"> </w:t>
      </w:r>
      <w:hyperlink r:id="rId15" w:tgtFrame="_blank" w:history="1">
        <w:r w:rsidRPr="00EE377A">
          <w:rPr>
            <w:rStyle w:val="Lienhypertexte"/>
            <w:b/>
            <w:bCs/>
          </w:rPr>
          <w:t>AVPR1B</w:t>
        </w:r>
      </w:hyperlink>
      <w:r w:rsidRPr="00E63E34">
        <w:t>.</w:t>
      </w:r>
    </w:p>
    <w:p w:rsidR="00E63E34" w:rsidRPr="00E63E34" w:rsidRDefault="00E63E34" w:rsidP="00BD71FD">
      <w:pPr>
        <w:rPr>
          <w:lang w:val="en-US"/>
        </w:rPr>
      </w:pPr>
      <w:r w:rsidRPr="00E63E34">
        <w:rPr>
          <w:lang w:val="en-US"/>
        </w:rPr>
        <w:t xml:space="preserve">GUCY2C (Guanylate Cyclase 2C) is a Protein Coding gene. Diseases associated with GUCY2C include </w:t>
      </w:r>
      <w:hyperlink r:id="rId16" w:tgtFrame="_blank" w:tooltip="See Meconium Ileus at MalaCards" w:history="1">
        <w:r w:rsidRPr="00E63E34">
          <w:rPr>
            <w:rStyle w:val="Lienhypertexte"/>
            <w:lang w:val="en-US"/>
          </w:rPr>
          <w:t>Meconium Ileus</w:t>
        </w:r>
      </w:hyperlink>
      <w:r w:rsidRPr="00E63E34">
        <w:rPr>
          <w:lang w:val="en-US"/>
        </w:rPr>
        <w:t xml:space="preserve"> and </w:t>
      </w:r>
      <w:hyperlink r:id="rId17" w:tgtFrame="_blank" w:tooltip="See Diarrhea 6 at MalaCards" w:history="1">
        <w:r w:rsidRPr="00EE377A">
          <w:rPr>
            <w:rStyle w:val="Lienhypertexte"/>
            <w:b/>
            <w:bCs/>
            <w:lang w:val="en-US"/>
          </w:rPr>
          <w:t>Diarrhea</w:t>
        </w:r>
        <w:r w:rsidRPr="00E63E34">
          <w:rPr>
            <w:rStyle w:val="Lienhypertexte"/>
            <w:lang w:val="en-US"/>
          </w:rPr>
          <w:t xml:space="preserve"> 6</w:t>
        </w:r>
      </w:hyperlink>
      <w:r w:rsidRPr="00E63E34">
        <w:rPr>
          <w:lang w:val="en-US"/>
        </w:rPr>
        <w:t xml:space="preserve">. Among its related pathways are </w:t>
      </w:r>
      <w:hyperlink r:id="rId18" w:tgtFrame="_blank" w:tooltip="See Uptake and actions of bacterial toxins at Pathcards" w:history="1">
        <w:r w:rsidRPr="00E63E34">
          <w:rPr>
            <w:rStyle w:val="Lienhypertexte"/>
            <w:lang w:val="en-US"/>
          </w:rPr>
          <w:t>Uptake and actions of bacterial toxins</w:t>
        </w:r>
      </w:hyperlink>
      <w:r w:rsidRPr="00E63E34">
        <w:rPr>
          <w:lang w:val="en-US"/>
        </w:rPr>
        <w:t xml:space="preserve"> and </w:t>
      </w:r>
      <w:hyperlink r:id="rId19" w:tgtFrame="_blank" w:tooltip="See Digestion and absorption at Pathcards" w:history="1">
        <w:r w:rsidRPr="00EE377A">
          <w:rPr>
            <w:rStyle w:val="Lienhypertexte"/>
            <w:b/>
            <w:bCs/>
            <w:lang w:val="en-US"/>
          </w:rPr>
          <w:t>Digestion and absorption</w:t>
        </w:r>
      </w:hyperlink>
      <w:r w:rsidRPr="00E63E34">
        <w:rPr>
          <w:lang w:val="en-US"/>
        </w:rPr>
        <w:t xml:space="preserve">. Gene Ontology (GO) annotations related to this gene include </w:t>
      </w:r>
      <w:r w:rsidRPr="00E63E34">
        <w:rPr>
          <w:i/>
          <w:iCs/>
          <w:lang w:val="en-US"/>
        </w:rPr>
        <w:t>transferase activity, transferring phosphorus-containing groups</w:t>
      </w:r>
      <w:r w:rsidRPr="00E63E34">
        <w:rPr>
          <w:lang w:val="en-US"/>
        </w:rPr>
        <w:t xml:space="preserve"> and </w:t>
      </w:r>
      <w:r w:rsidRPr="00E63E34">
        <w:rPr>
          <w:i/>
          <w:iCs/>
          <w:lang w:val="en-US"/>
        </w:rPr>
        <w:t>protein tyrosine kinase activity</w:t>
      </w:r>
      <w:r w:rsidRPr="00E63E34">
        <w:rPr>
          <w:lang w:val="en-US"/>
        </w:rPr>
        <w:t xml:space="preserve">. An important paralog of this gene is </w:t>
      </w:r>
      <w:hyperlink r:id="rId20" w:tgtFrame="_blank" w:history="1">
        <w:r w:rsidRPr="00E63E34">
          <w:rPr>
            <w:rStyle w:val="Lienhypertexte"/>
            <w:lang w:val="en-US"/>
          </w:rPr>
          <w:t>GUCY2F</w:t>
        </w:r>
      </w:hyperlink>
      <w:r w:rsidRPr="00E63E34">
        <w:rPr>
          <w:lang w:val="en-US"/>
        </w:rPr>
        <w:t>.</w:t>
      </w:r>
    </w:p>
    <w:p w:rsidR="00E63E34" w:rsidRDefault="00E63E34" w:rsidP="00BD71FD">
      <w:r w:rsidRPr="00E63E34">
        <w:rPr>
          <w:lang w:val="en-US"/>
        </w:rPr>
        <w:t xml:space="preserve">SSTR3 (Somatostatin Receptor 3) is a Protein Coding gene. Diseases associated with SSTR3 include </w:t>
      </w:r>
      <w:hyperlink r:id="rId21" w:tgtFrame="_blank" w:tooltip="See Vipoma at MalaCards" w:history="1">
        <w:proofErr w:type="spellStart"/>
        <w:r w:rsidRPr="00E63E34">
          <w:rPr>
            <w:rStyle w:val="Lienhypertexte"/>
            <w:lang w:val="en-US"/>
          </w:rPr>
          <w:t>Vipoma</w:t>
        </w:r>
        <w:proofErr w:type="spellEnd"/>
      </w:hyperlink>
      <w:r w:rsidRPr="00E63E34">
        <w:rPr>
          <w:lang w:val="en-US"/>
        </w:rPr>
        <w:t xml:space="preserve"> and </w:t>
      </w:r>
      <w:hyperlink r:id="rId22" w:tgtFrame="_blank" w:tooltip="See Pituitary Adenoma at MalaCards" w:history="1">
        <w:r w:rsidRPr="00E63E34">
          <w:rPr>
            <w:rStyle w:val="Lienhypertexte"/>
            <w:lang w:val="en-US"/>
          </w:rPr>
          <w:t>Pituitary Adenoma</w:t>
        </w:r>
      </w:hyperlink>
      <w:r w:rsidRPr="00E63E34">
        <w:rPr>
          <w:lang w:val="en-US"/>
        </w:rPr>
        <w:t xml:space="preserve">. Among its related pathways are </w:t>
      </w:r>
      <w:hyperlink r:id="rId23" w:tgtFrame="_blank" w:tooltip="See Class A/1 (Rhodopsin-like receptors) at Pathcards" w:history="1">
        <w:r w:rsidRPr="00EE377A">
          <w:rPr>
            <w:rStyle w:val="Lienhypertexte"/>
            <w:b/>
            <w:bCs/>
            <w:lang w:val="en-US"/>
          </w:rPr>
          <w:t>Class A/1 (Rhodopsin-like receptors)</w:t>
        </w:r>
      </w:hyperlink>
      <w:r w:rsidRPr="00EE377A">
        <w:rPr>
          <w:b/>
          <w:bCs/>
          <w:lang w:val="en-US"/>
        </w:rPr>
        <w:t xml:space="preserve"> and </w:t>
      </w:r>
      <w:hyperlink r:id="rId24" w:tgtFrame="_blank" w:tooltip="See GPCR downstream signalling at Pathcards" w:history="1">
        <w:r w:rsidRPr="00EE377A">
          <w:rPr>
            <w:rStyle w:val="Lienhypertexte"/>
            <w:b/>
            <w:bCs/>
            <w:lang w:val="en-US"/>
          </w:rPr>
          <w:t xml:space="preserve">GPCR downstream </w:t>
        </w:r>
        <w:proofErr w:type="spellStart"/>
        <w:r w:rsidRPr="00EE377A">
          <w:rPr>
            <w:rStyle w:val="Lienhypertexte"/>
            <w:b/>
            <w:bCs/>
            <w:lang w:val="en-US"/>
          </w:rPr>
          <w:t>signalling</w:t>
        </w:r>
        <w:proofErr w:type="spellEnd"/>
      </w:hyperlink>
      <w:r w:rsidRPr="00EE377A">
        <w:rPr>
          <w:b/>
          <w:bCs/>
          <w:lang w:val="en-US"/>
        </w:rPr>
        <w:t>.</w:t>
      </w:r>
      <w:r w:rsidRPr="00E63E34">
        <w:rPr>
          <w:lang w:val="en-US"/>
        </w:rPr>
        <w:t xml:space="preserve"> Gene Ontology (GO) annotations related to this gene include </w:t>
      </w:r>
      <w:r w:rsidRPr="00E63E34">
        <w:rPr>
          <w:i/>
          <w:iCs/>
          <w:lang w:val="en-US"/>
        </w:rPr>
        <w:t>G protein-coupled receptor activity</w:t>
      </w:r>
      <w:r w:rsidRPr="00E63E34">
        <w:rPr>
          <w:lang w:val="en-US"/>
        </w:rPr>
        <w:t xml:space="preserve"> and </w:t>
      </w:r>
      <w:r w:rsidRPr="00E63E34">
        <w:rPr>
          <w:i/>
          <w:iCs/>
          <w:lang w:val="en-US"/>
        </w:rPr>
        <w:t>somatostatin receptor activity</w:t>
      </w:r>
      <w:r w:rsidRPr="00E63E34">
        <w:rPr>
          <w:lang w:val="en-US"/>
        </w:rPr>
        <w:t xml:space="preserve">. </w:t>
      </w:r>
      <w:r w:rsidRPr="00E63E34">
        <w:t xml:space="preserve">An important </w:t>
      </w:r>
      <w:proofErr w:type="spellStart"/>
      <w:r w:rsidRPr="00E63E34">
        <w:t>paralog</w:t>
      </w:r>
      <w:proofErr w:type="spellEnd"/>
      <w:r w:rsidRPr="00E63E34">
        <w:t xml:space="preserve"> of </w:t>
      </w:r>
      <w:proofErr w:type="spellStart"/>
      <w:r w:rsidRPr="00E63E34">
        <w:t>this</w:t>
      </w:r>
      <w:proofErr w:type="spellEnd"/>
      <w:r w:rsidRPr="00E63E34">
        <w:t xml:space="preserve"> </w:t>
      </w:r>
      <w:proofErr w:type="spellStart"/>
      <w:r w:rsidRPr="00E63E34">
        <w:t>gene</w:t>
      </w:r>
      <w:proofErr w:type="spellEnd"/>
      <w:r w:rsidRPr="00E63E34">
        <w:t xml:space="preserve"> </w:t>
      </w:r>
      <w:proofErr w:type="spellStart"/>
      <w:r w:rsidRPr="00E63E34">
        <w:t>is</w:t>
      </w:r>
      <w:proofErr w:type="spellEnd"/>
      <w:r w:rsidRPr="00E63E34">
        <w:t xml:space="preserve"> </w:t>
      </w:r>
      <w:hyperlink r:id="rId25" w:tgtFrame="_blank" w:history="1">
        <w:r w:rsidRPr="00EE377A">
          <w:rPr>
            <w:rStyle w:val="Lienhypertexte"/>
            <w:b/>
            <w:bCs/>
          </w:rPr>
          <w:t>SSTR5</w:t>
        </w:r>
      </w:hyperlink>
      <w:r w:rsidRPr="00E63E34">
        <w:t>.</w:t>
      </w:r>
    </w:p>
    <w:p w:rsidR="00E63E34" w:rsidRDefault="00E63E34" w:rsidP="00BD71FD">
      <w:pPr>
        <w:rPr>
          <w:lang w:val="fr-FR"/>
        </w:rPr>
      </w:pPr>
      <w:r>
        <w:rPr>
          <w:lang w:val="fr-FR"/>
        </w:rPr>
        <w:t xml:space="preserve">Dans le multiplex </w:t>
      </w:r>
      <w:r>
        <w:rPr>
          <w:lang w:val="fr-FR"/>
        </w:rPr>
        <w:t>4 (</w:t>
      </w:r>
      <w:proofErr w:type="spellStart"/>
      <w:r>
        <w:rPr>
          <w:lang w:val="fr-FR"/>
        </w:rPr>
        <w:t>pathways</w:t>
      </w:r>
      <w:proofErr w:type="spellEnd"/>
      <w:r>
        <w:rPr>
          <w:lang w:val="fr-FR"/>
        </w:rPr>
        <w:t xml:space="preserve">) on retrouve les </w:t>
      </w:r>
      <w:proofErr w:type="spellStart"/>
      <w:r>
        <w:rPr>
          <w:lang w:val="fr-FR"/>
        </w:rPr>
        <w:t>pathways</w:t>
      </w:r>
      <w:proofErr w:type="spellEnd"/>
      <w:r>
        <w:rPr>
          <w:lang w:val="fr-FR"/>
        </w:rPr>
        <w:t xml:space="preserve"> lié</w:t>
      </w:r>
      <w:r w:rsidR="00EE377A">
        <w:rPr>
          <w:lang w:val="fr-FR"/>
        </w:rPr>
        <w:t xml:space="preserve">s à la </w:t>
      </w:r>
      <w:r w:rsidR="00EE377A" w:rsidRPr="00EE377A">
        <w:rPr>
          <w:b/>
          <w:bCs/>
          <w:lang w:val="fr-FR"/>
        </w:rPr>
        <w:t xml:space="preserve">signalisation des </w:t>
      </w:r>
      <w:proofErr w:type="spellStart"/>
      <w:r w:rsidR="00EE377A" w:rsidRPr="00EE377A">
        <w:rPr>
          <w:b/>
          <w:bCs/>
          <w:lang w:val="fr-FR"/>
        </w:rPr>
        <w:t>recepteurs</w:t>
      </w:r>
      <w:proofErr w:type="spellEnd"/>
      <w:r w:rsidR="00EE377A" w:rsidRPr="00EE377A">
        <w:rPr>
          <w:b/>
          <w:bCs/>
          <w:lang w:val="fr-FR"/>
        </w:rPr>
        <w:t xml:space="preserve"> couplés au protéines G</w:t>
      </w:r>
      <w:r w:rsidR="00EE377A">
        <w:rPr>
          <w:lang w:val="fr-FR"/>
        </w:rPr>
        <w:t xml:space="preserve"> et à la régulation de l’homéostasie de l’eau rénale via la </w:t>
      </w:r>
      <w:r w:rsidR="00EE377A" w:rsidRPr="00EE377A">
        <w:rPr>
          <w:b/>
          <w:bCs/>
          <w:lang w:val="fr-FR"/>
        </w:rPr>
        <w:t>vasopressin</w:t>
      </w:r>
      <w:r w:rsidR="00EE377A">
        <w:rPr>
          <w:b/>
          <w:bCs/>
          <w:lang w:val="fr-FR"/>
        </w:rPr>
        <w:t>e</w:t>
      </w:r>
    </w:p>
    <w:p w:rsidR="00EE377A" w:rsidRPr="00202CCB" w:rsidRDefault="00EE377A" w:rsidP="004734A9">
      <w:pPr>
        <w:pStyle w:val="Titre3"/>
      </w:pPr>
      <w:r w:rsidRPr="00202CCB">
        <w:t>Remarques :</w:t>
      </w:r>
    </w:p>
    <w:p w:rsidR="00EE377A" w:rsidRDefault="00EE377A" w:rsidP="00BD71FD">
      <w:pPr>
        <w:rPr>
          <w:lang w:val="fr-FR"/>
        </w:rPr>
      </w:pPr>
      <w:r>
        <w:rPr>
          <w:lang w:val="fr-FR"/>
        </w:rPr>
        <w:t>Les amplitudes des scores sont très variables d’une couche à l’autre ce qui parait naturel notamment pour la couche 2 des maladies qui n’a pas de lien direct. Cependant les maladies sélectionnées ont du sens au vu de l’effet attendu des drogues graines.</w:t>
      </w:r>
    </w:p>
    <w:p w:rsidR="00EE377A" w:rsidRDefault="00EE377A" w:rsidP="00BD71FD">
      <w:pPr>
        <w:rPr>
          <w:lang w:val="fr-FR"/>
        </w:rPr>
      </w:pPr>
      <w:r>
        <w:rPr>
          <w:lang w:val="fr-FR"/>
        </w:rPr>
        <w:t xml:space="preserve">Le score explose dans la couche 4 des </w:t>
      </w:r>
      <w:proofErr w:type="spellStart"/>
      <w:r>
        <w:rPr>
          <w:lang w:val="fr-FR"/>
        </w:rPr>
        <w:t>pathways</w:t>
      </w:r>
      <w:proofErr w:type="spellEnd"/>
      <w:r>
        <w:rPr>
          <w:lang w:val="fr-FR"/>
        </w:rPr>
        <w:t xml:space="preserve"> qui n’a pourtant pas de lien direct avec les drogues. Presque tous les gènes détectés de la couche 3 sont impliqués dans les mêmes voies</w:t>
      </w:r>
      <w:r w:rsidR="00202CCB">
        <w:rPr>
          <w:lang w:val="fr-FR"/>
        </w:rPr>
        <w:t xml:space="preserve"> et notamment « </w:t>
      </w:r>
      <w:proofErr w:type="spellStart"/>
      <w:r w:rsidR="00202CCB">
        <w:rPr>
          <w:lang w:val="fr-FR"/>
        </w:rPr>
        <w:t>Signalling</w:t>
      </w:r>
      <w:proofErr w:type="spellEnd"/>
      <w:r w:rsidR="00202CCB">
        <w:rPr>
          <w:lang w:val="fr-FR"/>
        </w:rPr>
        <w:t xml:space="preserve"> by GPCR </w:t>
      </w:r>
      <w:proofErr w:type="gramStart"/>
      <w:r w:rsidR="00202CCB">
        <w:rPr>
          <w:lang w:val="fr-FR"/>
        </w:rPr>
        <w:t>» </w:t>
      </w:r>
      <w:r>
        <w:rPr>
          <w:lang w:val="fr-FR"/>
        </w:rPr>
        <w:t xml:space="preserve"> et</w:t>
      </w:r>
      <w:proofErr w:type="gramEnd"/>
      <w:r>
        <w:rPr>
          <w:lang w:val="fr-FR"/>
        </w:rPr>
        <w:t xml:space="preserve"> ces voies sont très proches et sont surement connectées entre elles (à vérifier, il y a un lien si le chevauchement de leur gènes a un indice Jaccard &gt; 0.5). </w:t>
      </w:r>
    </w:p>
    <w:p w:rsidR="00202CCB" w:rsidRDefault="00202CCB" w:rsidP="00BD71FD">
      <w:pPr>
        <w:rPr>
          <w:lang w:val="fr-FR"/>
        </w:rPr>
      </w:pPr>
      <w:r>
        <w:rPr>
          <w:lang w:val="fr-FR"/>
        </w:rPr>
        <w:lastRenderedPageBreak/>
        <w:t xml:space="preserve">A l’itération 0, aucun </w:t>
      </w:r>
      <w:proofErr w:type="spellStart"/>
      <w:r>
        <w:rPr>
          <w:lang w:val="fr-FR"/>
        </w:rPr>
        <w:t>pathway</w:t>
      </w:r>
      <w:proofErr w:type="spellEnd"/>
      <w:r>
        <w:rPr>
          <w:lang w:val="fr-FR"/>
        </w:rPr>
        <w:t xml:space="preserve"> ne ressort vraiment (due à la valeur 0.5 – problème d’échelle, sinon comparable aux couches 2 et 3, ~0.001 pour le plus haut). </w:t>
      </w:r>
    </w:p>
    <w:p w:rsidR="00EE377A" w:rsidRDefault="00202CCB" w:rsidP="00BD71FD">
      <w:pPr>
        <w:rPr>
          <w:lang w:val="fr-FR"/>
        </w:rPr>
      </w:pPr>
      <w:r>
        <w:rPr>
          <w:lang w:val="fr-FR"/>
        </w:rPr>
        <w:t xml:space="preserve">A part pour le cas de la couche 4 où l’itération 0 est plus basse que pour les autres itérations puis une diminution des scores au fur et à mesure des itérations, ce qui pourrait s’expliquer par le fait qu’il n’existe aucun lien entre ces couches par rapport aux autres. Sinon, on voit un fort score à itération 0, une forte diminution à itération 1 puis une augmentation progressive pour les itérations suivantes. </w:t>
      </w:r>
    </w:p>
    <w:p w:rsidR="004734A9" w:rsidRDefault="004734A9" w:rsidP="00BD71FD">
      <w:pPr>
        <w:rPr>
          <w:lang w:val="fr-FR"/>
        </w:rPr>
      </w:pPr>
    </w:p>
    <w:p w:rsidR="004734A9" w:rsidRPr="004734A9" w:rsidRDefault="004734A9" w:rsidP="004734A9">
      <w:pPr>
        <w:pStyle w:val="Titre3"/>
      </w:pPr>
      <w:r w:rsidRPr="004734A9">
        <w:t>Discussion :</w:t>
      </w:r>
    </w:p>
    <w:p w:rsidR="004734A9" w:rsidRDefault="004734A9" w:rsidP="00BD71FD">
      <w:pPr>
        <w:rPr>
          <w:lang w:val="fr-FR"/>
        </w:rPr>
      </w:pPr>
      <w:r>
        <w:rPr>
          <w:lang w:val="fr-FR"/>
        </w:rPr>
        <w:t xml:space="preserve">Combien d’itérations ? Dans la couche 2 et encore plus dans la couche 4 certain nœud n’apparaissent pas à toutes les itérations. Il semblerait qu’il faille garder un nombre d’itération suffisamment grand pour être capable d’aller explorer les couches qui sont moins </w:t>
      </w:r>
      <w:r w:rsidR="009C27CA">
        <w:rPr>
          <w:lang w:val="fr-FR"/>
        </w:rPr>
        <w:t xml:space="preserve">ou pas </w:t>
      </w:r>
      <w:r>
        <w:rPr>
          <w:lang w:val="fr-FR"/>
        </w:rPr>
        <w:t>connectée</w:t>
      </w:r>
      <w:r w:rsidR="009C27CA">
        <w:rPr>
          <w:lang w:val="fr-FR"/>
        </w:rPr>
        <w:t xml:space="preserve"> à la couche comportant les </w:t>
      </w:r>
      <w:proofErr w:type="spellStart"/>
      <w:r w:rsidR="009C27CA">
        <w:rPr>
          <w:lang w:val="fr-FR"/>
        </w:rPr>
        <w:t>seeds</w:t>
      </w:r>
      <w:proofErr w:type="spellEnd"/>
      <w:r w:rsidR="009C27CA">
        <w:rPr>
          <w:lang w:val="fr-FR"/>
        </w:rPr>
        <w:t xml:space="preserve">. </w:t>
      </w:r>
    </w:p>
    <w:p w:rsidR="009C27CA" w:rsidRDefault="009C27CA" w:rsidP="00BD71FD">
      <w:pPr>
        <w:rPr>
          <w:lang w:val="fr-FR"/>
        </w:rPr>
      </w:pPr>
      <w:r>
        <w:rPr>
          <w:lang w:val="fr-FR"/>
        </w:rPr>
        <w:t>Comment on classe les nœuds ? Moyenne, maximum des scores entre itération ?</w:t>
      </w:r>
    </w:p>
    <w:p w:rsidR="004734A9" w:rsidRDefault="004734A9" w:rsidP="00BD71FD">
      <w:pPr>
        <w:rPr>
          <w:lang w:val="fr-FR"/>
        </w:rPr>
      </w:pPr>
      <w:r>
        <w:rPr>
          <w:lang w:val="fr-FR"/>
        </w:rPr>
        <w:t xml:space="preserve">Combien de nœud on garde par couche ? </w:t>
      </w:r>
      <w:r w:rsidR="009C27CA">
        <w:rPr>
          <w:lang w:val="fr-FR"/>
        </w:rPr>
        <w:t>Je pense que la topologie des graphes et leur niveau connections va influencer ce choix. Essayer avec un autre exemple pour voir ?</w:t>
      </w:r>
    </w:p>
    <w:p w:rsidR="004734A9" w:rsidRPr="00BD71FD" w:rsidRDefault="004734A9" w:rsidP="00BD71FD">
      <w:pPr>
        <w:rPr>
          <w:lang w:val="fr-FR"/>
        </w:rPr>
      </w:pPr>
    </w:p>
    <w:sectPr w:rsidR="004734A9" w:rsidRPr="00BD7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FD"/>
    <w:rsid w:val="00052A6D"/>
    <w:rsid w:val="001C03BB"/>
    <w:rsid w:val="00202CCB"/>
    <w:rsid w:val="004734A9"/>
    <w:rsid w:val="00742FDA"/>
    <w:rsid w:val="00906143"/>
    <w:rsid w:val="009C27CA"/>
    <w:rsid w:val="00BD71FD"/>
    <w:rsid w:val="00E63E34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DA4201"/>
  <w15:chartTrackingRefBased/>
  <w15:docId w15:val="{17373730-CE36-1240-ADC4-017AC5C3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 (Titres CS)"/>
        <w:color w:val="000000" w:themeColor="text1"/>
        <w:kern w:val="2"/>
        <w:sz w:val="24"/>
        <w:szCs w:val="3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143"/>
    <w:pPr>
      <w:spacing w:before="120" w:after="120" w:line="360" w:lineRule="auto"/>
      <w:jc w:val="both"/>
    </w:pPr>
    <w:rPr>
      <w:rFonts w:cs="Arial"/>
      <w:color w:val="auto"/>
      <w:kern w:val="0"/>
      <w:szCs w:val="22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734A9"/>
    <w:pPr>
      <w:keepNext/>
      <w:keepLines/>
      <w:spacing w:before="240" w:after="0"/>
      <w:outlineLvl w:val="0"/>
    </w:pPr>
    <w:rPr>
      <w:rFonts w:eastAsiaTheme="majorEastAsia"/>
      <w:b/>
      <w:bCs/>
      <w:color w:val="000000" w:themeColor="text1"/>
      <w:sz w:val="32"/>
      <w:szCs w:val="32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34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734A9"/>
    <w:pPr>
      <w:outlineLvl w:val="2"/>
    </w:pPr>
    <w:rPr>
      <w:b/>
      <w:bCs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63E3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63E34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4734A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fr"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734A9"/>
    <w:rPr>
      <w:rFonts w:eastAsiaTheme="majorEastAsia" w:cs="Arial"/>
      <w:b/>
      <w:bCs/>
      <w:kern w:val="0"/>
      <w:sz w:val="32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734A9"/>
    <w:rPr>
      <w:rFonts w:cs="Arial"/>
      <w:b/>
      <w:bCs/>
      <w:color w:val="auto"/>
      <w:kern w:val="0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9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hcards.genecards.org/card/gpcr_downstream_signalling" TargetMode="External"/><Relationship Id="rId13" Type="http://schemas.openxmlformats.org/officeDocument/2006/relationships/hyperlink" Target="https://pathcards.genecards.org/card/class_a1_(rhodopsin-like_receptors)" TargetMode="External"/><Relationship Id="rId18" Type="http://schemas.openxmlformats.org/officeDocument/2006/relationships/hyperlink" Target="https://pathcards.genecards.org/card/uptake_and_actions_of_bacterial_toxin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www.malacards.org/card/vipoma" TargetMode="External"/><Relationship Id="rId7" Type="http://schemas.openxmlformats.org/officeDocument/2006/relationships/hyperlink" Target="http://www.malacards.org/card/isolated_gonadotropin_releasing_hormone_gnrh_deficiency" TargetMode="External"/><Relationship Id="rId12" Type="http://schemas.openxmlformats.org/officeDocument/2006/relationships/hyperlink" Target="http://www.malacards.org/card/long_qt_syndrome_9" TargetMode="External"/><Relationship Id="rId17" Type="http://schemas.openxmlformats.org/officeDocument/2006/relationships/hyperlink" Target="http://www.malacards.org/card/diarrhea_6" TargetMode="External"/><Relationship Id="rId25" Type="http://schemas.openxmlformats.org/officeDocument/2006/relationships/hyperlink" Target="https://www.genecards.org/cgi-bin/carddisp.pl?gene=SSTR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malacards.org/card/meconium_ileus" TargetMode="External"/><Relationship Id="rId20" Type="http://schemas.openxmlformats.org/officeDocument/2006/relationships/hyperlink" Target="https://www.genecards.org/cgi-bin/carddisp.pl?gene=GUCY2F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malacards.org/card/hypogonadotropic_hypogonadism_7_with_or_without_anosmia" TargetMode="External"/><Relationship Id="rId11" Type="http://schemas.openxmlformats.org/officeDocument/2006/relationships/hyperlink" Target="http://www.malacards.org/card/rippling_muscle_disease_2" TargetMode="External"/><Relationship Id="rId24" Type="http://schemas.openxmlformats.org/officeDocument/2006/relationships/hyperlink" Target="https://pathcards.genecards.org/card/gpcr_downstream_signall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enecards.org/cgi-bin/carddisp.pl?gene=AVPR1B" TargetMode="External"/><Relationship Id="rId23" Type="http://schemas.openxmlformats.org/officeDocument/2006/relationships/hyperlink" Target="https://pathcards.genecards.org/card/class_a1_(rhodopsin-like_receptors)" TargetMode="External"/><Relationship Id="rId10" Type="http://schemas.openxmlformats.org/officeDocument/2006/relationships/hyperlink" Target="https://www.genecards.org/cgi-bin/carddisp.pl?gene=AVPR1A" TargetMode="External"/><Relationship Id="rId19" Type="http://schemas.openxmlformats.org/officeDocument/2006/relationships/hyperlink" Target="https://pathcards.genecards.org/card/digestion_and_absorption" TargetMode="External"/><Relationship Id="rId4" Type="http://schemas.openxmlformats.org/officeDocument/2006/relationships/hyperlink" Target="https://elifesciences.org/articles/26726" TargetMode="External"/><Relationship Id="rId9" Type="http://schemas.openxmlformats.org/officeDocument/2006/relationships/hyperlink" Target="https://pathcards.genecards.org/card/class_a1_(rhodopsin-like_receptors)" TargetMode="External"/><Relationship Id="rId14" Type="http://schemas.openxmlformats.org/officeDocument/2006/relationships/hyperlink" Target="https://pathcards.genecards.org/card/gpcr_downstream_signalling" TargetMode="External"/><Relationship Id="rId22" Type="http://schemas.openxmlformats.org/officeDocument/2006/relationships/hyperlink" Target="http://www.malacards.org/card/pituitary_adenom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1407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Elodie Darbo</dc:creator>
  <cp:keywords/>
  <dc:description/>
  <cp:lastModifiedBy>Elodie Darbo</cp:lastModifiedBy>
  <cp:revision>1</cp:revision>
  <dcterms:created xsi:type="dcterms:W3CDTF">2025-02-20T17:44:00Z</dcterms:created>
  <dcterms:modified xsi:type="dcterms:W3CDTF">2025-02-20T18:59:00Z</dcterms:modified>
</cp:coreProperties>
</file>