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D40E1" w14:textId="4C238E86" w:rsidR="00DB2789" w:rsidRDefault="00DB2789" w:rsidP="00DB2789">
      <w:pPr>
        <w:pStyle w:val="Heading1"/>
        <w:jc w:val="center"/>
      </w:pPr>
      <w:r>
        <w:t>LICENSE AGREEMENT</w:t>
      </w:r>
    </w:p>
    <w:p w14:paraId="0B1F77EF" w14:textId="77777777" w:rsidR="00DB2789" w:rsidRDefault="00DB2789" w:rsidP="00DB2789">
      <w:pPr>
        <w:pStyle w:val="NoSpacing"/>
      </w:pPr>
    </w:p>
    <w:p w14:paraId="472A86E4" w14:textId="682E2940" w:rsidR="00DB2789" w:rsidRDefault="00DB2789" w:rsidP="00DB2789">
      <w:pPr>
        <w:pStyle w:val="NoSpacing"/>
        <w:spacing w:after="120"/>
      </w:pPr>
      <w:r w:rsidRPr="00DB2789">
        <w:t>This agreement is made as of [</w:t>
      </w:r>
      <w:r w:rsidRPr="00DB2789">
        <w:rPr>
          <w:highlight w:val="yellow"/>
        </w:rPr>
        <w:t>DATE</w:t>
      </w:r>
      <w:r w:rsidRPr="00DB2789">
        <w:t>] (hereafter referred to as Effective Date) between [</w:t>
      </w:r>
      <w:r w:rsidR="00C31115" w:rsidRPr="00C31115">
        <w:rPr>
          <w:highlight w:val="yellow"/>
        </w:rPr>
        <w:t>PUBLISHER NAME</w:t>
      </w:r>
      <w:r w:rsidRPr="00DB2789">
        <w:t>], a company with offices at [</w:t>
      </w:r>
      <w:r w:rsidRPr="00DB2789">
        <w:rPr>
          <w:highlight w:val="yellow"/>
        </w:rPr>
        <w:t>ADDRESS</w:t>
      </w:r>
      <w:r w:rsidRPr="00DB2789">
        <w:t xml:space="preserve">] (hereafter referred to as </w:t>
      </w:r>
      <w:r w:rsidR="00C31115">
        <w:t>Publisher</w:t>
      </w:r>
      <w:r w:rsidRPr="00DB2789">
        <w:t xml:space="preserve">) and </w:t>
      </w:r>
      <w:r w:rsidR="00C31115">
        <w:t>[</w:t>
      </w:r>
      <w:r w:rsidR="00C31115" w:rsidRPr="00C31115">
        <w:rPr>
          <w:highlight w:val="yellow"/>
        </w:rPr>
        <w:t>YOUR COMPANY</w:t>
      </w:r>
      <w:r w:rsidR="00C31115">
        <w:t>]</w:t>
      </w:r>
      <w:r w:rsidRPr="00DB2789">
        <w:t xml:space="preserve">, a company with primary place of business at </w:t>
      </w:r>
      <w:r w:rsidR="00C31115" w:rsidRPr="00DB2789">
        <w:t>[</w:t>
      </w:r>
      <w:r w:rsidR="00C31115" w:rsidRPr="00DB2789">
        <w:rPr>
          <w:highlight w:val="yellow"/>
        </w:rPr>
        <w:t>ADDRESS</w:t>
      </w:r>
      <w:r w:rsidR="00C31115" w:rsidRPr="00DB2789">
        <w:t xml:space="preserve">] </w:t>
      </w:r>
      <w:r w:rsidRPr="00DB2789">
        <w:t xml:space="preserve">(hereafter referred to as </w:t>
      </w:r>
      <w:r w:rsidR="00C31115">
        <w:t>Agency</w:t>
      </w:r>
      <w:r w:rsidRPr="00DB2789">
        <w:t>).</w:t>
      </w:r>
    </w:p>
    <w:p w14:paraId="4DF171D0" w14:textId="506BA9D5" w:rsidR="00E00205" w:rsidRDefault="00690697" w:rsidP="00DB2789">
      <w:pPr>
        <w:pStyle w:val="NoSpacing"/>
        <w:spacing w:after="120"/>
      </w:pPr>
      <w:r w:rsidRPr="004C10DA">
        <w:t>Agency and Publisher</w:t>
      </w:r>
      <w:r>
        <w:t xml:space="preserve">, hereafter referred to </w:t>
      </w:r>
      <w:r w:rsidR="00021AF1">
        <w:t xml:space="preserve">collectively as </w:t>
      </w:r>
      <w:r w:rsidR="00E00205">
        <w:t>The Parties</w:t>
      </w:r>
      <w:r w:rsidR="00021AF1">
        <w:t>,</w:t>
      </w:r>
      <w:r w:rsidR="00E00205">
        <w:t xml:space="preserve"> agree as follows:</w:t>
      </w:r>
    </w:p>
    <w:p w14:paraId="1BA98D46" w14:textId="57B24B41" w:rsidR="00376865" w:rsidRPr="00021AF1" w:rsidRDefault="00376865" w:rsidP="007966FE">
      <w:pPr>
        <w:pStyle w:val="NoSpacing"/>
        <w:spacing w:after="120"/>
      </w:pPr>
    </w:p>
    <w:p w14:paraId="3DC8756F" w14:textId="7ACD185D" w:rsidR="00E00205" w:rsidRPr="007966FE" w:rsidRDefault="00021AF1" w:rsidP="00E00205">
      <w:pPr>
        <w:pStyle w:val="Heading1"/>
        <w:rPr>
          <w:rFonts w:eastAsia="Times New Roman"/>
        </w:rPr>
      </w:pPr>
      <w:r>
        <w:rPr>
          <w:rFonts w:eastAsia="Times New Roman"/>
        </w:rPr>
        <w:t>1</w:t>
      </w:r>
      <w:r w:rsidR="00E00205" w:rsidRPr="007966FE">
        <w:rPr>
          <w:rFonts w:eastAsia="Times New Roman"/>
        </w:rPr>
        <w:t xml:space="preserve"> </w:t>
      </w:r>
      <w:r w:rsidR="00E00205">
        <w:rPr>
          <w:rFonts w:eastAsia="Times New Roman"/>
        </w:rPr>
        <w:t>Background</w:t>
      </w:r>
    </w:p>
    <w:p w14:paraId="4E4DFD2A" w14:textId="12F88BC1" w:rsidR="00E00205" w:rsidRDefault="00021AF1" w:rsidP="00E00205">
      <w:pPr>
        <w:pStyle w:val="NoSpacing"/>
        <w:spacing w:after="120"/>
      </w:pPr>
      <w:r>
        <w:rPr>
          <w:b/>
          <w:bCs/>
        </w:rPr>
        <w:t>1</w:t>
      </w:r>
      <w:r w:rsidR="00E00205">
        <w:rPr>
          <w:b/>
          <w:bCs/>
        </w:rPr>
        <w:t xml:space="preserve">.1 </w:t>
      </w:r>
      <w:r w:rsidR="00E00205" w:rsidRPr="00E00205">
        <w:rPr>
          <w:b/>
          <w:bCs/>
        </w:rPr>
        <w:t>Agency’s purpose.</w:t>
      </w:r>
      <w:r w:rsidR="00E00205">
        <w:t xml:space="preserve"> Agency works with certain advertisers and </w:t>
      </w:r>
      <w:r w:rsidR="000D6D72">
        <w:t>manages</w:t>
      </w:r>
      <w:r w:rsidR="00E00205">
        <w:t xml:space="preserve"> their advertising budgets. Agency places some of these budgets onto a private marketplace software (hereafter referred to as Software) and wishes to connect this Software to Publisher’s inventory. </w:t>
      </w:r>
    </w:p>
    <w:p w14:paraId="20F605EF" w14:textId="3703FA7D" w:rsidR="00E00205" w:rsidRDefault="00021AF1" w:rsidP="00E00205">
      <w:pPr>
        <w:pStyle w:val="NoSpacing"/>
        <w:spacing w:after="120"/>
      </w:pPr>
      <w:r>
        <w:rPr>
          <w:b/>
          <w:bCs/>
        </w:rPr>
        <w:t>1</w:t>
      </w:r>
      <w:r w:rsidR="00E00205">
        <w:rPr>
          <w:b/>
          <w:bCs/>
        </w:rPr>
        <w:t xml:space="preserve">.2 </w:t>
      </w:r>
      <w:r w:rsidR="00E00205" w:rsidRPr="00E00205">
        <w:rPr>
          <w:b/>
          <w:bCs/>
        </w:rPr>
        <w:t>Publisher’s purpose.</w:t>
      </w:r>
      <w:r w:rsidR="00E00205">
        <w:t xml:space="preserve"> Publisher controls advertising inventory and wishes to partner with Agency and make this inventory</w:t>
      </w:r>
      <w:r w:rsidR="004C10DA">
        <w:t>, and any user information agreed upon,</w:t>
      </w:r>
      <w:r w:rsidR="00E00205">
        <w:t xml:space="preserve"> available for buying through Software, in return for a share of the generated advertising revenue. </w:t>
      </w:r>
    </w:p>
    <w:p w14:paraId="6DFDD45A" w14:textId="77777777" w:rsidR="00E00205" w:rsidRDefault="00E00205" w:rsidP="007966FE">
      <w:pPr>
        <w:pStyle w:val="NoSpacing"/>
        <w:spacing w:after="120"/>
        <w:rPr>
          <w:sz w:val="24"/>
          <w:szCs w:val="24"/>
        </w:rPr>
      </w:pPr>
    </w:p>
    <w:p w14:paraId="721C1A41" w14:textId="320FDCD4" w:rsidR="007966FE" w:rsidRPr="007966FE" w:rsidRDefault="00021AF1" w:rsidP="007966FE">
      <w:pPr>
        <w:pStyle w:val="Heading1"/>
        <w:rPr>
          <w:rFonts w:eastAsia="Times New Roman"/>
        </w:rPr>
      </w:pPr>
      <w:r>
        <w:rPr>
          <w:rFonts w:eastAsia="Times New Roman"/>
        </w:rPr>
        <w:t>2</w:t>
      </w:r>
      <w:r w:rsidR="007966FE" w:rsidRPr="007966FE">
        <w:rPr>
          <w:rFonts w:eastAsia="Times New Roman"/>
        </w:rPr>
        <w:t xml:space="preserve"> </w:t>
      </w:r>
      <w:r w:rsidR="006C47BA">
        <w:rPr>
          <w:rFonts w:eastAsia="Times New Roman"/>
        </w:rPr>
        <w:t>The Parties’ Responsibilities</w:t>
      </w:r>
    </w:p>
    <w:p w14:paraId="579391CA" w14:textId="49AD1E78" w:rsidR="006C47BA" w:rsidRDefault="00021AF1" w:rsidP="006C47BA">
      <w:pPr>
        <w:pStyle w:val="NoSpacing"/>
        <w:spacing w:after="120"/>
      </w:pPr>
      <w:r>
        <w:rPr>
          <w:b/>
          <w:bCs/>
        </w:rPr>
        <w:t>2</w:t>
      </w:r>
      <w:r w:rsidR="00F83BE5" w:rsidRPr="006C47BA">
        <w:rPr>
          <w:b/>
          <w:bCs/>
        </w:rPr>
        <w:t>.1 Implementation of Software.</w:t>
      </w:r>
      <w:r w:rsidR="00F83BE5" w:rsidRPr="006C47BA">
        <w:t xml:space="preserve"> After </w:t>
      </w:r>
      <w:r w:rsidR="00F3152E">
        <w:t>Effective Date</w:t>
      </w:r>
      <w:r w:rsidR="00F83BE5" w:rsidRPr="006C47BA">
        <w:t xml:space="preserve"> Publisher shall without undue delay implement Software on its pages according to Agency’s instructions</w:t>
      </w:r>
      <w:r w:rsidR="004C10DA" w:rsidRPr="006C47BA">
        <w:t>, with the purpose of sending inventory to Software</w:t>
      </w:r>
      <w:r w:rsidR="00F83BE5" w:rsidRPr="006C47BA">
        <w:t xml:space="preserve">. Agency shall provide support as needed in the implementation process to help ensure correct implementation. </w:t>
      </w:r>
      <w:r w:rsidR="004C10DA" w:rsidRPr="006C47BA">
        <w:t>When Software is implemented, Publisher shall notify Agency and make any needed corrections based on Agency’s instructions.</w:t>
      </w:r>
    </w:p>
    <w:p w14:paraId="6A66FEDE" w14:textId="14E72D25" w:rsidR="00EB4B25" w:rsidRDefault="00021AF1" w:rsidP="006C47BA">
      <w:pPr>
        <w:pStyle w:val="NoSpacing"/>
        <w:spacing w:after="120"/>
      </w:pPr>
      <w:r>
        <w:rPr>
          <w:b/>
          <w:bCs/>
        </w:rPr>
        <w:t>2</w:t>
      </w:r>
      <w:r w:rsidR="00EB4B25" w:rsidRPr="00EB4B25">
        <w:rPr>
          <w:b/>
          <w:bCs/>
        </w:rPr>
        <w:t>.2 Traffic.</w:t>
      </w:r>
      <w:r w:rsidR="00EB4B25">
        <w:t xml:space="preserve"> </w:t>
      </w:r>
      <w:r w:rsidR="00D52641">
        <w:t xml:space="preserve">After the implementation as described in this Agreement’s section 3.1, </w:t>
      </w:r>
      <w:r w:rsidR="00EB4B25">
        <w:t xml:space="preserve">Publisher </w:t>
      </w:r>
      <w:r w:rsidR="0051328C">
        <w:t xml:space="preserve">shall without undue delay communicate to Agency of any changes </w:t>
      </w:r>
      <w:r w:rsidR="00D52641">
        <w:t>from this</w:t>
      </w:r>
      <w:r w:rsidR="00EB4B25">
        <w:t xml:space="preserve"> implement</w:t>
      </w:r>
      <w:r w:rsidR="00D52641">
        <w:t>ation.</w:t>
      </w:r>
    </w:p>
    <w:p w14:paraId="4E0DF223" w14:textId="4DCB8F09" w:rsidR="006C47BA" w:rsidRPr="006C47BA" w:rsidRDefault="00021AF1" w:rsidP="006C47BA">
      <w:r>
        <w:rPr>
          <w:b/>
          <w:bCs/>
        </w:rPr>
        <w:t>2</w:t>
      </w:r>
      <w:r w:rsidR="006C47BA" w:rsidRPr="006C47BA">
        <w:rPr>
          <w:b/>
          <w:bCs/>
        </w:rPr>
        <w:t>.</w:t>
      </w:r>
      <w:r w:rsidR="00EB4B25">
        <w:rPr>
          <w:b/>
          <w:bCs/>
        </w:rPr>
        <w:t>3</w:t>
      </w:r>
      <w:r w:rsidR="006C47BA" w:rsidRPr="006C47BA">
        <w:rPr>
          <w:b/>
          <w:bCs/>
        </w:rPr>
        <w:t xml:space="preserve"> </w:t>
      </w:r>
      <w:r w:rsidR="006C47BA">
        <w:rPr>
          <w:b/>
          <w:bCs/>
        </w:rPr>
        <w:t>Uptime</w:t>
      </w:r>
      <w:r w:rsidR="006C47BA" w:rsidRPr="006C47BA">
        <w:rPr>
          <w:b/>
          <w:bCs/>
        </w:rPr>
        <w:t>.</w:t>
      </w:r>
      <w:r w:rsidR="006C47BA">
        <w:t xml:space="preserve"> Agency</w:t>
      </w:r>
      <w:r w:rsidR="006C47BA" w:rsidRPr="006C47BA">
        <w:t xml:space="preserve"> shall use commercially reasonable efforts to</w:t>
      </w:r>
      <w:r w:rsidR="006C47BA">
        <w:t xml:space="preserve"> ensure that Software remains available 24/7 and shall without undue delay correct critical errors that prevent Software from delivering ads.</w:t>
      </w:r>
    </w:p>
    <w:p w14:paraId="5BA95590" w14:textId="11102638" w:rsidR="007966FE" w:rsidRDefault="00021AF1" w:rsidP="000F777B">
      <w:pPr>
        <w:pStyle w:val="NoSpacing"/>
        <w:spacing w:after="120"/>
      </w:pPr>
      <w:commentRangeStart w:id="0"/>
      <w:r>
        <w:rPr>
          <w:b/>
          <w:bCs/>
        </w:rPr>
        <w:t>2</w:t>
      </w:r>
      <w:r w:rsidR="00F83BE5" w:rsidRPr="006C47BA">
        <w:rPr>
          <w:b/>
          <w:bCs/>
        </w:rPr>
        <w:t>.</w:t>
      </w:r>
      <w:r w:rsidR="00EB4B25">
        <w:rPr>
          <w:b/>
          <w:bCs/>
        </w:rPr>
        <w:t>4</w:t>
      </w:r>
      <w:r w:rsidR="00F83BE5" w:rsidRPr="006C47BA">
        <w:rPr>
          <w:b/>
          <w:bCs/>
        </w:rPr>
        <w:t xml:space="preserve"> Access.</w:t>
      </w:r>
      <w:r w:rsidR="00F83BE5" w:rsidRPr="006C47BA">
        <w:t xml:space="preserve"> </w:t>
      </w:r>
      <w:r w:rsidR="006C47BA">
        <w:t xml:space="preserve">Agency shall upon Publisher’s request provide Publisher with login access to Software so that Publisher can observe key metrics such as impressions and revenue. </w:t>
      </w:r>
      <w:r w:rsidR="000D6D72">
        <w:t>Publisher shall also have the right to set floor prices on its ad units.</w:t>
      </w:r>
      <w:commentRangeEnd w:id="0"/>
      <w:r w:rsidR="000D6D72">
        <w:rPr>
          <w:rStyle w:val="CommentReference"/>
        </w:rPr>
        <w:commentReference w:id="0"/>
      </w:r>
    </w:p>
    <w:p w14:paraId="70F2749C" w14:textId="7E45F4D8" w:rsidR="00021AF1" w:rsidRDefault="00021AF1" w:rsidP="00F32498">
      <w:pPr>
        <w:pStyle w:val="NoSpacing"/>
        <w:spacing w:after="120"/>
      </w:pPr>
      <w:r>
        <w:rPr>
          <w:b/>
          <w:bCs/>
        </w:rPr>
        <w:t>2</w:t>
      </w:r>
      <w:r w:rsidR="007966FE" w:rsidRPr="00EB4B25">
        <w:rPr>
          <w:b/>
          <w:bCs/>
        </w:rPr>
        <w:t>.</w:t>
      </w:r>
      <w:r w:rsidR="00EB4B25" w:rsidRPr="00EB4B25">
        <w:rPr>
          <w:b/>
          <w:bCs/>
        </w:rPr>
        <w:t>5</w:t>
      </w:r>
      <w:r w:rsidR="007966FE" w:rsidRPr="00EB4B25">
        <w:rPr>
          <w:b/>
          <w:bCs/>
        </w:rPr>
        <w:t xml:space="preserve"> Data</w:t>
      </w:r>
      <w:r w:rsidR="00AA4FF1" w:rsidRPr="00EB4B25">
        <w:rPr>
          <w:b/>
          <w:bCs/>
        </w:rPr>
        <w:t xml:space="preserve">. </w:t>
      </w:r>
      <w:r w:rsidR="00C31115" w:rsidRPr="00EB4B25">
        <w:t>Publisher</w:t>
      </w:r>
      <w:r w:rsidR="007966FE" w:rsidRPr="00EB4B25">
        <w:t xml:space="preserve"> is responsible for the appropriateness and legality of all</w:t>
      </w:r>
      <w:r w:rsidR="00690697" w:rsidRPr="00690697">
        <w:t xml:space="preserve"> </w:t>
      </w:r>
      <w:r w:rsidR="00690697" w:rsidRPr="004C10DA">
        <w:t xml:space="preserve">electronic </w:t>
      </w:r>
      <w:r w:rsidR="00690697">
        <w:t xml:space="preserve">user information, </w:t>
      </w:r>
      <w:r w:rsidR="00690697" w:rsidRPr="004C10DA">
        <w:t xml:space="preserve">data, information or creative work submitted by Publisher to </w:t>
      </w:r>
      <w:r w:rsidR="00690697">
        <w:t xml:space="preserve">Software (hereafter referred to as </w:t>
      </w:r>
      <w:r w:rsidR="00C31115" w:rsidRPr="00EB4B25">
        <w:t>Publisher</w:t>
      </w:r>
      <w:r w:rsidR="007966FE" w:rsidRPr="00EB4B25">
        <w:t xml:space="preserve"> Data</w:t>
      </w:r>
      <w:r w:rsidR="00690697">
        <w:t>)</w:t>
      </w:r>
      <w:r w:rsidR="000F777B" w:rsidRPr="00EB4B25">
        <w:t xml:space="preserve">, and </w:t>
      </w:r>
      <w:r w:rsidR="00A534B8" w:rsidRPr="00EB4B25">
        <w:t>shall</w:t>
      </w:r>
      <w:r w:rsidR="007966FE" w:rsidRPr="00EB4B25">
        <w:t xml:space="preserve"> comply with all applicable laws relating to the collection and use of information from</w:t>
      </w:r>
      <w:r w:rsidRPr="00021AF1">
        <w:t xml:space="preserve"> </w:t>
      </w:r>
      <w:r w:rsidRPr="004C10DA">
        <w:t>individuals using Publisher’s services</w:t>
      </w:r>
      <w:r>
        <w:t>.</w:t>
      </w:r>
    </w:p>
    <w:p w14:paraId="4E799E9C" w14:textId="38839E2A" w:rsidR="00875D74" w:rsidRPr="00EB4B25" w:rsidRDefault="00021AF1" w:rsidP="00F32498">
      <w:pPr>
        <w:pStyle w:val="NoSpacing"/>
        <w:spacing w:after="120"/>
      </w:pPr>
      <w:r>
        <w:rPr>
          <w:b/>
          <w:bCs/>
        </w:rPr>
        <w:t>2</w:t>
      </w:r>
      <w:r w:rsidR="00875D74" w:rsidRPr="00875D74">
        <w:rPr>
          <w:b/>
          <w:bCs/>
        </w:rPr>
        <w:t>.6 Blocking.</w:t>
      </w:r>
      <w:r w:rsidR="00875D74">
        <w:t xml:space="preserve"> Publisher shall have the right to ask Agency to block certain advertisers or campaigns from running on its pages, in which case Agency shall without undue delay implement this change. </w:t>
      </w:r>
    </w:p>
    <w:p w14:paraId="619FBF86" w14:textId="77777777" w:rsidR="00AA4FF1" w:rsidRPr="007966FE" w:rsidRDefault="00AA4FF1" w:rsidP="007966FE">
      <w:pPr>
        <w:pStyle w:val="NoSpacing"/>
        <w:rPr>
          <w:sz w:val="24"/>
          <w:szCs w:val="24"/>
        </w:rPr>
      </w:pPr>
    </w:p>
    <w:p w14:paraId="4F5C4688" w14:textId="36DBE01B" w:rsidR="007966FE" w:rsidRPr="007966FE" w:rsidRDefault="00021AF1" w:rsidP="00AA4FF1">
      <w:pPr>
        <w:pStyle w:val="Heading1"/>
        <w:rPr>
          <w:rFonts w:eastAsia="Times New Roman"/>
        </w:rPr>
      </w:pPr>
      <w:r>
        <w:rPr>
          <w:rFonts w:eastAsia="Times New Roman"/>
        </w:rPr>
        <w:t>3</w:t>
      </w:r>
      <w:r w:rsidR="007966FE" w:rsidRPr="007966FE">
        <w:rPr>
          <w:rFonts w:eastAsia="Times New Roman"/>
        </w:rPr>
        <w:t xml:space="preserve"> Fees and Payments</w:t>
      </w:r>
    </w:p>
    <w:p w14:paraId="5E85CC7F" w14:textId="793B639F" w:rsidR="000F777B" w:rsidRDefault="00021AF1" w:rsidP="00F32498">
      <w:pPr>
        <w:pStyle w:val="NoSpacing"/>
        <w:spacing w:after="120"/>
      </w:pPr>
      <w:r>
        <w:rPr>
          <w:b/>
          <w:bCs/>
        </w:rPr>
        <w:t>3</w:t>
      </w:r>
      <w:r w:rsidR="000F777B" w:rsidRPr="00351DF7">
        <w:rPr>
          <w:b/>
          <w:bCs/>
        </w:rPr>
        <w:t>.1 Fees.</w:t>
      </w:r>
      <w:r w:rsidR="000F777B" w:rsidRPr="00351DF7">
        <w:t xml:space="preserve"> Agency shall pay to Publisher a share of gross advertising revenue of </w:t>
      </w:r>
      <w:commentRangeStart w:id="1"/>
      <w:r w:rsidR="000F777B" w:rsidRPr="00351DF7">
        <w:t>X0%</w:t>
      </w:r>
      <w:commentRangeEnd w:id="1"/>
      <w:r w:rsidR="000F777B" w:rsidRPr="00351DF7">
        <w:rPr>
          <w:rStyle w:val="CommentReference"/>
          <w:sz w:val="22"/>
          <w:szCs w:val="22"/>
        </w:rPr>
        <w:commentReference w:id="1"/>
      </w:r>
      <w:r w:rsidR="000F777B" w:rsidRPr="00351DF7">
        <w:t xml:space="preserve">. </w:t>
      </w:r>
    </w:p>
    <w:p w14:paraId="67BEA295" w14:textId="50E1B6D4" w:rsidR="00875D74" w:rsidRPr="00351DF7" w:rsidRDefault="00021AF1" w:rsidP="00F32498">
      <w:pPr>
        <w:pStyle w:val="NoSpacing"/>
        <w:spacing w:after="120"/>
      </w:pPr>
      <w:r>
        <w:rPr>
          <w:b/>
          <w:bCs/>
        </w:rPr>
        <w:lastRenderedPageBreak/>
        <w:t>3</w:t>
      </w:r>
      <w:commentRangeStart w:id="2"/>
      <w:r w:rsidR="00792BF3" w:rsidRPr="00792BF3">
        <w:rPr>
          <w:b/>
          <w:bCs/>
        </w:rPr>
        <w:t>.2 Invoicing partner.</w:t>
      </w:r>
      <w:r w:rsidR="00792BF3">
        <w:t xml:space="preserve"> Agency uses Adnuntius Services AS, a company with </w:t>
      </w:r>
      <w:r w:rsidR="00792BF3" w:rsidRPr="00792BF3">
        <w:t xml:space="preserve">a company with offices at </w:t>
      </w:r>
      <w:proofErr w:type="spellStart"/>
      <w:r w:rsidR="00792BF3">
        <w:t>Dueveien</w:t>
      </w:r>
      <w:proofErr w:type="spellEnd"/>
      <w:r w:rsidR="00792BF3">
        <w:t xml:space="preserve"> 21, 1448 </w:t>
      </w:r>
      <w:proofErr w:type="spellStart"/>
      <w:r w:rsidR="00792BF3">
        <w:t>Drobak</w:t>
      </w:r>
      <w:proofErr w:type="spellEnd"/>
      <w:r w:rsidR="00792BF3">
        <w:t>, Norway</w:t>
      </w:r>
      <w:r w:rsidR="00792BF3" w:rsidRPr="00792BF3">
        <w:t xml:space="preserve"> (hereafter referred to as P</w:t>
      </w:r>
      <w:r w:rsidR="00792BF3">
        <w:t>ayment Partner</w:t>
      </w:r>
      <w:r w:rsidR="00792BF3" w:rsidRPr="00792BF3">
        <w:t>)</w:t>
      </w:r>
      <w:r w:rsidR="00792BF3">
        <w:t xml:space="preserve">, as its invoicing partner. The Parties agree that invoices may be sent from Payment Partner. </w:t>
      </w:r>
      <w:commentRangeEnd w:id="2"/>
      <w:r w:rsidR="00792BF3">
        <w:rPr>
          <w:rStyle w:val="CommentReference"/>
        </w:rPr>
        <w:commentReference w:id="2"/>
      </w:r>
    </w:p>
    <w:p w14:paraId="647CE9FD" w14:textId="08F6E907" w:rsidR="000F777B" w:rsidRPr="00351DF7" w:rsidRDefault="00021AF1" w:rsidP="00F32498">
      <w:pPr>
        <w:pStyle w:val="NoSpacing"/>
        <w:spacing w:after="120"/>
      </w:pPr>
      <w:r>
        <w:rPr>
          <w:b/>
          <w:bCs/>
        </w:rPr>
        <w:t>3</w:t>
      </w:r>
      <w:r w:rsidR="000F777B" w:rsidRPr="00351DF7">
        <w:rPr>
          <w:b/>
          <w:bCs/>
        </w:rPr>
        <w:t>.2</w:t>
      </w:r>
      <w:r w:rsidR="00792BF3">
        <w:rPr>
          <w:b/>
          <w:bCs/>
        </w:rPr>
        <w:t>/3</w:t>
      </w:r>
      <w:r w:rsidR="000F777B" w:rsidRPr="00351DF7">
        <w:rPr>
          <w:b/>
          <w:bCs/>
        </w:rPr>
        <w:t xml:space="preserve"> Invoicing and payment.</w:t>
      </w:r>
      <w:r w:rsidR="000F777B" w:rsidRPr="00351DF7">
        <w:t xml:space="preserve"> Agency</w:t>
      </w:r>
      <w:r w:rsidR="00792BF3">
        <w:t>/</w:t>
      </w:r>
      <w:r w:rsidR="00792BF3" w:rsidRPr="00792BF3">
        <w:t xml:space="preserve"> </w:t>
      </w:r>
      <w:r w:rsidR="00792BF3">
        <w:t>Payment Partner</w:t>
      </w:r>
      <w:r w:rsidR="000F777B" w:rsidRPr="00351DF7">
        <w:t xml:space="preserve"> shall</w:t>
      </w:r>
      <w:r w:rsidR="00795C84" w:rsidRPr="00351DF7">
        <w:t xml:space="preserve"> within 5 business days</w:t>
      </w:r>
      <w:r w:rsidR="000F777B" w:rsidRPr="00351DF7">
        <w:t xml:space="preserve"> after end of each month send to Publisher a report that informs Publisher of their revenue share. Based on this report Publisher shall issue </w:t>
      </w:r>
      <w:r w:rsidR="00795C84" w:rsidRPr="00351DF7">
        <w:t>to Agency</w:t>
      </w:r>
      <w:r w:rsidR="00792BF3">
        <w:t>/Payment Partner</w:t>
      </w:r>
      <w:r w:rsidR="00795C84" w:rsidRPr="00351DF7">
        <w:t xml:space="preserve"> an invoice with due date 30 days from the invoice date. </w:t>
      </w:r>
    </w:p>
    <w:p w14:paraId="739078AA" w14:textId="77777777" w:rsidR="00AA4FF1" w:rsidRPr="00351DF7" w:rsidRDefault="00AA4FF1" w:rsidP="00F32498">
      <w:pPr>
        <w:pStyle w:val="NoSpacing"/>
        <w:spacing w:after="120"/>
      </w:pPr>
    </w:p>
    <w:p w14:paraId="2A1A4796" w14:textId="237CCD5B" w:rsidR="007966FE" w:rsidRPr="007966FE" w:rsidRDefault="00021AF1" w:rsidP="00AA4FF1">
      <w:pPr>
        <w:pStyle w:val="Heading1"/>
        <w:rPr>
          <w:rFonts w:eastAsia="Times New Roman"/>
        </w:rPr>
      </w:pPr>
      <w:r>
        <w:rPr>
          <w:rFonts w:eastAsia="Times New Roman"/>
        </w:rPr>
        <w:t>4</w:t>
      </w:r>
      <w:r w:rsidR="007966FE" w:rsidRPr="007966FE">
        <w:rPr>
          <w:rFonts w:eastAsia="Times New Roman"/>
        </w:rPr>
        <w:t xml:space="preserve"> Term and Termination</w:t>
      </w:r>
    </w:p>
    <w:p w14:paraId="0D92E24B" w14:textId="4FDDCBAA" w:rsidR="00AA4FF1" w:rsidRPr="00F3152E" w:rsidRDefault="00021AF1" w:rsidP="00F32498">
      <w:pPr>
        <w:pStyle w:val="NoSpacing"/>
        <w:spacing w:after="120"/>
      </w:pPr>
      <w:r>
        <w:rPr>
          <w:b/>
          <w:bCs/>
        </w:rPr>
        <w:t>4</w:t>
      </w:r>
      <w:r w:rsidR="007966FE" w:rsidRPr="00F3152E">
        <w:rPr>
          <w:b/>
          <w:bCs/>
        </w:rPr>
        <w:t>.1 Term</w:t>
      </w:r>
      <w:r w:rsidR="00AA4FF1" w:rsidRPr="00F3152E">
        <w:rPr>
          <w:b/>
          <w:bCs/>
        </w:rPr>
        <w:t xml:space="preserve">. </w:t>
      </w:r>
      <w:r w:rsidR="007966FE" w:rsidRPr="00F3152E">
        <w:t xml:space="preserve">This Agreement commences on Effective Date and continues until </w:t>
      </w:r>
      <w:r w:rsidR="00F3152E">
        <w:t>terminated by one of the Parties.</w:t>
      </w:r>
    </w:p>
    <w:p w14:paraId="7EB18BC0" w14:textId="135F327F" w:rsidR="00F3152E" w:rsidRDefault="00021AF1" w:rsidP="00F32498">
      <w:pPr>
        <w:pStyle w:val="NoSpacing"/>
        <w:spacing w:after="120"/>
      </w:pPr>
      <w:r>
        <w:rPr>
          <w:b/>
          <w:bCs/>
        </w:rPr>
        <w:t>4</w:t>
      </w:r>
      <w:r w:rsidR="007966FE" w:rsidRPr="00F3152E">
        <w:rPr>
          <w:b/>
          <w:bCs/>
        </w:rPr>
        <w:t xml:space="preserve">.2 </w:t>
      </w:r>
      <w:r w:rsidR="00F3152E">
        <w:rPr>
          <w:b/>
          <w:bCs/>
        </w:rPr>
        <w:t>Termination</w:t>
      </w:r>
      <w:r w:rsidR="00AA4FF1" w:rsidRPr="00F3152E">
        <w:rPr>
          <w:b/>
          <w:bCs/>
        </w:rPr>
        <w:t xml:space="preserve">. </w:t>
      </w:r>
      <w:r w:rsidR="001338F0" w:rsidRPr="001338F0">
        <w:t>Each party shall have the right to terminate this Agreement for any or no reason, upon 90 days’ written notice to the other party.</w:t>
      </w:r>
      <w:r w:rsidR="001338F0">
        <w:t xml:space="preserve"> During the termination period Agency shall pay to Publisher any fees as agreed to in this Agreement’s section 4. </w:t>
      </w:r>
    </w:p>
    <w:p w14:paraId="7C0E3218" w14:textId="27DE1D8E" w:rsidR="00635F27" w:rsidRDefault="00021AF1" w:rsidP="00F32498">
      <w:pPr>
        <w:pStyle w:val="NoSpacing"/>
        <w:spacing w:after="120"/>
      </w:pPr>
      <w:r>
        <w:rPr>
          <w:b/>
          <w:bCs/>
        </w:rPr>
        <w:t>4</w:t>
      </w:r>
      <w:r w:rsidR="00635F27" w:rsidRPr="00F3152E">
        <w:rPr>
          <w:b/>
          <w:bCs/>
        </w:rPr>
        <w:t xml:space="preserve">.3 Termination for Cause. </w:t>
      </w:r>
      <w:r w:rsidR="00635F27" w:rsidRPr="00F3152E">
        <w:t>A party may terminate parts or the entirety of this Agreement for cause: (</w:t>
      </w:r>
      <w:r w:rsidR="00635F27">
        <w:t>a</w:t>
      </w:r>
      <w:r w:rsidR="00635F27" w:rsidRPr="00F3152E">
        <w:t>) upon 30 days written notice to the other party of a material breach if such breach remains uncured at the expiration of such 30-day period, or (ii) immediately upon written notice if the other party becomes the subject of a petition in bankruptcy or any other proceeding relating to insolvency, receivership, liquidation or assignment for the benefit of creditors.</w:t>
      </w:r>
    </w:p>
    <w:p w14:paraId="222724BE" w14:textId="1D819A50" w:rsidR="001338F0" w:rsidRDefault="00021AF1" w:rsidP="00F32498">
      <w:pPr>
        <w:pStyle w:val="NoSpacing"/>
        <w:spacing w:after="120"/>
      </w:pPr>
      <w:r>
        <w:rPr>
          <w:b/>
          <w:bCs/>
        </w:rPr>
        <w:t>4</w:t>
      </w:r>
      <w:r w:rsidR="001338F0" w:rsidRPr="001338F0">
        <w:rPr>
          <w:b/>
          <w:bCs/>
        </w:rPr>
        <w:t>.</w:t>
      </w:r>
      <w:r>
        <w:rPr>
          <w:b/>
          <w:bCs/>
        </w:rPr>
        <w:t>4</w:t>
      </w:r>
      <w:r w:rsidR="001338F0" w:rsidRPr="001338F0">
        <w:rPr>
          <w:b/>
          <w:bCs/>
        </w:rPr>
        <w:t xml:space="preserve"> Removal of traffic</w:t>
      </w:r>
      <w:r w:rsidR="000D6D72">
        <w:rPr>
          <w:b/>
          <w:bCs/>
        </w:rPr>
        <w:t xml:space="preserve"> and data</w:t>
      </w:r>
      <w:r w:rsidR="001338F0" w:rsidRPr="001338F0">
        <w:rPr>
          <w:b/>
          <w:bCs/>
        </w:rPr>
        <w:t>.</w:t>
      </w:r>
      <w:r w:rsidR="001338F0">
        <w:t xml:space="preserve"> Publisher shall immediately after the termination period remove any code that ensures that inventory</w:t>
      </w:r>
      <w:r w:rsidR="000D6D72">
        <w:t xml:space="preserve"> and/or data</w:t>
      </w:r>
      <w:r w:rsidR="001338F0">
        <w:t xml:space="preserve"> is sent to Software. </w:t>
      </w:r>
    </w:p>
    <w:p w14:paraId="3AFA0E31" w14:textId="77777777" w:rsidR="00AA4FF1" w:rsidRPr="00AA4FF1" w:rsidRDefault="00AA4FF1" w:rsidP="00F32498">
      <w:pPr>
        <w:pStyle w:val="NoSpacing"/>
        <w:spacing w:after="120"/>
        <w:rPr>
          <w:b/>
          <w:bCs/>
          <w:sz w:val="24"/>
          <w:szCs w:val="24"/>
        </w:rPr>
      </w:pPr>
    </w:p>
    <w:p w14:paraId="599316E6" w14:textId="56F70478" w:rsidR="007966FE" w:rsidRPr="007966FE" w:rsidRDefault="00021AF1" w:rsidP="00AA4FF1">
      <w:pPr>
        <w:pStyle w:val="Heading1"/>
        <w:rPr>
          <w:rFonts w:eastAsia="Times New Roman"/>
        </w:rPr>
      </w:pPr>
      <w:r>
        <w:rPr>
          <w:rFonts w:eastAsia="Times New Roman"/>
        </w:rPr>
        <w:t>5</w:t>
      </w:r>
      <w:r w:rsidR="007966FE" w:rsidRPr="007966FE">
        <w:rPr>
          <w:rFonts w:eastAsia="Times New Roman"/>
        </w:rPr>
        <w:t xml:space="preserve"> Limitation of Liability</w:t>
      </w:r>
    </w:p>
    <w:p w14:paraId="5661FE39" w14:textId="2A00217F" w:rsidR="00AA4FF1" w:rsidRPr="00861A19" w:rsidRDefault="00021AF1" w:rsidP="00F32498">
      <w:pPr>
        <w:pStyle w:val="NoSpacing"/>
        <w:spacing w:after="120"/>
      </w:pPr>
      <w:r>
        <w:rPr>
          <w:b/>
          <w:bCs/>
        </w:rPr>
        <w:t>5</w:t>
      </w:r>
      <w:r w:rsidR="007966FE" w:rsidRPr="00861A19">
        <w:rPr>
          <w:b/>
          <w:bCs/>
        </w:rPr>
        <w:t>.1 Limitation of liability</w:t>
      </w:r>
      <w:r w:rsidR="00AA4FF1" w:rsidRPr="00861A19">
        <w:rPr>
          <w:b/>
          <w:bCs/>
        </w:rPr>
        <w:t xml:space="preserve">. </w:t>
      </w:r>
      <w:r w:rsidR="007966FE" w:rsidRPr="00861A19">
        <w:t xml:space="preserve">IN NO EVENT SHALL EITHER PARTY’S AGGREGATE LIABILITY ARISING OUT OF OR RELATED TO THIS AGREEMENT, WHETHER IN CONTRACT, TORT OR UNDER ANY OTHER THEORY OF LIABILITY, EXCEED THE LESSER OF (A) THE TOTAL AMOUNT PAID BY </w:t>
      </w:r>
      <w:r w:rsidR="0091164A">
        <w:t>AGENCY</w:t>
      </w:r>
      <w:r w:rsidR="007966FE" w:rsidRPr="00861A19">
        <w:t xml:space="preserve"> HEREUNDER OR (B) THE ACTUAL DIRECT DAMAGES SUSTAINED BY SUCH PARTY OR, WITH RESPECT TO ANY SINGLE INCIDENT, THE LESSER OF (C) </w:t>
      </w:r>
      <w:r w:rsidR="00861A19" w:rsidRPr="00861A19">
        <w:t>NOK</w:t>
      </w:r>
      <w:r w:rsidR="007966FE" w:rsidRPr="00861A19">
        <w:t xml:space="preserve"> 250,000,</w:t>
      </w:r>
      <w:r w:rsidR="00B061A9">
        <w:t xml:space="preserve"> OR</w:t>
      </w:r>
      <w:r w:rsidR="007966FE" w:rsidRPr="00861A19">
        <w:t xml:space="preserve"> (D) THE ACTUAL DIRECT DAMAGES SUSTAINED BY SUCH PARTY RELATED TO SUCH SINGLE INCIDENT</w:t>
      </w:r>
      <w:r w:rsidR="00B061A9">
        <w:t>.</w:t>
      </w:r>
    </w:p>
    <w:p w14:paraId="14A8DE79" w14:textId="7B41CB43" w:rsidR="007966FE" w:rsidRPr="00861A19" w:rsidRDefault="00021AF1" w:rsidP="00F32498">
      <w:pPr>
        <w:pStyle w:val="NoSpacing"/>
        <w:spacing w:after="120"/>
        <w:rPr>
          <w:b/>
          <w:bCs/>
        </w:rPr>
      </w:pPr>
      <w:r>
        <w:rPr>
          <w:b/>
          <w:bCs/>
        </w:rPr>
        <w:t>5</w:t>
      </w:r>
      <w:r w:rsidR="007966FE" w:rsidRPr="00861A19">
        <w:rPr>
          <w:b/>
          <w:bCs/>
        </w:rPr>
        <w:t>.2 Exclusion of Consequential and Related Damages</w:t>
      </w:r>
      <w:r w:rsidR="00AA4FF1" w:rsidRPr="00861A19">
        <w:rPr>
          <w:b/>
          <w:bCs/>
        </w:rPr>
        <w:t xml:space="preserve">. </w:t>
      </w:r>
      <w:r w:rsidR="007966FE" w:rsidRPr="00861A19">
        <w:t>IN NO EVENT SHALL EITHER PARTY HAVE ANY LIABILITY TO THE OTHER PARTY FOR ANY LOST PROFITS OR REVENUES OR FOR ANY INDIRECT, SPECIAL, INCIDENTAL, CONSEQUENTIAL, COVER OR PUNITIVE DAMAGES HOWEVER CAUSED, WHETHER IN CONTRACT, TORT OR UNDER ANY OTHER THEORY OF LIABILITY, AND WHETHER OR NOT THE PARTY HAS BEEN ADVISED OF THE POSSIBILITY OF SUCH DAMAGES. THE ABOVE DOES NOT APPLY IF THERE IS GROSS NEGLIGENCE OR INTENTIONAL MIS-CONDUCT FROM EITHER PARTY.</w:t>
      </w:r>
    </w:p>
    <w:p w14:paraId="0494DF3F" w14:textId="77777777" w:rsidR="00AA4FF1" w:rsidRDefault="00AA4FF1" w:rsidP="00F32498">
      <w:pPr>
        <w:pStyle w:val="NoSpacing"/>
        <w:spacing w:after="120"/>
      </w:pPr>
    </w:p>
    <w:p w14:paraId="2D6B8E77" w14:textId="2CAEC961" w:rsidR="007966FE" w:rsidRPr="00AA4FF1" w:rsidRDefault="00021AF1" w:rsidP="00F32498">
      <w:pPr>
        <w:pStyle w:val="Heading1"/>
        <w:rPr>
          <w:rFonts w:eastAsia="Times New Roman"/>
        </w:rPr>
      </w:pPr>
      <w:r>
        <w:rPr>
          <w:rFonts w:eastAsia="Times New Roman"/>
        </w:rPr>
        <w:t>6</w:t>
      </w:r>
      <w:r w:rsidR="007966FE" w:rsidRPr="00AA4FF1">
        <w:rPr>
          <w:rFonts w:eastAsia="Times New Roman"/>
        </w:rPr>
        <w:t xml:space="preserve"> Indemnification and Liability</w:t>
      </w:r>
    </w:p>
    <w:p w14:paraId="159BE093" w14:textId="58E9325A" w:rsidR="008617A9" w:rsidRPr="00861A19" w:rsidRDefault="007966FE" w:rsidP="00F32498">
      <w:pPr>
        <w:pStyle w:val="NoSpacing"/>
        <w:spacing w:after="120"/>
      </w:pPr>
      <w:r w:rsidRPr="00861A19">
        <w:t xml:space="preserve">Subject to Sections 7.1 and 7.2 above, the Parties make the following representations, </w:t>
      </w:r>
      <w:proofErr w:type="gramStart"/>
      <w:r w:rsidRPr="00861A19">
        <w:t>warranties</w:t>
      </w:r>
      <w:proofErr w:type="gramEnd"/>
      <w:r w:rsidRPr="00861A19">
        <w:t xml:space="preserve"> and indemnities:</w:t>
      </w:r>
    </w:p>
    <w:p w14:paraId="61F28BCC" w14:textId="6211D1C9" w:rsidR="008617A9" w:rsidRPr="00861A19" w:rsidRDefault="00021AF1" w:rsidP="00F32498">
      <w:pPr>
        <w:pStyle w:val="NoSpacing"/>
        <w:spacing w:after="120"/>
        <w:rPr>
          <w:b/>
          <w:bCs/>
        </w:rPr>
      </w:pPr>
      <w:r>
        <w:rPr>
          <w:b/>
          <w:bCs/>
        </w:rPr>
        <w:t>6</w:t>
      </w:r>
      <w:r w:rsidR="007966FE" w:rsidRPr="00861A19">
        <w:rPr>
          <w:b/>
          <w:bCs/>
        </w:rPr>
        <w:t xml:space="preserve">.1 Representations, </w:t>
      </w:r>
      <w:proofErr w:type="gramStart"/>
      <w:r w:rsidR="007966FE" w:rsidRPr="00861A19">
        <w:rPr>
          <w:b/>
          <w:bCs/>
        </w:rPr>
        <w:t>warranties</w:t>
      </w:r>
      <w:proofErr w:type="gramEnd"/>
      <w:r w:rsidR="007966FE" w:rsidRPr="00861A19">
        <w:rPr>
          <w:b/>
          <w:bCs/>
        </w:rPr>
        <w:t xml:space="preserve"> and Indemnities by </w:t>
      </w:r>
      <w:r w:rsidR="00C31115" w:rsidRPr="00861A19">
        <w:rPr>
          <w:b/>
          <w:bCs/>
        </w:rPr>
        <w:t>Agency</w:t>
      </w:r>
      <w:r w:rsidR="008617A9" w:rsidRPr="00861A19">
        <w:rPr>
          <w:b/>
          <w:bCs/>
        </w:rPr>
        <w:t xml:space="preserve">. </w:t>
      </w:r>
      <w:r w:rsidR="00C31115" w:rsidRPr="00861A19">
        <w:t>Agency</w:t>
      </w:r>
      <w:r w:rsidR="007966FE" w:rsidRPr="00861A19">
        <w:t xml:space="preserve"> warrants and </w:t>
      </w:r>
      <w:proofErr w:type="gramStart"/>
      <w:r w:rsidR="007966FE" w:rsidRPr="00861A19">
        <w:t>represents at all times</w:t>
      </w:r>
      <w:proofErr w:type="gramEnd"/>
      <w:r w:rsidR="007966FE" w:rsidRPr="00861A19">
        <w:t xml:space="preserve"> that </w:t>
      </w:r>
      <w:r w:rsidR="00C31115" w:rsidRPr="00861A19">
        <w:t>Agency</w:t>
      </w:r>
      <w:r w:rsidR="007966FE" w:rsidRPr="00861A19">
        <w:t xml:space="preserve"> has the right and full power and authority to enter into this Agreement, to grant the rights herein granted and to fully perform its obligations hereunder. </w:t>
      </w:r>
    </w:p>
    <w:p w14:paraId="1F4DDDDC" w14:textId="365DB359" w:rsidR="00B061A9" w:rsidRPr="00B061A9" w:rsidRDefault="00021AF1" w:rsidP="00F32498">
      <w:pPr>
        <w:pStyle w:val="NoSpacing"/>
        <w:spacing w:after="120"/>
      </w:pPr>
      <w:r>
        <w:rPr>
          <w:b/>
          <w:bCs/>
        </w:rPr>
        <w:lastRenderedPageBreak/>
        <w:t>6</w:t>
      </w:r>
      <w:r w:rsidR="007966FE" w:rsidRPr="00861A19">
        <w:rPr>
          <w:b/>
          <w:bCs/>
        </w:rPr>
        <w:t xml:space="preserve">.2 Representations, </w:t>
      </w:r>
      <w:proofErr w:type="gramStart"/>
      <w:r w:rsidR="007966FE" w:rsidRPr="00861A19">
        <w:rPr>
          <w:b/>
          <w:bCs/>
        </w:rPr>
        <w:t>warranties</w:t>
      </w:r>
      <w:proofErr w:type="gramEnd"/>
      <w:r w:rsidR="007966FE" w:rsidRPr="00861A19">
        <w:rPr>
          <w:b/>
          <w:bCs/>
        </w:rPr>
        <w:t xml:space="preserve"> and Indemnities by </w:t>
      </w:r>
      <w:r w:rsidR="00C31115" w:rsidRPr="00861A19">
        <w:rPr>
          <w:b/>
          <w:bCs/>
        </w:rPr>
        <w:t>Publisher</w:t>
      </w:r>
      <w:r w:rsidR="008617A9" w:rsidRPr="00861A19">
        <w:rPr>
          <w:b/>
          <w:bCs/>
        </w:rPr>
        <w:t xml:space="preserve">. </w:t>
      </w:r>
      <w:r w:rsidR="00C31115" w:rsidRPr="00861A19">
        <w:t>Publisher</w:t>
      </w:r>
      <w:r w:rsidR="007966FE" w:rsidRPr="00861A19">
        <w:t xml:space="preserve"> warrants and </w:t>
      </w:r>
      <w:proofErr w:type="gramStart"/>
      <w:r w:rsidR="007966FE" w:rsidRPr="00861A19">
        <w:t>represents at all times</w:t>
      </w:r>
      <w:proofErr w:type="gramEnd"/>
      <w:r w:rsidR="007966FE" w:rsidRPr="00861A19">
        <w:t xml:space="preserve"> that </w:t>
      </w:r>
      <w:r w:rsidR="00C31115" w:rsidRPr="00861A19">
        <w:t>Publisher</w:t>
      </w:r>
      <w:r w:rsidR="007966FE" w:rsidRPr="00861A19">
        <w:t xml:space="preserve"> has the right and full power and authority to enter into this Agreement, to grant the rights herein granted and to fully perform its obligations hereunder</w:t>
      </w:r>
      <w:r w:rsidR="00DF54EE">
        <w:t xml:space="preserve">. </w:t>
      </w:r>
      <w:r w:rsidR="007966FE" w:rsidRPr="00861A19">
        <w:t xml:space="preserve">In furtherance of the foregoing, </w:t>
      </w:r>
      <w:r w:rsidR="00C31115" w:rsidRPr="00861A19">
        <w:t>Publisher</w:t>
      </w:r>
      <w:r w:rsidR="007966FE" w:rsidRPr="00861A19">
        <w:t xml:space="preserve"> agrees to indemnify and hold </w:t>
      </w:r>
      <w:r w:rsidR="00C31115" w:rsidRPr="00861A19">
        <w:t>Agency</w:t>
      </w:r>
      <w:r w:rsidR="007966FE" w:rsidRPr="00861A19">
        <w:t xml:space="preserve"> harmless from and against any and all claims, actions, losses, damages, liability, reasonable costs and expenses (including reasonable outside attorneys’ fees) arising out of or in connection with the breach of the foregoing representations and warranties. </w:t>
      </w:r>
    </w:p>
    <w:p w14:paraId="36E620FB" w14:textId="2E551CD6" w:rsidR="007966FE" w:rsidRPr="00861A19" w:rsidRDefault="00021AF1" w:rsidP="00F32498">
      <w:pPr>
        <w:pStyle w:val="NoSpacing"/>
        <w:spacing w:after="120"/>
        <w:rPr>
          <w:b/>
          <w:bCs/>
        </w:rPr>
      </w:pPr>
      <w:r>
        <w:rPr>
          <w:b/>
          <w:bCs/>
        </w:rPr>
        <w:t>6</w:t>
      </w:r>
      <w:r w:rsidR="007966FE" w:rsidRPr="00861A19">
        <w:rPr>
          <w:b/>
          <w:bCs/>
        </w:rPr>
        <w:t>.3 Disclaimer</w:t>
      </w:r>
      <w:r w:rsidR="008617A9" w:rsidRPr="00861A19">
        <w:rPr>
          <w:b/>
          <w:bCs/>
        </w:rPr>
        <w:t xml:space="preserve">. </w:t>
      </w:r>
      <w:r w:rsidR="007966FE" w:rsidRPr="00861A19">
        <w:t xml:space="preserve">EXCEPT AS EXPRESSLY PROVIDED HEREIN, </w:t>
      </w:r>
      <w:r w:rsidR="00C31115" w:rsidRPr="00861A19">
        <w:t>AGENCY</w:t>
      </w:r>
      <w:r w:rsidR="007966FE" w:rsidRPr="00861A19">
        <w:t xml:space="preserve"> MAKES NO WARRANTIES OF ANY KIND, WHETHER EXPRESS OR IMPLIED, INCLUDING ANY IMPLIED WARRANTY OF MERCHANTABILITY OR FITNESS OF THE SERVICES HEREUNDER FOR A PARTICULAR PURPOSE OR APPLICATION.</w:t>
      </w:r>
    </w:p>
    <w:p w14:paraId="628335D8" w14:textId="77777777" w:rsidR="008617A9" w:rsidRPr="00861A19" w:rsidRDefault="008617A9" w:rsidP="00F32498">
      <w:pPr>
        <w:pStyle w:val="NoSpacing"/>
        <w:spacing w:after="120"/>
      </w:pPr>
    </w:p>
    <w:p w14:paraId="7C4DCAF8" w14:textId="48B35E3C" w:rsidR="007966FE" w:rsidRPr="007966FE" w:rsidRDefault="00021AF1" w:rsidP="008617A9">
      <w:pPr>
        <w:pStyle w:val="Heading1"/>
        <w:rPr>
          <w:rFonts w:eastAsia="Times New Roman"/>
        </w:rPr>
      </w:pPr>
      <w:r>
        <w:rPr>
          <w:rFonts w:eastAsia="Times New Roman"/>
        </w:rPr>
        <w:t>7</w:t>
      </w:r>
      <w:r w:rsidR="007966FE" w:rsidRPr="007966FE">
        <w:rPr>
          <w:rFonts w:eastAsia="Times New Roman"/>
        </w:rPr>
        <w:t xml:space="preserve"> Governing Law and Jurisdiction</w:t>
      </w:r>
    </w:p>
    <w:p w14:paraId="0FC5EB07" w14:textId="79FBB749" w:rsidR="008617A9" w:rsidRPr="00861A19" w:rsidRDefault="007966FE" w:rsidP="00F32498">
      <w:pPr>
        <w:pStyle w:val="NoSpacing"/>
        <w:spacing w:after="120"/>
        <w:rPr>
          <w:b/>
          <w:bCs/>
        </w:rPr>
      </w:pPr>
      <w:r w:rsidRPr="00861A19">
        <w:t xml:space="preserve">This Agreement, its interpretation, </w:t>
      </w:r>
      <w:proofErr w:type="gramStart"/>
      <w:r w:rsidRPr="00861A19">
        <w:t>performance</w:t>
      </w:r>
      <w:proofErr w:type="gramEnd"/>
      <w:r w:rsidRPr="00861A19">
        <w:t xml:space="preserve"> or any breach thereof, will be construed in accordance with, and all questions with respect thereto will be determined by the laws of Norway. Both parties hereby irrevocably submit any disputes under this Agreement to the non-exclusive jurisdiction of the courts located in Oslo, Norway. Each party agrees to the governing law above without regard </w:t>
      </w:r>
      <w:proofErr w:type="gramStart"/>
      <w:r w:rsidRPr="00861A19">
        <w:t>to choice</w:t>
      </w:r>
      <w:proofErr w:type="gramEnd"/>
      <w:r w:rsidRPr="00861A19">
        <w:t xml:space="preserve"> or conflicts of law rules.</w:t>
      </w:r>
    </w:p>
    <w:p w14:paraId="6017B21B" w14:textId="77777777" w:rsidR="00F32498" w:rsidRPr="00861A19" w:rsidRDefault="00F32498" w:rsidP="00F32498">
      <w:pPr>
        <w:pStyle w:val="NoSpacing"/>
        <w:spacing w:after="120"/>
      </w:pPr>
    </w:p>
    <w:p w14:paraId="6F9858BA" w14:textId="30FB9185" w:rsidR="007966FE" w:rsidRPr="007966FE" w:rsidRDefault="00021AF1" w:rsidP="00F32498">
      <w:pPr>
        <w:pStyle w:val="Heading1"/>
        <w:keepNext w:val="0"/>
        <w:keepLines w:val="0"/>
        <w:spacing w:after="120" w:line="240" w:lineRule="auto"/>
        <w:rPr>
          <w:rFonts w:eastAsia="Times New Roman"/>
        </w:rPr>
      </w:pPr>
      <w:r>
        <w:rPr>
          <w:rFonts w:eastAsia="Times New Roman"/>
        </w:rPr>
        <w:t>8</w:t>
      </w:r>
      <w:r w:rsidR="007966FE" w:rsidRPr="007966FE">
        <w:rPr>
          <w:rFonts w:eastAsia="Times New Roman"/>
        </w:rPr>
        <w:t xml:space="preserve"> General Provisions</w:t>
      </w:r>
    </w:p>
    <w:p w14:paraId="5A2CD303" w14:textId="0DD4B517" w:rsidR="00021AF1" w:rsidRPr="00021AF1" w:rsidRDefault="00021AF1" w:rsidP="00F32498">
      <w:pPr>
        <w:pStyle w:val="NoSpacing"/>
        <w:spacing w:after="120"/>
      </w:pPr>
      <w:r>
        <w:rPr>
          <w:b/>
          <w:bCs/>
        </w:rPr>
        <w:t>8</w:t>
      </w:r>
      <w:r w:rsidRPr="00861A19">
        <w:rPr>
          <w:b/>
          <w:bCs/>
        </w:rPr>
        <w:t>.</w:t>
      </w:r>
      <w:r>
        <w:rPr>
          <w:b/>
          <w:bCs/>
        </w:rPr>
        <w:t>1</w:t>
      </w:r>
      <w:r w:rsidRPr="00861A19">
        <w:rPr>
          <w:b/>
          <w:bCs/>
        </w:rPr>
        <w:t xml:space="preserve"> Notices. </w:t>
      </w:r>
      <w:r w:rsidRPr="00861A19">
        <w:t xml:space="preserve">All notices permitted or required to be given hereunder shall be addressed to </w:t>
      </w:r>
      <w:r w:rsidRPr="00861A19">
        <w:rPr>
          <w:highlight w:val="yellow"/>
        </w:rPr>
        <w:t>youremail@agency.com</w:t>
      </w:r>
      <w:r w:rsidRPr="00861A19">
        <w:t>. Notices to Publisher shall be addressed to</w:t>
      </w:r>
      <w:r>
        <w:t xml:space="preserve"> </w:t>
      </w:r>
      <w:r w:rsidRPr="00861A19">
        <w:rPr>
          <w:highlight w:val="yellow"/>
        </w:rPr>
        <w:t>[</w:t>
      </w:r>
      <w:r>
        <w:rPr>
          <w:highlight w:val="yellow"/>
        </w:rPr>
        <w:t>PUBLISHER EMAIL</w:t>
      </w:r>
      <w:r w:rsidRPr="00861A19">
        <w:rPr>
          <w:highlight w:val="yellow"/>
        </w:rPr>
        <w:t>]</w:t>
      </w:r>
      <w:r w:rsidRPr="00861A19">
        <w:t>.</w:t>
      </w:r>
    </w:p>
    <w:p w14:paraId="015EF093" w14:textId="0AB3A424" w:rsidR="008617A9" w:rsidRPr="00861A19" w:rsidRDefault="00021AF1" w:rsidP="00F32498">
      <w:pPr>
        <w:pStyle w:val="NoSpacing"/>
        <w:spacing w:after="120"/>
        <w:rPr>
          <w:b/>
          <w:bCs/>
        </w:rPr>
      </w:pPr>
      <w:r>
        <w:rPr>
          <w:b/>
          <w:bCs/>
        </w:rPr>
        <w:t>8</w:t>
      </w:r>
      <w:r w:rsidR="007966FE" w:rsidRPr="00861A19">
        <w:rPr>
          <w:b/>
          <w:bCs/>
        </w:rPr>
        <w:t>.</w:t>
      </w:r>
      <w:r>
        <w:rPr>
          <w:b/>
          <w:bCs/>
        </w:rPr>
        <w:t>2</w:t>
      </w:r>
      <w:r w:rsidR="007966FE" w:rsidRPr="00861A19">
        <w:rPr>
          <w:b/>
          <w:bCs/>
        </w:rPr>
        <w:t xml:space="preserve"> Waiver and Cumulative Remedies</w:t>
      </w:r>
      <w:r w:rsidR="008617A9" w:rsidRPr="00861A19">
        <w:rPr>
          <w:b/>
          <w:bCs/>
        </w:rPr>
        <w:t xml:space="preserve">. </w:t>
      </w:r>
      <w:r w:rsidR="007966FE" w:rsidRPr="00861A19">
        <w:t>No failure or delay by either party in exercising any right under this Agreement shall constitute a waiver of that right. Other than as expressly stated herein, the remedies provided herein are in addition to, and not exclusive of, any other remedies of a party under applicable laws.</w:t>
      </w:r>
    </w:p>
    <w:p w14:paraId="27D52BCF" w14:textId="5570707E" w:rsidR="008617A9" w:rsidRPr="00861A19" w:rsidRDefault="00021AF1" w:rsidP="00F32498">
      <w:pPr>
        <w:pStyle w:val="NoSpacing"/>
        <w:spacing w:after="120"/>
        <w:rPr>
          <w:b/>
          <w:bCs/>
        </w:rPr>
      </w:pPr>
      <w:r>
        <w:rPr>
          <w:b/>
          <w:bCs/>
        </w:rPr>
        <w:t>8</w:t>
      </w:r>
      <w:r w:rsidR="007966FE" w:rsidRPr="00861A19">
        <w:rPr>
          <w:b/>
          <w:bCs/>
        </w:rPr>
        <w:t>.</w:t>
      </w:r>
      <w:r>
        <w:rPr>
          <w:b/>
          <w:bCs/>
        </w:rPr>
        <w:t>3</w:t>
      </w:r>
      <w:r w:rsidR="007966FE" w:rsidRPr="00861A19">
        <w:rPr>
          <w:b/>
          <w:bCs/>
        </w:rPr>
        <w:t xml:space="preserve"> Severability</w:t>
      </w:r>
      <w:r w:rsidR="008617A9" w:rsidRPr="00861A19">
        <w:rPr>
          <w:b/>
          <w:bCs/>
        </w:rPr>
        <w:t xml:space="preserve">. </w:t>
      </w:r>
      <w:r w:rsidR="007966FE" w:rsidRPr="00861A19">
        <w:t>If any provision of this Agreement is held by a court of competent jurisdiction to be contrary to law, the provision shall be modified by the court and interpreted so as best to accomplish the objectives of the original provision to the fullest extent permitted by law, and the remaining provisions of this Agreement shall remain in effect.</w:t>
      </w:r>
    </w:p>
    <w:p w14:paraId="77CE7B6D" w14:textId="1DDD249A" w:rsidR="008617A9" w:rsidRPr="00861A19" w:rsidRDefault="00021AF1" w:rsidP="00F32498">
      <w:pPr>
        <w:pStyle w:val="NoSpacing"/>
        <w:spacing w:after="120"/>
        <w:rPr>
          <w:b/>
          <w:bCs/>
        </w:rPr>
      </w:pPr>
      <w:r>
        <w:rPr>
          <w:b/>
          <w:bCs/>
        </w:rPr>
        <w:t>8</w:t>
      </w:r>
      <w:r w:rsidR="007966FE" w:rsidRPr="00861A19">
        <w:rPr>
          <w:b/>
          <w:bCs/>
        </w:rPr>
        <w:t>.</w:t>
      </w:r>
      <w:r>
        <w:rPr>
          <w:b/>
          <w:bCs/>
        </w:rPr>
        <w:t>4</w:t>
      </w:r>
      <w:r w:rsidR="007966FE" w:rsidRPr="00861A19">
        <w:rPr>
          <w:b/>
          <w:bCs/>
        </w:rPr>
        <w:t xml:space="preserve"> Assignment</w:t>
      </w:r>
      <w:r w:rsidR="008617A9" w:rsidRPr="00861A19">
        <w:rPr>
          <w:b/>
          <w:bCs/>
        </w:rPr>
        <w:t xml:space="preserve">. </w:t>
      </w:r>
      <w:r w:rsidR="007966FE" w:rsidRPr="00861A19">
        <w:t xml:space="preserve">Neither party may assign any of its rights or obligations hereunder, whether by operation of law or otherwise, without the prior written consent of the other party (not to be unreasonably withheld). Notwithstanding the foregoing, either party may assign this Agreement in its entirety, without consent of the other party, to its Affiliate or in connection with a merger, acquisition, corporate reorganization, or sale of all or substantially all of its assets not involving a direct competitor of the other party. A party’s sole remedy for any purported assignment by the other party in breach of this clause shall be, at the non-assigning party’s election, termination of this Agreement upon written notice to the assigning party. In the event of such a termination by </w:t>
      </w:r>
      <w:r w:rsidR="00C31115" w:rsidRPr="00861A19">
        <w:t>Publisher</w:t>
      </w:r>
      <w:r w:rsidR="007966FE" w:rsidRPr="00861A19">
        <w:t xml:space="preserve">, </w:t>
      </w:r>
      <w:r w:rsidR="00C31115" w:rsidRPr="00861A19">
        <w:t>Agency</w:t>
      </w:r>
      <w:r w:rsidR="007966FE" w:rsidRPr="00861A19">
        <w:t xml:space="preserve"> shall refund to </w:t>
      </w:r>
      <w:r w:rsidR="00C31115" w:rsidRPr="00861A19">
        <w:t>Publisher</w:t>
      </w:r>
      <w:r w:rsidR="007966FE" w:rsidRPr="00861A19">
        <w:t xml:space="preserve"> any prepaid fees covering the remainder of the term of all subscriptions after the effective date of termination. In no event shall any termination relieve </w:t>
      </w:r>
      <w:r w:rsidR="00C31115" w:rsidRPr="00861A19">
        <w:t>Publisher</w:t>
      </w:r>
      <w:r w:rsidR="007966FE" w:rsidRPr="00861A19">
        <w:t xml:space="preserve"> of the obligation to pay any fees payable to </w:t>
      </w:r>
      <w:r w:rsidR="00C31115" w:rsidRPr="00861A19">
        <w:t>Agency</w:t>
      </w:r>
      <w:r w:rsidR="007966FE" w:rsidRPr="00861A19">
        <w:t xml:space="preserve"> for the period prior to the effective date of termination. Subject to the foregoing, this Agreement shall bind and inure to the benefit of the parties, their respective successors and permitted assigns.</w:t>
      </w:r>
    </w:p>
    <w:p w14:paraId="33B54517" w14:textId="27E82586" w:rsidR="008617A9" w:rsidRPr="00861A19" w:rsidRDefault="00021AF1" w:rsidP="00F32498">
      <w:pPr>
        <w:pStyle w:val="NoSpacing"/>
        <w:spacing w:after="120"/>
      </w:pPr>
      <w:r>
        <w:rPr>
          <w:b/>
          <w:bCs/>
        </w:rPr>
        <w:lastRenderedPageBreak/>
        <w:t>8</w:t>
      </w:r>
      <w:r w:rsidR="007966FE" w:rsidRPr="00861A19">
        <w:rPr>
          <w:b/>
          <w:bCs/>
        </w:rPr>
        <w:t>.</w:t>
      </w:r>
      <w:r>
        <w:rPr>
          <w:b/>
          <w:bCs/>
        </w:rPr>
        <w:t>5</w:t>
      </w:r>
      <w:r w:rsidR="007966FE" w:rsidRPr="00861A19">
        <w:rPr>
          <w:b/>
          <w:bCs/>
        </w:rPr>
        <w:t xml:space="preserve"> Confidentiality</w:t>
      </w:r>
      <w:r w:rsidR="008617A9" w:rsidRPr="00861A19">
        <w:rPr>
          <w:b/>
          <w:bCs/>
        </w:rPr>
        <w:t xml:space="preserve">. </w:t>
      </w:r>
      <w:r w:rsidR="007966FE" w:rsidRPr="00861A19">
        <w:t>Both parties agree to keep all information</w:t>
      </w:r>
      <w:r w:rsidR="00524196" w:rsidRPr="00861A19">
        <w:t xml:space="preserve"> in this Agreement, including its exhibits,</w:t>
      </w:r>
      <w:r w:rsidR="007966FE" w:rsidRPr="00861A19">
        <w:t xml:space="preserve"> confidential and not to inform any third party about its content unless required to do so by law or regulation or mutually agreed upon by the parties.</w:t>
      </w:r>
    </w:p>
    <w:p w14:paraId="4707AD66" w14:textId="28C8739E" w:rsidR="008617A9" w:rsidRPr="00861A19" w:rsidRDefault="00021AF1" w:rsidP="00F32498">
      <w:pPr>
        <w:pStyle w:val="NoSpacing"/>
        <w:spacing w:after="120"/>
      </w:pPr>
      <w:r>
        <w:rPr>
          <w:b/>
          <w:bCs/>
        </w:rPr>
        <w:t>8</w:t>
      </w:r>
      <w:r w:rsidR="007966FE" w:rsidRPr="00861A19">
        <w:rPr>
          <w:b/>
          <w:bCs/>
        </w:rPr>
        <w:t>.6 Marketing and PR</w:t>
      </w:r>
      <w:r w:rsidR="008617A9" w:rsidRPr="00861A19">
        <w:rPr>
          <w:b/>
          <w:bCs/>
        </w:rPr>
        <w:t xml:space="preserve">. </w:t>
      </w:r>
      <w:r w:rsidR="007966FE" w:rsidRPr="00861A19">
        <w:t xml:space="preserve">During the Term, </w:t>
      </w:r>
      <w:r w:rsidR="005F4299" w:rsidRPr="00861A19">
        <w:t>the Parties</w:t>
      </w:r>
      <w:r w:rsidR="007966FE" w:rsidRPr="00861A19">
        <w:t xml:space="preserve"> grant </w:t>
      </w:r>
      <w:r w:rsidR="005F4299" w:rsidRPr="00861A19">
        <w:t>each other</w:t>
      </w:r>
      <w:r w:rsidR="007966FE" w:rsidRPr="00861A19">
        <w:t xml:space="preserve"> a limited, royalty-free, non-transferrable right to identify </w:t>
      </w:r>
      <w:r w:rsidR="005F4299" w:rsidRPr="00861A19">
        <w:t>each other</w:t>
      </w:r>
      <w:r w:rsidR="007966FE" w:rsidRPr="00861A19">
        <w:t xml:space="preserve"> as </w:t>
      </w:r>
      <w:r w:rsidR="005F4299" w:rsidRPr="00861A19">
        <w:t xml:space="preserve">partners </w:t>
      </w:r>
      <w:r w:rsidR="007966FE" w:rsidRPr="00861A19">
        <w:t xml:space="preserve">in connection </w:t>
      </w:r>
      <w:r w:rsidR="005F4299" w:rsidRPr="00861A19">
        <w:t>with marketing and sales material, press releases and on each Party’s website</w:t>
      </w:r>
      <w:r w:rsidR="007966FE" w:rsidRPr="00861A19">
        <w:t>.</w:t>
      </w:r>
    </w:p>
    <w:p w14:paraId="530B5C3A" w14:textId="77777777" w:rsidR="00FA121C" w:rsidRPr="00861A19" w:rsidRDefault="00FA121C" w:rsidP="00FA121C">
      <w:pPr>
        <w:pStyle w:val="NoSpacing"/>
        <w:rPr>
          <w:iCs/>
          <w:lang w:val="en-AU"/>
        </w:rPr>
      </w:pPr>
    </w:p>
    <w:p w14:paraId="75DDF868" w14:textId="77777777" w:rsidR="00FA121C" w:rsidRPr="00861A19" w:rsidRDefault="00FA121C" w:rsidP="00FA121C">
      <w:pPr>
        <w:pStyle w:val="NoSpacing"/>
        <w:jc w:val="center"/>
        <w:rPr>
          <w:iCs/>
          <w:lang w:val="en-AU"/>
        </w:rPr>
      </w:pPr>
      <w:r w:rsidRPr="00861A19">
        <w:rPr>
          <w:iCs/>
          <w:lang w:val="en-AU"/>
        </w:rPr>
        <w:t xml:space="preserve">Accepted and Agreed to </w:t>
      </w:r>
      <w:proofErr w:type="gramStart"/>
      <w:r w:rsidRPr="00861A19">
        <w:rPr>
          <w:iCs/>
          <w:lang w:val="en-AU"/>
        </w:rPr>
        <w:t>By</w:t>
      </w:r>
      <w:proofErr w:type="gramEnd"/>
      <w:r w:rsidRPr="00861A19">
        <w:rPr>
          <w:iCs/>
          <w:lang w:val="en-AU"/>
        </w:rPr>
        <w:t>:</w:t>
      </w:r>
    </w:p>
    <w:p w14:paraId="5F8F97BA" w14:textId="77777777" w:rsidR="00FA121C" w:rsidRPr="00861A19" w:rsidRDefault="00FA121C" w:rsidP="00FA121C">
      <w:pPr>
        <w:pStyle w:val="NoSpacing"/>
        <w:jc w:val="center"/>
        <w:rPr>
          <w:iCs/>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FA121C" w:rsidRPr="00861A19" w14:paraId="33A04915" w14:textId="77777777" w:rsidTr="00031185">
        <w:tc>
          <w:tcPr>
            <w:tcW w:w="4675" w:type="dxa"/>
            <w:shd w:val="clear" w:color="auto" w:fill="FFFFFF" w:themeFill="background1"/>
          </w:tcPr>
          <w:p w14:paraId="22BCB4C8" w14:textId="5B41A183" w:rsidR="00FA121C" w:rsidRPr="00861A19" w:rsidRDefault="00FA121C" w:rsidP="00031185">
            <w:pPr>
              <w:pStyle w:val="NoSpacing"/>
              <w:jc w:val="center"/>
            </w:pPr>
            <w:r w:rsidRPr="00861A19">
              <w:t xml:space="preserve">For </w:t>
            </w:r>
            <w:r w:rsidR="00C31115" w:rsidRPr="00861A19">
              <w:t>Publisher</w:t>
            </w:r>
          </w:p>
        </w:tc>
        <w:tc>
          <w:tcPr>
            <w:tcW w:w="4675" w:type="dxa"/>
            <w:shd w:val="clear" w:color="auto" w:fill="FFFFFF" w:themeFill="background1"/>
          </w:tcPr>
          <w:p w14:paraId="3C7019F3" w14:textId="5EB7F9DF" w:rsidR="00FA121C" w:rsidRPr="00861A19" w:rsidRDefault="00FA121C" w:rsidP="00031185">
            <w:pPr>
              <w:pStyle w:val="NoSpacing"/>
              <w:jc w:val="center"/>
            </w:pPr>
            <w:r w:rsidRPr="00861A19">
              <w:t xml:space="preserve">For </w:t>
            </w:r>
            <w:r w:rsidR="00C31115" w:rsidRPr="00861A19">
              <w:t>Agency</w:t>
            </w:r>
          </w:p>
        </w:tc>
      </w:tr>
      <w:tr w:rsidR="00FA121C" w:rsidRPr="00861A19" w14:paraId="35F02374" w14:textId="77777777" w:rsidTr="00031185">
        <w:tc>
          <w:tcPr>
            <w:tcW w:w="4675" w:type="dxa"/>
            <w:shd w:val="clear" w:color="auto" w:fill="FFFFFF" w:themeFill="background1"/>
          </w:tcPr>
          <w:p w14:paraId="2720813F" w14:textId="77777777" w:rsidR="00FA121C" w:rsidRPr="00861A19" w:rsidRDefault="00FA121C" w:rsidP="00031185">
            <w:pPr>
              <w:pStyle w:val="NoSpacing"/>
              <w:jc w:val="center"/>
            </w:pPr>
          </w:p>
          <w:p w14:paraId="250B26D4" w14:textId="77777777" w:rsidR="00FA121C" w:rsidRPr="00861A19" w:rsidRDefault="00FA121C" w:rsidP="00031185">
            <w:pPr>
              <w:pStyle w:val="NoSpacing"/>
              <w:jc w:val="center"/>
            </w:pPr>
          </w:p>
          <w:p w14:paraId="4264193A" w14:textId="77777777" w:rsidR="00FA121C" w:rsidRPr="00861A19" w:rsidRDefault="00FA121C" w:rsidP="00031185">
            <w:pPr>
              <w:pStyle w:val="NoSpacing"/>
              <w:jc w:val="center"/>
            </w:pPr>
          </w:p>
          <w:p w14:paraId="15288FCD" w14:textId="77777777" w:rsidR="00FA121C" w:rsidRPr="00861A19" w:rsidRDefault="00FA121C" w:rsidP="00031185">
            <w:pPr>
              <w:pStyle w:val="NoSpacing"/>
              <w:pBdr>
                <w:bottom w:val="single" w:sz="6" w:space="1" w:color="auto"/>
              </w:pBdr>
              <w:jc w:val="center"/>
            </w:pPr>
          </w:p>
          <w:p w14:paraId="50217B1F" w14:textId="77777777" w:rsidR="00FA121C" w:rsidRPr="00861A19" w:rsidRDefault="00FA121C" w:rsidP="00031185">
            <w:pPr>
              <w:pStyle w:val="NoSpacing"/>
              <w:jc w:val="center"/>
            </w:pPr>
            <w:r w:rsidRPr="00861A19">
              <w:t>Signature</w:t>
            </w:r>
          </w:p>
          <w:p w14:paraId="2F7D3153" w14:textId="77777777" w:rsidR="00FA121C" w:rsidRPr="00861A19" w:rsidRDefault="00FA121C" w:rsidP="00031185">
            <w:pPr>
              <w:pStyle w:val="NoSpacing"/>
              <w:jc w:val="center"/>
            </w:pPr>
          </w:p>
        </w:tc>
        <w:tc>
          <w:tcPr>
            <w:tcW w:w="4675" w:type="dxa"/>
            <w:shd w:val="clear" w:color="auto" w:fill="FFFFFF" w:themeFill="background1"/>
          </w:tcPr>
          <w:p w14:paraId="70DA078E" w14:textId="77777777" w:rsidR="00FA121C" w:rsidRPr="00861A19" w:rsidRDefault="00FA121C" w:rsidP="00031185">
            <w:pPr>
              <w:pStyle w:val="NoSpacing"/>
              <w:jc w:val="center"/>
            </w:pPr>
          </w:p>
          <w:p w14:paraId="7760BA95" w14:textId="77777777" w:rsidR="00FA121C" w:rsidRPr="00861A19" w:rsidRDefault="00FA121C" w:rsidP="00031185">
            <w:pPr>
              <w:pStyle w:val="NoSpacing"/>
              <w:jc w:val="center"/>
            </w:pPr>
          </w:p>
          <w:p w14:paraId="54E2EAD3" w14:textId="77777777" w:rsidR="00FA121C" w:rsidRPr="00861A19" w:rsidRDefault="00FA121C" w:rsidP="00031185">
            <w:pPr>
              <w:pStyle w:val="NoSpacing"/>
              <w:jc w:val="center"/>
            </w:pPr>
          </w:p>
          <w:p w14:paraId="5AF6D7EC" w14:textId="77777777" w:rsidR="00FA121C" w:rsidRPr="00861A19" w:rsidRDefault="00FA121C" w:rsidP="00031185">
            <w:pPr>
              <w:pStyle w:val="NoSpacing"/>
              <w:pBdr>
                <w:bottom w:val="single" w:sz="6" w:space="1" w:color="auto"/>
              </w:pBdr>
              <w:jc w:val="center"/>
            </w:pPr>
          </w:p>
          <w:p w14:paraId="4AC65951" w14:textId="77777777" w:rsidR="00FA121C" w:rsidRPr="00861A19" w:rsidRDefault="00FA121C" w:rsidP="00031185">
            <w:pPr>
              <w:pStyle w:val="NoSpacing"/>
              <w:jc w:val="center"/>
            </w:pPr>
            <w:r w:rsidRPr="00861A19">
              <w:t>Signature</w:t>
            </w:r>
          </w:p>
          <w:p w14:paraId="365D5770" w14:textId="77777777" w:rsidR="00FA121C" w:rsidRPr="00861A19" w:rsidRDefault="00FA121C" w:rsidP="00031185">
            <w:pPr>
              <w:pStyle w:val="NoSpacing"/>
              <w:jc w:val="center"/>
            </w:pPr>
          </w:p>
        </w:tc>
      </w:tr>
      <w:tr w:rsidR="00FA121C" w:rsidRPr="00861A19" w14:paraId="2277E0AD" w14:textId="77777777" w:rsidTr="00031185">
        <w:tc>
          <w:tcPr>
            <w:tcW w:w="4675" w:type="dxa"/>
            <w:shd w:val="clear" w:color="auto" w:fill="FFFFFF" w:themeFill="background1"/>
          </w:tcPr>
          <w:p w14:paraId="588CE2B8" w14:textId="77777777" w:rsidR="00FA121C" w:rsidRPr="00861A19" w:rsidRDefault="00FA121C" w:rsidP="00031185">
            <w:pPr>
              <w:pStyle w:val="NoSpacing"/>
            </w:pPr>
            <w:r w:rsidRPr="00861A19">
              <w:t xml:space="preserve">Date: </w:t>
            </w:r>
          </w:p>
        </w:tc>
        <w:tc>
          <w:tcPr>
            <w:tcW w:w="4675" w:type="dxa"/>
            <w:shd w:val="clear" w:color="auto" w:fill="FFFFFF" w:themeFill="background1"/>
          </w:tcPr>
          <w:p w14:paraId="2FE294EC" w14:textId="77777777" w:rsidR="00FA121C" w:rsidRPr="00861A19" w:rsidRDefault="00FA121C" w:rsidP="00031185">
            <w:pPr>
              <w:pStyle w:val="NoSpacing"/>
            </w:pPr>
            <w:r w:rsidRPr="00861A19">
              <w:t xml:space="preserve">Date: </w:t>
            </w:r>
          </w:p>
        </w:tc>
      </w:tr>
      <w:tr w:rsidR="00FA121C" w:rsidRPr="00861A19" w14:paraId="5D3484D4" w14:textId="77777777" w:rsidTr="00031185">
        <w:tc>
          <w:tcPr>
            <w:tcW w:w="4675" w:type="dxa"/>
            <w:shd w:val="clear" w:color="auto" w:fill="FFFFFF" w:themeFill="background1"/>
          </w:tcPr>
          <w:p w14:paraId="6BF31680" w14:textId="77777777" w:rsidR="00FA121C" w:rsidRPr="00861A19" w:rsidRDefault="00FA121C" w:rsidP="00031185">
            <w:pPr>
              <w:pStyle w:val="NoSpacing"/>
            </w:pPr>
            <w:r w:rsidRPr="00861A19">
              <w:t xml:space="preserve">Place: </w:t>
            </w:r>
          </w:p>
        </w:tc>
        <w:tc>
          <w:tcPr>
            <w:tcW w:w="4675" w:type="dxa"/>
            <w:shd w:val="clear" w:color="auto" w:fill="FFFFFF" w:themeFill="background1"/>
          </w:tcPr>
          <w:p w14:paraId="67B31B8B" w14:textId="0C45D19C" w:rsidR="00FA121C" w:rsidRPr="00861A19" w:rsidRDefault="00FA121C" w:rsidP="00031185">
            <w:pPr>
              <w:pStyle w:val="NoSpacing"/>
            </w:pPr>
            <w:r w:rsidRPr="00861A19">
              <w:t xml:space="preserve">Place: </w:t>
            </w:r>
          </w:p>
        </w:tc>
      </w:tr>
      <w:tr w:rsidR="00FA121C" w:rsidRPr="00861A19" w14:paraId="49D0328E" w14:textId="77777777" w:rsidTr="00031185">
        <w:tc>
          <w:tcPr>
            <w:tcW w:w="4675" w:type="dxa"/>
            <w:shd w:val="clear" w:color="auto" w:fill="FFFFFF" w:themeFill="background1"/>
          </w:tcPr>
          <w:p w14:paraId="42D890FB" w14:textId="77777777" w:rsidR="00FA121C" w:rsidRPr="00861A19" w:rsidRDefault="00FA121C" w:rsidP="00031185">
            <w:pPr>
              <w:pStyle w:val="NoSpacing"/>
            </w:pPr>
            <w:r w:rsidRPr="00861A19">
              <w:t xml:space="preserve">Name: </w:t>
            </w:r>
          </w:p>
        </w:tc>
        <w:tc>
          <w:tcPr>
            <w:tcW w:w="4675" w:type="dxa"/>
            <w:shd w:val="clear" w:color="auto" w:fill="FFFFFF" w:themeFill="background1"/>
          </w:tcPr>
          <w:p w14:paraId="093ED078" w14:textId="6D8706D7" w:rsidR="00FA121C" w:rsidRPr="00861A19" w:rsidRDefault="00FA121C" w:rsidP="00031185">
            <w:pPr>
              <w:pStyle w:val="NoSpacing"/>
            </w:pPr>
            <w:r w:rsidRPr="00861A19">
              <w:t xml:space="preserve">Name: </w:t>
            </w:r>
          </w:p>
        </w:tc>
      </w:tr>
      <w:tr w:rsidR="00FA121C" w:rsidRPr="00861A19" w14:paraId="25923517" w14:textId="77777777" w:rsidTr="00031185">
        <w:tc>
          <w:tcPr>
            <w:tcW w:w="4675" w:type="dxa"/>
            <w:shd w:val="clear" w:color="auto" w:fill="FFFFFF" w:themeFill="background1"/>
          </w:tcPr>
          <w:p w14:paraId="53305CCF" w14:textId="77777777" w:rsidR="00FA121C" w:rsidRPr="00861A19" w:rsidRDefault="00FA121C" w:rsidP="00031185">
            <w:pPr>
              <w:pStyle w:val="NoSpacing"/>
            </w:pPr>
            <w:r w:rsidRPr="00861A19">
              <w:t xml:space="preserve">Title: </w:t>
            </w:r>
          </w:p>
        </w:tc>
        <w:tc>
          <w:tcPr>
            <w:tcW w:w="4675" w:type="dxa"/>
            <w:shd w:val="clear" w:color="auto" w:fill="FFFFFF" w:themeFill="background1"/>
          </w:tcPr>
          <w:p w14:paraId="01654845" w14:textId="27B58092" w:rsidR="00FA121C" w:rsidRPr="00861A19" w:rsidRDefault="00FA121C" w:rsidP="00031185">
            <w:pPr>
              <w:pStyle w:val="NoSpacing"/>
            </w:pPr>
            <w:r w:rsidRPr="00861A19">
              <w:t xml:space="preserve">Title: </w:t>
            </w:r>
          </w:p>
        </w:tc>
      </w:tr>
    </w:tbl>
    <w:p w14:paraId="36799271" w14:textId="77777777" w:rsidR="00FA121C" w:rsidRDefault="00FA121C" w:rsidP="007966FE">
      <w:pPr>
        <w:pStyle w:val="NoSpacing"/>
      </w:pPr>
    </w:p>
    <w:p w14:paraId="4E94D0FD" w14:textId="77777777" w:rsidR="00DB2789" w:rsidRDefault="00DB2789">
      <w:pPr>
        <w:rPr>
          <w:rFonts w:asciiTheme="majorHAnsi" w:eastAsiaTheme="majorEastAsia" w:hAnsiTheme="majorHAnsi" w:cstheme="majorBidi"/>
          <w:b/>
          <w:sz w:val="24"/>
          <w:szCs w:val="32"/>
        </w:rPr>
      </w:pPr>
      <w:r>
        <w:rPr>
          <w:b/>
          <w:sz w:val="24"/>
        </w:rPr>
        <w:br w:type="page"/>
      </w:r>
    </w:p>
    <w:p w14:paraId="72627F65" w14:textId="5290BC33" w:rsidR="00643E62" w:rsidRDefault="00643E62" w:rsidP="00643E62">
      <w:pPr>
        <w:pStyle w:val="Heading1"/>
        <w:jc w:val="center"/>
      </w:pPr>
      <w:r>
        <w:lastRenderedPageBreak/>
        <w:t xml:space="preserve">EXHIBIT </w:t>
      </w:r>
      <w:r w:rsidR="00861A19">
        <w:t>1</w:t>
      </w:r>
      <w:r>
        <w:t>: DATA PROCESSING AGREEMENT</w:t>
      </w:r>
    </w:p>
    <w:p w14:paraId="4D7B5417" w14:textId="77777777" w:rsidR="00643E62" w:rsidRDefault="00643E62" w:rsidP="00643E62">
      <w:pPr>
        <w:pStyle w:val="NoSpacing"/>
      </w:pPr>
    </w:p>
    <w:p w14:paraId="03E3B4E3" w14:textId="17986C31" w:rsidR="00643E62" w:rsidRPr="00643E62" w:rsidRDefault="00643E62" w:rsidP="00643E62">
      <w:pPr>
        <w:pStyle w:val="Heading1"/>
      </w:pPr>
      <w:r w:rsidRPr="00643E62">
        <w:t>1 Background and Purpose</w:t>
      </w:r>
    </w:p>
    <w:p w14:paraId="4201D6A4" w14:textId="13E101DB" w:rsidR="00CA083B" w:rsidRDefault="00C31115" w:rsidP="00CE5CEC">
      <w:pPr>
        <w:pStyle w:val="NoSpacing"/>
        <w:spacing w:after="120"/>
      </w:pPr>
      <w:r>
        <w:t>Agency</w:t>
      </w:r>
      <w:r w:rsidR="00CE5CEC" w:rsidRPr="00CE5CEC">
        <w:t xml:space="preserve"> (in this Exhibit referred to as Processor)</w:t>
      </w:r>
      <w:r w:rsidR="00CA083B" w:rsidRPr="00CE5CEC">
        <w:t xml:space="preserve"> </w:t>
      </w:r>
      <w:r w:rsidR="00F01DEA">
        <w:t>uses</w:t>
      </w:r>
      <w:r w:rsidR="00CA083B" w:rsidRPr="00CE5CEC">
        <w:t xml:space="preserve"> </w:t>
      </w:r>
      <w:r w:rsidR="00F01DEA">
        <w:t>Software</w:t>
      </w:r>
      <w:r w:rsidR="00CA083B" w:rsidRPr="00CE5CEC">
        <w:t xml:space="preserve"> </w:t>
      </w:r>
      <w:r w:rsidR="00F01DEA">
        <w:t>on</w:t>
      </w:r>
      <w:r w:rsidR="00CA083B" w:rsidRPr="00CE5CEC">
        <w:t xml:space="preserve"> </w:t>
      </w:r>
      <w:r w:rsidR="00F01DEA">
        <w:t xml:space="preserve">Publisher’s </w:t>
      </w:r>
      <w:r w:rsidR="00CE5CEC" w:rsidRPr="00CE5CEC">
        <w:t>(in this Exhibit referred to as Controller)</w:t>
      </w:r>
      <w:r w:rsidR="00F01DEA">
        <w:t xml:space="preserve"> properties,</w:t>
      </w:r>
      <w:r w:rsidR="00CA083B" w:rsidRPr="00CE5CEC">
        <w:t xml:space="preserve"> which</w:t>
      </w:r>
      <w:r w:rsidR="00F01DEA">
        <w:t xml:space="preserve"> may</w:t>
      </w:r>
      <w:r w:rsidR="00CA083B" w:rsidRPr="00CE5CEC">
        <w:t xml:space="preserve"> </w:t>
      </w:r>
      <w:r w:rsidR="00F01DEA">
        <w:t>involve</w:t>
      </w:r>
      <w:r w:rsidR="00CA083B" w:rsidRPr="00CE5CEC">
        <w:t xml:space="preserve"> the Processing of Personal Data. This Data Processing Agreement describes the terms and conditions applicable to the processing of Personal Data</w:t>
      </w:r>
      <w:r w:rsidR="00C651F0">
        <w:t xml:space="preserve"> collected from Publisher’s properties</w:t>
      </w:r>
      <w:r w:rsidR="00CA083B" w:rsidRPr="00CE5CEC">
        <w:t xml:space="preserve">. The purpose is to adduce adequate safeguards with respect to the protection of privacy and fundamental rights and freedoms of data subjects and ensure that </w:t>
      </w:r>
      <w:r w:rsidR="00932BDD">
        <w:t>the</w:t>
      </w:r>
      <w:r w:rsidR="00CA083B" w:rsidRPr="00CE5CEC">
        <w:t xml:space="preserve"> Parties follow applicable data protection law.</w:t>
      </w:r>
    </w:p>
    <w:p w14:paraId="4733C4B0" w14:textId="77777777" w:rsidR="00287E91" w:rsidRPr="00CE5CEC" w:rsidRDefault="00287E91" w:rsidP="00CE5CEC">
      <w:pPr>
        <w:pStyle w:val="NoSpacing"/>
        <w:spacing w:after="120"/>
      </w:pPr>
    </w:p>
    <w:p w14:paraId="2531627B" w14:textId="5F0E88F8" w:rsidR="00643E62" w:rsidRPr="00643E62" w:rsidRDefault="00643E62" w:rsidP="00643E62">
      <w:pPr>
        <w:pStyle w:val="Heading1"/>
      </w:pPr>
      <w:r w:rsidRPr="00643E62">
        <w:t>2 Definitions</w:t>
      </w:r>
    </w:p>
    <w:p w14:paraId="729BC97E" w14:textId="2E3B516C" w:rsidR="00643E62" w:rsidRPr="00643E62" w:rsidRDefault="00CA083B" w:rsidP="00CE5CEC">
      <w:pPr>
        <w:pStyle w:val="NoSpacing"/>
        <w:spacing w:after="120"/>
      </w:pPr>
      <w:r w:rsidRPr="00CA083B">
        <w:rPr>
          <w:b/>
          <w:bCs/>
        </w:rPr>
        <w:t xml:space="preserve">2.1 </w:t>
      </w:r>
      <w:r w:rsidR="00643E62" w:rsidRPr="00CA083B">
        <w:rPr>
          <w:b/>
          <w:bCs/>
        </w:rPr>
        <w:t>“Applicable data protection law”</w:t>
      </w:r>
      <w:r w:rsidR="00643E62" w:rsidRPr="00643E62">
        <w:t> means applicable legislation protecting data subjects’ right to privacy with respect to the processing of personal data, including but not limited to the GDPR and any local implementation laws.</w:t>
      </w:r>
    </w:p>
    <w:p w14:paraId="5D8DEB8B" w14:textId="1F9B8340" w:rsidR="00643E62" w:rsidRPr="00643E62" w:rsidRDefault="00CE5CEC" w:rsidP="00CE5CEC">
      <w:pPr>
        <w:pStyle w:val="NoSpacing"/>
        <w:spacing w:after="120"/>
      </w:pPr>
      <w:r w:rsidRPr="00CE5CEC">
        <w:rPr>
          <w:b/>
          <w:bCs/>
        </w:rPr>
        <w:t xml:space="preserve">2.2. </w:t>
      </w:r>
      <w:r w:rsidR="00643E62" w:rsidRPr="00CE5CEC">
        <w:rPr>
          <w:b/>
          <w:bCs/>
        </w:rPr>
        <w:t xml:space="preserve">“Consent”, “controller”, “processor”, “data subject”, “personal data”, “personal data breach”, </w:t>
      </w:r>
      <w:r w:rsidR="00661D87" w:rsidRPr="00661D87">
        <w:t xml:space="preserve">and </w:t>
      </w:r>
      <w:r w:rsidR="00643E62" w:rsidRPr="00CE5CEC">
        <w:rPr>
          <w:b/>
          <w:bCs/>
        </w:rPr>
        <w:t>“processing”</w:t>
      </w:r>
      <w:r w:rsidR="00643E62" w:rsidRPr="00643E62">
        <w:t> and other terms in the GDPR mean the same as what is set out in the GDPR.</w:t>
      </w:r>
    </w:p>
    <w:p w14:paraId="28922E9B" w14:textId="67F12734" w:rsidR="00643E62" w:rsidRPr="00643E62" w:rsidRDefault="00CE5CEC" w:rsidP="00CE5CEC">
      <w:pPr>
        <w:pStyle w:val="NoSpacing"/>
        <w:spacing w:after="120"/>
      </w:pPr>
      <w:r w:rsidRPr="00CE5CEC">
        <w:rPr>
          <w:b/>
          <w:bCs/>
        </w:rPr>
        <w:t xml:space="preserve">2.3 </w:t>
      </w:r>
      <w:r w:rsidR="00643E62" w:rsidRPr="00CE5CEC">
        <w:rPr>
          <w:b/>
          <w:bCs/>
        </w:rPr>
        <w:t>“GDPR”</w:t>
      </w:r>
      <w:r w:rsidR="00643E62" w:rsidRPr="00643E62">
        <w:t xml:space="preserve"> mean</w:t>
      </w:r>
      <w:r>
        <w:t>s</w:t>
      </w:r>
      <w:r w:rsidR="00643E62" w:rsidRPr="00643E62">
        <w:t xml:space="preserve"> the EU General Data Protection Regulation 2016/679.</w:t>
      </w:r>
    </w:p>
    <w:p w14:paraId="0B12B47F" w14:textId="4B5DAFDD" w:rsidR="00643E62" w:rsidRPr="00643E62" w:rsidRDefault="00CE5CEC" w:rsidP="00CE5CEC">
      <w:pPr>
        <w:pStyle w:val="NoSpacing"/>
        <w:spacing w:after="120"/>
      </w:pPr>
      <w:r w:rsidRPr="00CE5CEC">
        <w:rPr>
          <w:b/>
          <w:bCs/>
        </w:rPr>
        <w:t xml:space="preserve">2.4 </w:t>
      </w:r>
      <w:r w:rsidR="00643E62" w:rsidRPr="00CE5CEC">
        <w:rPr>
          <w:b/>
          <w:bCs/>
        </w:rPr>
        <w:t>“Property”</w:t>
      </w:r>
      <w:r w:rsidR="00643E62" w:rsidRPr="00643E62">
        <w:t xml:space="preserve"> means the websites, mobile applications and/or other digital media properties owned or operated by the Controller, using </w:t>
      </w:r>
      <w:r>
        <w:t>Processors</w:t>
      </w:r>
      <w:r w:rsidR="00643E62" w:rsidRPr="00643E62">
        <w:t xml:space="preserve">’ </w:t>
      </w:r>
      <w:r w:rsidR="000E2355">
        <w:t>Software</w:t>
      </w:r>
      <w:r w:rsidR="00643E62" w:rsidRPr="00643E62">
        <w:t>.</w:t>
      </w:r>
    </w:p>
    <w:p w14:paraId="52313615" w14:textId="77777777" w:rsidR="00AD0646" w:rsidRPr="00643E62" w:rsidRDefault="00AD0646" w:rsidP="00CE5CEC">
      <w:pPr>
        <w:pStyle w:val="NoSpacing"/>
        <w:spacing w:after="120"/>
      </w:pPr>
    </w:p>
    <w:p w14:paraId="7E0EE516" w14:textId="4A3F29EA" w:rsidR="00AD0646" w:rsidRPr="00643E62" w:rsidRDefault="00AD0646" w:rsidP="00AD0646">
      <w:pPr>
        <w:pStyle w:val="Heading1"/>
      </w:pPr>
      <w:r>
        <w:t>3</w:t>
      </w:r>
      <w:r w:rsidRPr="00643E62">
        <w:t xml:space="preserve"> Use of Sub-Processors</w:t>
      </w:r>
    </w:p>
    <w:p w14:paraId="1C777375" w14:textId="19CC24EC" w:rsidR="00AD0646" w:rsidRDefault="00AD0646" w:rsidP="00AD0646">
      <w:pPr>
        <w:pStyle w:val="NoSpacing"/>
        <w:spacing w:after="120"/>
      </w:pPr>
      <w:r>
        <w:rPr>
          <w:b/>
          <w:bCs/>
        </w:rPr>
        <w:t>3</w:t>
      </w:r>
      <w:r w:rsidRPr="00777648">
        <w:rPr>
          <w:b/>
          <w:bCs/>
        </w:rPr>
        <w:t xml:space="preserve">.1 Sub-contracting. </w:t>
      </w:r>
      <w:r w:rsidRPr="00643E62">
        <w:t>The Processor may sub-contract any of its Processing activities. If a Sub-processor</w:t>
      </w:r>
      <w:r>
        <w:t xml:space="preserve"> is</w:t>
      </w:r>
      <w:r w:rsidRPr="00643E62">
        <w:t xml:space="preserve"> engaged </w:t>
      </w:r>
      <w:r>
        <w:t xml:space="preserve">then </w:t>
      </w:r>
      <w:r w:rsidRPr="00643E62">
        <w:t>Controller empowers Processor to enter into a data processing agreement with such sub-processor</w:t>
      </w:r>
      <w:r>
        <w:t xml:space="preserve">, as long as such a data processing agreement is not in breach of any of the clauses in this data processing agreement. Any of the obligations on the Processor shall automatically apply to its sub-processors. </w:t>
      </w:r>
    </w:p>
    <w:p w14:paraId="2D9509BA" w14:textId="2AAF6B94" w:rsidR="00AD0646" w:rsidRDefault="00AD0646" w:rsidP="00AD0646">
      <w:pPr>
        <w:pStyle w:val="NoSpacing"/>
        <w:spacing w:after="120"/>
      </w:pPr>
      <w:r>
        <w:rPr>
          <w:b/>
          <w:bCs/>
        </w:rPr>
        <w:t>3</w:t>
      </w:r>
      <w:r w:rsidRPr="004B1333">
        <w:rPr>
          <w:b/>
          <w:bCs/>
        </w:rPr>
        <w:t>.2 Transparency.</w:t>
      </w:r>
      <w:r>
        <w:t xml:space="preserve"> </w:t>
      </w:r>
      <w:r w:rsidRPr="00643E62">
        <w:t>The Processor</w:t>
      </w:r>
      <w:r>
        <w:t xml:space="preserve"> shall upon request provide Controller with information about its sub-processors. </w:t>
      </w:r>
    </w:p>
    <w:p w14:paraId="668E1520" w14:textId="1A02F267" w:rsidR="00CE5CEC" w:rsidRDefault="00CE5CEC" w:rsidP="00AD0646">
      <w:pPr>
        <w:pStyle w:val="NoSpacing"/>
        <w:spacing w:after="120"/>
      </w:pPr>
    </w:p>
    <w:p w14:paraId="673186F7" w14:textId="6E419F6D" w:rsidR="00643E62" w:rsidRPr="00643E62" w:rsidRDefault="00643E62" w:rsidP="00CE5CEC">
      <w:pPr>
        <w:pStyle w:val="Heading1"/>
      </w:pPr>
      <w:r w:rsidRPr="00643E62">
        <w:t>4 Processor’s Obligations</w:t>
      </w:r>
    </w:p>
    <w:p w14:paraId="74ACFCE3" w14:textId="7EBFC27B" w:rsidR="00643E62" w:rsidRPr="00643E62" w:rsidRDefault="00643E62" w:rsidP="00CE5CEC">
      <w:pPr>
        <w:pStyle w:val="NoSpacing"/>
        <w:spacing w:after="120"/>
      </w:pPr>
      <w:r w:rsidRPr="00CE5CEC">
        <w:rPr>
          <w:b/>
          <w:bCs/>
        </w:rPr>
        <w:t>4.1 Compliance</w:t>
      </w:r>
      <w:r w:rsidR="00CE5CEC" w:rsidRPr="00CE5CEC">
        <w:rPr>
          <w:b/>
          <w:bCs/>
        </w:rPr>
        <w:t xml:space="preserve">. </w:t>
      </w:r>
      <w:r w:rsidRPr="00643E62">
        <w:t>The Processor shall, when Processing Personal Data according to this agreement, comply with Applicable Data Protection Law. The processor shall not by actions or omission of actions put the Controller in a situation where the Controller is in breach of any provision of Applicable Data Protection Law. The Processor shall process data solely according to the instructions of the Controller.</w:t>
      </w:r>
    </w:p>
    <w:p w14:paraId="49F0560B" w14:textId="0583F2E9" w:rsidR="00643E62" w:rsidRPr="00643E62" w:rsidRDefault="00643E62" w:rsidP="00CE5CEC">
      <w:pPr>
        <w:pStyle w:val="NoSpacing"/>
        <w:spacing w:after="120"/>
      </w:pPr>
      <w:r w:rsidRPr="00CE5CEC">
        <w:rPr>
          <w:b/>
          <w:bCs/>
        </w:rPr>
        <w:t>4.2 Assistance</w:t>
      </w:r>
      <w:r w:rsidR="00CE5CEC" w:rsidRPr="00CE5CEC">
        <w:rPr>
          <w:b/>
          <w:bCs/>
        </w:rPr>
        <w:t xml:space="preserve">. </w:t>
      </w:r>
      <w:r w:rsidRPr="00643E62">
        <w:t>The Processor shall provide the Controller with reasonable cooperation and assistance to ensure that the Controller complies with Applicable Data Protection Law. The Processor shall provide the Controller with solutions enabling data subjects to delete Personal Data.</w:t>
      </w:r>
    </w:p>
    <w:p w14:paraId="73C243D4" w14:textId="00963F67" w:rsidR="00643E62" w:rsidRPr="00643E62" w:rsidRDefault="00643E62" w:rsidP="00CE5CEC">
      <w:pPr>
        <w:pStyle w:val="NoSpacing"/>
        <w:spacing w:after="120"/>
      </w:pPr>
      <w:r w:rsidRPr="00777648">
        <w:rPr>
          <w:b/>
          <w:bCs/>
        </w:rPr>
        <w:t>4.</w:t>
      </w:r>
      <w:r w:rsidR="00777648">
        <w:rPr>
          <w:b/>
          <w:bCs/>
        </w:rPr>
        <w:t>3</w:t>
      </w:r>
      <w:r w:rsidRPr="00777648">
        <w:rPr>
          <w:b/>
          <w:bCs/>
        </w:rPr>
        <w:t xml:space="preserve"> Control</w:t>
      </w:r>
      <w:r w:rsidR="00777648" w:rsidRPr="00777648">
        <w:rPr>
          <w:b/>
          <w:bCs/>
        </w:rPr>
        <w:t xml:space="preserve">. </w:t>
      </w:r>
      <w:r w:rsidRPr="00643E62">
        <w:t>The Controller retains the formal control of and all ownership to the Personal Data processed and any Sub-Processors hereunder.</w:t>
      </w:r>
    </w:p>
    <w:p w14:paraId="69D3F643" w14:textId="257DB392" w:rsidR="00643E62" w:rsidRDefault="00643E62" w:rsidP="00CE5CEC">
      <w:pPr>
        <w:pStyle w:val="NoSpacing"/>
        <w:spacing w:after="120"/>
      </w:pPr>
      <w:r w:rsidRPr="00777648">
        <w:rPr>
          <w:b/>
          <w:bCs/>
        </w:rPr>
        <w:lastRenderedPageBreak/>
        <w:t xml:space="preserve">4.5 </w:t>
      </w:r>
      <w:r w:rsidR="00877525">
        <w:rPr>
          <w:b/>
          <w:bCs/>
        </w:rPr>
        <w:t>Personal data b</w:t>
      </w:r>
      <w:r w:rsidRPr="00777648">
        <w:rPr>
          <w:b/>
          <w:bCs/>
        </w:rPr>
        <w:t>reach</w:t>
      </w:r>
      <w:r w:rsidR="00777648" w:rsidRPr="00777648">
        <w:rPr>
          <w:b/>
          <w:bCs/>
        </w:rPr>
        <w:t>.</w:t>
      </w:r>
      <w:r w:rsidR="00777648">
        <w:t xml:space="preserve"> </w:t>
      </w:r>
      <w:r w:rsidRPr="00643E62">
        <w:t xml:space="preserve">In case of a </w:t>
      </w:r>
      <w:r w:rsidR="00877525">
        <w:t xml:space="preserve">personal </w:t>
      </w:r>
      <w:r w:rsidRPr="00643E62">
        <w:t xml:space="preserve">data breach resulting in unauthorized disclosure of personal data, the Processor shall without undue delay notify the Controller. The Processor shall without undue delay restore appropriate security levels, and rectify any errors resulting in </w:t>
      </w:r>
      <w:r w:rsidR="00877525">
        <w:t>such a</w:t>
      </w:r>
      <w:r w:rsidRPr="00643E62">
        <w:t xml:space="preserve"> breach.</w:t>
      </w:r>
    </w:p>
    <w:p w14:paraId="299D1C2A" w14:textId="0F85A47C" w:rsidR="00777648" w:rsidRDefault="001247CD" w:rsidP="00CE5CEC">
      <w:pPr>
        <w:pStyle w:val="NoSpacing"/>
        <w:spacing w:after="120"/>
      </w:pPr>
      <w:r w:rsidRPr="001247CD">
        <w:rPr>
          <w:b/>
          <w:bCs/>
        </w:rPr>
        <w:t>4.6 Actions upon Termination.</w:t>
      </w:r>
      <w:r>
        <w:t xml:space="preserve"> Upon termination of this </w:t>
      </w:r>
      <w:r w:rsidR="00AD0646">
        <w:t>A</w:t>
      </w:r>
      <w:r>
        <w:t>greement the Processor shal</w:t>
      </w:r>
      <w:r w:rsidR="00366C43">
        <w:t>l</w:t>
      </w:r>
      <w:r>
        <w:t xml:space="preserve"> remove from its servers any data collected on behalf of Controller.</w:t>
      </w:r>
    </w:p>
    <w:p w14:paraId="023D5588" w14:textId="77777777" w:rsidR="00AD0646" w:rsidRPr="00643E62" w:rsidRDefault="00AD0646" w:rsidP="00CE5CEC">
      <w:pPr>
        <w:pStyle w:val="NoSpacing"/>
        <w:spacing w:after="120"/>
      </w:pPr>
    </w:p>
    <w:p w14:paraId="1BD65CF3" w14:textId="77777777" w:rsidR="00643E62" w:rsidRPr="00643E62" w:rsidRDefault="00643E62" w:rsidP="00777648">
      <w:pPr>
        <w:pStyle w:val="Heading1"/>
      </w:pPr>
      <w:r w:rsidRPr="00643E62">
        <w:t>5 Controller’s Obligations</w:t>
      </w:r>
    </w:p>
    <w:p w14:paraId="0170A901" w14:textId="5A060392" w:rsidR="00777648" w:rsidRDefault="00777648" w:rsidP="00CE5CEC">
      <w:pPr>
        <w:pStyle w:val="NoSpacing"/>
        <w:spacing w:after="120"/>
        <w:rPr>
          <w:b/>
          <w:bCs/>
        </w:rPr>
      </w:pPr>
      <w:r w:rsidRPr="00777648">
        <w:rPr>
          <w:b/>
          <w:bCs/>
        </w:rPr>
        <w:t>5.1 Compliance.</w:t>
      </w:r>
      <w:r>
        <w:t xml:space="preserve"> Controller shall </w:t>
      </w:r>
      <w:r w:rsidRPr="00643E62">
        <w:t xml:space="preserve">comply with Applicable Data Protection </w:t>
      </w:r>
      <w:proofErr w:type="gramStart"/>
      <w:r w:rsidRPr="00643E62">
        <w:t>Law</w:t>
      </w:r>
      <w:r w:rsidR="00366C43">
        <w:t>, and</w:t>
      </w:r>
      <w:proofErr w:type="gramEnd"/>
      <w:r w:rsidR="00366C43">
        <w:t xml:space="preserve"> </w:t>
      </w:r>
      <w:r w:rsidRPr="00643E62">
        <w:t xml:space="preserve">shall not by actions or omission of actions put the </w:t>
      </w:r>
      <w:r>
        <w:t>Processor</w:t>
      </w:r>
      <w:r w:rsidRPr="00643E62">
        <w:t xml:space="preserve"> in a situation where the </w:t>
      </w:r>
      <w:r>
        <w:t>Processor</w:t>
      </w:r>
      <w:r w:rsidRPr="00643E62">
        <w:t xml:space="preserve"> is in breach of any provision of Applicable Data Protection Law.</w:t>
      </w:r>
    </w:p>
    <w:p w14:paraId="09892BC5" w14:textId="33C3E775" w:rsidR="00643E62" w:rsidRPr="00643E62" w:rsidRDefault="00643E62" w:rsidP="00CE5CEC">
      <w:pPr>
        <w:pStyle w:val="NoSpacing"/>
        <w:spacing w:after="120"/>
      </w:pPr>
      <w:r w:rsidRPr="00777648">
        <w:rPr>
          <w:b/>
          <w:bCs/>
        </w:rPr>
        <w:t>5.</w:t>
      </w:r>
      <w:r w:rsidR="00777648">
        <w:rPr>
          <w:b/>
          <w:bCs/>
        </w:rPr>
        <w:t>2</w:t>
      </w:r>
      <w:r w:rsidRPr="00777648">
        <w:rPr>
          <w:b/>
          <w:bCs/>
        </w:rPr>
        <w:t xml:space="preserve"> Consent</w:t>
      </w:r>
      <w:r w:rsidR="00777648" w:rsidRPr="00777648">
        <w:rPr>
          <w:b/>
          <w:bCs/>
        </w:rPr>
        <w:t xml:space="preserve">. </w:t>
      </w:r>
      <w:r w:rsidRPr="00643E62">
        <w:t xml:space="preserve">The Controller shall obtain all necessary permissions from relevant data subjects to lawfully collect, </w:t>
      </w:r>
      <w:proofErr w:type="gramStart"/>
      <w:r w:rsidRPr="00643E62">
        <w:t>process</w:t>
      </w:r>
      <w:proofErr w:type="gramEnd"/>
      <w:r w:rsidRPr="00643E62">
        <w:t xml:space="preserve"> and share personal data. </w:t>
      </w:r>
    </w:p>
    <w:p w14:paraId="13897877" w14:textId="603299B5" w:rsidR="00643E62" w:rsidRDefault="00643E62" w:rsidP="00CE5CEC">
      <w:pPr>
        <w:pStyle w:val="NoSpacing"/>
        <w:spacing w:after="120"/>
      </w:pPr>
      <w:r w:rsidRPr="00777648">
        <w:rPr>
          <w:b/>
          <w:bCs/>
        </w:rPr>
        <w:t>5.</w:t>
      </w:r>
      <w:r w:rsidR="00777648">
        <w:rPr>
          <w:b/>
          <w:bCs/>
        </w:rPr>
        <w:t>3</w:t>
      </w:r>
      <w:r w:rsidRPr="00777648">
        <w:rPr>
          <w:b/>
          <w:bCs/>
        </w:rPr>
        <w:t xml:space="preserve"> Privacy policy</w:t>
      </w:r>
      <w:r w:rsidR="00777648" w:rsidRPr="00777648">
        <w:rPr>
          <w:b/>
          <w:bCs/>
        </w:rPr>
        <w:t xml:space="preserve">. </w:t>
      </w:r>
      <w:r w:rsidRPr="00643E62">
        <w:t xml:space="preserve">The Controller shall post, </w:t>
      </w:r>
      <w:proofErr w:type="gramStart"/>
      <w:r w:rsidRPr="00643E62">
        <w:t>maintain</w:t>
      </w:r>
      <w:proofErr w:type="gramEnd"/>
      <w:r w:rsidRPr="00643E62">
        <w:t xml:space="preserve"> and abide by a publicly accessible privacy policy</w:t>
      </w:r>
      <w:r w:rsidR="00777648">
        <w:t>.</w:t>
      </w:r>
    </w:p>
    <w:p w14:paraId="25DB7DEC" w14:textId="0361F840" w:rsidR="00A72BB7" w:rsidRDefault="00287E91" w:rsidP="00CE5CEC">
      <w:pPr>
        <w:pStyle w:val="NoSpacing"/>
        <w:spacing w:after="120"/>
      </w:pPr>
      <w:r w:rsidRPr="006A097D">
        <w:rPr>
          <w:b/>
          <w:bCs/>
        </w:rPr>
        <w:t>5.4 Actions upon termination.</w:t>
      </w:r>
      <w:r>
        <w:t xml:space="preserve"> </w:t>
      </w:r>
      <w:r w:rsidR="006A097D">
        <w:t xml:space="preserve">Upon termination of this licensing agreement the Controller shall without undue delay remove any tracking </w:t>
      </w:r>
      <w:r w:rsidRPr="00643E62">
        <w:t xml:space="preserve">mechanisms </w:t>
      </w:r>
      <w:r w:rsidR="006A097D">
        <w:t xml:space="preserve">used to collect data. </w:t>
      </w:r>
    </w:p>
    <w:p w14:paraId="7873D3AE" w14:textId="77777777" w:rsidR="00A72BB7" w:rsidRPr="00643E62" w:rsidRDefault="00A72BB7" w:rsidP="00CE5CEC">
      <w:pPr>
        <w:pStyle w:val="NoSpacing"/>
        <w:spacing w:after="120"/>
      </w:pPr>
    </w:p>
    <w:p w14:paraId="672471F3" w14:textId="77777777" w:rsidR="00643E62" w:rsidRPr="00643E62" w:rsidRDefault="00643E62" w:rsidP="004B1333">
      <w:pPr>
        <w:pStyle w:val="Heading1"/>
      </w:pPr>
      <w:r w:rsidRPr="00643E62">
        <w:t>7 Technical and Organizational Security Measures</w:t>
      </w:r>
    </w:p>
    <w:p w14:paraId="01549854" w14:textId="08285D36" w:rsidR="00643E62" w:rsidRPr="00643E62" w:rsidRDefault="00643E62" w:rsidP="00CE5CEC">
      <w:pPr>
        <w:pStyle w:val="NoSpacing"/>
        <w:spacing w:after="120"/>
      </w:pPr>
      <w:r w:rsidRPr="004B1333">
        <w:rPr>
          <w:b/>
          <w:bCs/>
        </w:rPr>
        <w:t>7.1 Measures</w:t>
      </w:r>
      <w:r w:rsidR="004B1333" w:rsidRPr="004B1333">
        <w:rPr>
          <w:b/>
          <w:bCs/>
        </w:rPr>
        <w:t xml:space="preserve">. </w:t>
      </w:r>
      <w:r w:rsidRPr="00643E62">
        <w:t>The Processor shall implement and maintain appropriate technical and organizational security measures aimed at protecting personal data against destruction</w:t>
      </w:r>
      <w:r w:rsidR="004B1333">
        <w:t>,</w:t>
      </w:r>
      <w:r w:rsidRPr="00643E62">
        <w:t xml:space="preserve"> accidental loss, alteration, unauthorized </w:t>
      </w:r>
      <w:proofErr w:type="gramStart"/>
      <w:r w:rsidRPr="00643E62">
        <w:t>disclosure</w:t>
      </w:r>
      <w:proofErr w:type="gramEnd"/>
      <w:r w:rsidRPr="00643E62">
        <w:t xml:space="preserve"> or</w:t>
      </w:r>
      <w:r w:rsidR="004B1333">
        <w:t xml:space="preserve"> unauthorized</w:t>
      </w:r>
      <w:r w:rsidRPr="00643E62">
        <w:t xml:space="preserve"> access</w:t>
      </w:r>
      <w:r w:rsidR="00F82B15">
        <w:t>, and require its sub-processors to implement and maintain such measures</w:t>
      </w:r>
      <w:r w:rsidRPr="00643E62">
        <w:t>. These measures shall ensure a level of security appropriate to the risk presented to the processing and the nature of the personal data to be protected having regard to the state of the art and the cost of their implementation.</w:t>
      </w:r>
    </w:p>
    <w:p w14:paraId="1C2C3B54" w14:textId="4255210F" w:rsidR="00643E62" w:rsidRPr="00643E62" w:rsidRDefault="00643E62" w:rsidP="00CE5CEC">
      <w:pPr>
        <w:pStyle w:val="NoSpacing"/>
        <w:spacing w:after="120"/>
      </w:pPr>
      <w:r w:rsidRPr="00494516">
        <w:rPr>
          <w:b/>
          <w:bCs/>
        </w:rPr>
        <w:t>7.2 Limitation of access</w:t>
      </w:r>
      <w:r w:rsidR="00494516" w:rsidRPr="00494516">
        <w:rPr>
          <w:b/>
          <w:bCs/>
        </w:rPr>
        <w:t xml:space="preserve">. </w:t>
      </w:r>
      <w:r w:rsidRPr="00643E62">
        <w:t>The Processor shall limit access to the personal data to relevant personnel. The Processor shall ensure that all personnel authorized to process the personal data have committed themselves to confidentiality.</w:t>
      </w:r>
    </w:p>
    <w:p w14:paraId="48F2CDB9" w14:textId="2502D3E8" w:rsidR="00643E62" w:rsidRDefault="00643E62" w:rsidP="00CE5CEC">
      <w:pPr>
        <w:pStyle w:val="NoSpacing"/>
        <w:spacing w:after="120"/>
      </w:pPr>
      <w:r w:rsidRPr="00494516">
        <w:rPr>
          <w:b/>
          <w:bCs/>
        </w:rPr>
        <w:t>7.4 Responsible person</w:t>
      </w:r>
      <w:r w:rsidR="00494516" w:rsidRPr="00494516">
        <w:rPr>
          <w:b/>
          <w:bCs/>
        </w:rPr>
        <w:t xml:space="preserve">. </w:t>
      </w:r>
      <w:r w:rsidRPr="00643E62">
        <w:t xml:space="preserve">The Processor shall have a responsible person and data protection officer taking responsibility for ongoing compliance with Applicable data protection law. The responsible </w:t>
      </w:r>
      <w:r w:rsidR="00494516">
        <w:t>shall be</w:t>
      </w:r>
      <w:r w:rsidRPr="00643E62">
        <w:t xml:space="preserve"> </w:t>
      </w:r>
      <w:r w:rsidR="00F82B15">
        <w:t>[</w:t>
      </w:r>
      <w:r w:rsidR="00F82B15" w:rsidRPr="00F82B15">
        <w:rPr>
          <w:highlight w:val="yellow"/>
        </w:rPr>
        <w:t>NAME</w:t>
      </w:r>
      <w:r w:rsidR="00F82B15">
        <w:t>]</w:t>
      </w:r>
      <w:r w:rsidR="00A72BB7">
        <w:t xml:space="preserve">, </w:t>
      </w:r>
      <w:r w:rsidR="00F82B15">
        <w:t>[</w:t>
      </w:r>
      <w:r w:rsidR="00F82B15" w:rsidRPr="00F82B15">
        <w:rPr>
          <w:highlight w:val="yellow"/>
        </w:rPr>
        <w:t>TITLE</w:t>
      </w:r>
      <w:r w:rsidR="00F82B15">
        <w:t>]</w:t>
      </w:r>
      <w:r w:rsidR="00A72BB7">
        <w:t xml:space="preserve"> of </w:t>
      </w:r>
      <w:r w:rsidR="00C31115">
        <w:t>Agency</w:t>
      </w:r>
      <w:r w:rsidR="008F3777">
        <w:t>, available at</w:t>
      </w:r>
      <w:r w:rsidR="00366C43">
        <w:t xml:space="preserve"> email</w:t>
      </w:r>
      <w:r w:rsidR="008F3777">
        <w:t xml:space="preserve"> </w:t>
      </w:r>
      <w:r w:rsidR="00F82B15">
        <w:t>[</w:t>
      </w:r>
      <w:r w:rsidR="00F82B15" w:rsidRPr="00F82B15">
        <w:rPr>
          <w:highlight w:val="yellow"/>
        </w:rPr>
        <w:t>EMAIL</w:t>
      </w:r>
      <w:r w:rsidR="00F82B15">
        <w:t>]</w:t>
      </w:r>
      <w:r w:rsidR="008F3777">
        <w:t xml:space="preserve"> and phone </w:t>
      </w:r>
      <w:r w:rsidR="00F82B15">
        <w:t>[</w:t>
      </w:r>
      <w:r w:rsidR="00F82B15" w:rsidRPr="00F82B15">
        <w:rPr>
          <w:highlight w:val="yellow"/>
        </w:rPr>
        <w:t>PHONE</w:t>
      </w:r>
      <w:r w:rsidR="00F82B15">
        <w:t>]</w:t>
      </w:r>
      <w:r w:rsidR="008F3777">
        <w:t xml:space="preserve">. In case the appointed person’s employment is terminated for any reason, the responsibility shall rest with the </w:t>
      </w:r>
      <w:r w:rsidR="00C94FB3">
        <w:t xml:space="preserve">position, or Agency’s CEO if that position ceases to exist. </w:t>
      </w:r>
    </w:p>
    <w:p w14:paraId="668A7163" w14:textId="77777777" w:rsidR="00494516" w:rsidRPr="00643E62" w:rsidRDefault="00494516" w:rsidP="00CE5CEC">
      <w:pPr>
        <w:pStyle w:val="NoSpacing"/>
        <w:spacing w:after="120"/>
      </w:pPr>
    </w:p>
    <w:p w14:paraId="25CB1830" w14:textId="77777777" w:rsidR="00643E62" w:rsidRPr="00643E62" w:rsidRDefault="00643E62" w:rsidP="00494516">
      <w:pPr>
        <w:pStyle w:val="Heading1"/>
      </w:pPr>
      <w:r w:rsidRPr="00643E62">
        <w:t>8 Audits</w:t>
      </w:r>
    </w:p>
    <w:p w14:paraId="6BA8E095" w14:textId="01B11471" w:rsidR="00643E62" w:rsidRPr="00643E62" w:rsidRDefault="00643E62" w:rsidP="00CE5CEC">
      <w:pPr>
        <w:pStyle w:val="NoSpacing"/>
        <w:spacing w:after="120"/>
      </w:pPr>
      <w:r w:rsidRPr="00494516">
        <w:rPr>
          <w:b/>
          <w:bCs/>
        </w:rPr>
        <w:t>8.1 Audits</w:t>
      </w:r>
      <w:r w:rsidR="00494516" w:rsidRPr="00494516">
        <w:rPr>
          <w:b/>
          <w:bCs/>
        </w:rPr>
        <w:t xml:space="preserve">. </w:t>
      </w:r>
      <w:r w:rsidRPr="00643E62">
        <w:t>The Controller shall be allowed to perform annual audits. If the Controller chooses to perform such an audit, it shall be signaled to the Processor no less than 90 days in advance</w:t>
      </w:r>
      <w:r w:rsidR="00C94FB3">
        <w:t xml:space="preserve"> so that the Processor can make appropriate arrangements with its Sub-Processors</w:t>
      </w:r>
      <w:r w:rsidRPr="00643E62">
        <w:t>. The Controller shall perform such audit without causing significant interruptions to the Processor’s</w:t>
      </w:r>
      <w:r w:rsidR="00C94FB3">
        <w:t xml:space="preserve"> or Sub-Processors’</w:t>
      </w:r>
      <w:r w:rsidRPr="00643E62">
        <w:t xml:space="preserve"> regular operations.</w:t>
      </w:r>
    </w:p>
    <w:p w14:paraId="063D2239" w14:textId="36A1592C" w:rsidR="00643E62" w:rsidRPr="00643E62" w:rsidRDefault="00643E62" w:rsidP="00CE5CEC">
      <w:pPr>
        <w:pStyle w:val="NoSpacing"/>
        <w:spacing w:after="120"/>
      </w:pPr>
      <w:r w:rsidRPr="00494516">
        <w:rPr>
          <w:b/>
          <w:bCs/>
        </w:rPr>
        <w:lastRenderedPageBreak/>
        <w:t>8.2 Secrecy</w:t>
      </w:r>
      <w:r w:rsidR="00494516" w:rsidRPr="00494516">
        <w:rPr>
          <w:b/>
          <w:bCs/>
        </w:rPr>
        <w:t xml:space="preserve">. </w:t>
      </w:r>
      <w:r w:rsidRPr="00643E62">
        <w:t>The audit shall not grant the Controller access to trade secrets or proprietary information unless required to comply with Applicable Data Protection Law. The Controller shall ensure its personnel conducting such audit are subject to adequate secrecy obligations.</w:t>
      </w:r>
    </w:p>
    <w:p w14:paraId="7D614888" w14:textId="557CF56E" w:rsidR="00643E62" w:rsidRPr="00643E62" w:rsidRDefault="00643E62" w:rsidP="00CE5CEC">
      <w:pPr>
        <w:pStyle w:val="NoSpacing"/>
        <w:spacing w:after="120"/>
      </w:pPr>
      <w:r w:rsidRPr="00494516">
        <w:rPr>
          <w:b/>
          <w:bCs/>
        </w:rPr>
        <w:t>8.3 Auditor</w:t>
      </w:r>
      <w:r w:rsidR="00494516" w:rsidRPr="00494516">
        <w:rPr>
          <w:b/>
          <w:bCs/>
        </w:rPr>
        <w:t xml:space="preserve">. </w:t>
      </w:r>
      <w:r w:rsidRPr="00643E62">
        <w:t>If the parties agree that an audit is to be performed by external auditors, such external auditor is to be appointed by the Controller. The Processor</w:t>
      </w:r>
      <w:r w:rsidR="00C94FB3">
        <w:t xml:space="preserve"> or Sub-Processors</w:t>
      </w:r>
      <w:r w:rsidRPr="00643E62">
        <w:t xml:space="preserve"> may only oppose the appointment if such auditor is a competitor of the Processor</w:t>
      </w:r>
      <w:r w:rsidR="00C94FB3">
        <w:t xml:space="preserve"> or Sub-Processor</w:t>
      </w:r>
      <w:r w:rsidRPr="00643E62">
        <w:t>. Upon security audits performed by an external auditor, both parties shall be entitled to receive a copy of the audit report.</w:t>
      </w:r>
    </w:p>
    <w:p w14:paraId="62E6DD70" w14:textId="12B80C09" w:rsidR="00643E62" w:rsidRPr="00643E62" w:rsidRDefault="00643E62" w:rsidP="00CE5CEC">
      <w:pPr>
        <w:pStyle w:val="NoSpacing"/>
        <w:spacing w:after="120"/>
      </w:pPr>
      <w:r w:rsidRPr="00494516">
        <w:rPr>
          <w:b/>
          <w:bCs/>
        </w:rPr>
        <w:t>8.4 Remediation</w:t>
      </w:r>
      <w:r w:rsidR="00494516" w:rsidRPr="00494516">
        <w:rPr>
          <w:b/>
          <w:bCs/>
        </w:rPr>
        <w:t xml:space="preserve">. </w:t>
      </w:r>
      <w:r w:rsidRPr="00643E62">
        <w:t>If the audit reveals non-compliance with this Data Processor Agreement, the Processor shall (and, if relevant, shall procure that the relevant Sub-processor shall) without undue delay remedy such inadequacy or non-compliance.</w:t>
      </w:r>
    </w:p>
    <w:p w14:paraId="5AB019EC" w14:textId="358A27E3" w:rsidR="00643E62" w:rsidRDefault="00643E62" w:rsidP="00CE5CEC">
      <w:pPr>
        <w:pStyle w:val="NoSpacing"/>
        <w:spacing w:after="120"/>
      </w:pPr>
      <w:r w:rsidRPr="00494516">
        <w:rPr>
          <w:b/>
          <w:bCs/>
        </w:rPr>
        <w:t>8.5 Cost</w:t>
      </w:r>
      <w:r w:rsidR="00494516" w:rsidRPr="00494516">
        <w:rPr>
          <w:b/>
          <w:bCs/>
        </w:rPr>
        <w:t xml:space="preserve">. </w:t>
      </w:r>
      <w:r w:rsidRPr="00643E62">
        <w:t>Each party shall cover its own costs associated with an audit.</w:t>
      </w:r>
    </w:p>
    <w:p w14:paraId="1028ED6F" w14:textId="77777777" w:rsidR="00494516" w:rsidRPr="00643E62" w:rsidRDefault="00494516" w:rsidP="00CE5CEC">
      <w:pPr>
        <w:pStyle w:val="NoSpacing"/>
        <w:spacing w:after="120"/>
      </w:pPr>
    </w:p>
    <w:p w14:paraId="30DF64C7" w14:textId="77777777" w:rsidR="00643E62" w:rsidRPr="00643E62" w:rsidRDefault="00643E62" w:rsidP="00494516">
      <w:pPr>
        <w:pStyle w:val="Heading1"/>
      </w:pPr>
      <w:r w:rsidRPr="00643E62">
        <w:t>9 Data Locations and Transfer</w:t>
      </w:r>
    </w:p>
    <w:p w14:paraId="3434CDFA" w14:textId="0FFB9C4B" w:rsidR="00643E62" w:rsidRPr="00643E62" w:rsidRDefault="00643E62" w:rsidP="00CE5CEC">
      <w:pPr>
        <w:pStyle w:val="NoSpacing"/>
        <w:spacing w:after="120"/>
      </w:pPr>
      <w:r w:rsidRPr="00494516">
        <w:rPr>
          <w:b/>
          <w:bCs/>
        </w:rPr>
        <w:t xml:space="preserve">9.1 </w:t>
      </w:r>
      <w:r w:rsidR="00366C43">
        <w:rPr>
          <w:b/>
          <w:bCs/>
        </w:rPr>
        <w:t>Locations</w:t>
      </w:r>
      <w:r w:rsidR="00494516" w:rsidRPr="00494516">
        <w:rPr>
          <w:b/>
          <w:bCs/>
        </w:rPr>
        <w:t xml:space="preserve">. </w:t>
      </w:r>
      <w:r w:rsidRPr="00643E62">
        <w:t xml:space="preserve">Processing activities shall take place </w:t>
      </w:r>
      <w:r w:rsidR="006E650D">
        <w:t>inside of the EU</w:t>
      </w:r>
      <w:r w:rsidR="008F3777">
        <w:t>.</w:t>
      </w:r>
    </w:p>
    <w:p w14:paraId="5F40B3E5" w14:textId="210C0B20" w:rsidR="00643E62" w:rsidRDefault="00643E62" w:rsidP="00CE5CEC">
      <w:pPr>
        <w:pStyle w:val="NoSpacing"/>
        <w:spacing w:after="120"/>
      </w:pPr>
      <w:r w:rsidRPr="00494516">
        <w:rPr>
          <w:b/>
          <w:bCs/>
        </w:rPr>
        <w:t>9.2 Transfer</w:t>
      </w:r>
      <w:r w:rsidR="00494516" w:rsidRPr="00494516">
        <w:rPr>
          <w:b/>
          <w:bCs/>
        </w:rPr>
        <w:t xml:space="preserve">. </w:t>
      </w:r>
      <w:r w:rsidRPr="00643E62">
        <w:t xml:space="preserve">The Processor may transfer data if this is required by EU law or by any EU member state law to which the </w:t>
      </w:r>
      <w:r w:rsidR="00287E91">
        <w:t>P</w:t>
      </w:r>
      <w:r w:rsidRPr="00643E62">
        <w:t>rocessor is subject, provided that the Processor informs the Controller of that legal requirement before processing, unless that law prohibits such information on important grounds of public interest.</w:t>
      </w:r>
    </w:p>
    <w:p w14:paraId="6613A044" w14:textId="77777777" w:rsidR="00287E91" w:rsidRPr="00643E62" w:rsidRDefault="00287E91" w:rsidP="00CE5CEC">
      <w:pPr>
        <w:pStyle w:val="NoSpacing"/>
        <w:spacing w:after="120"/>
      </w:pPr>
    </w:p>
    <w:p w14:paraId="504237E0" w14:textId="77777777" w:rsidR="00643E62" w:rsidRPr="00643E62" w:rsidRDefault="00643E62" w:rsidP="00287E91">
      <w:pPr>
        <w:pStyle w:val="Heading1"/>
      </w:pPr>
      <w:r w:rsidRPr="00643E62">
        <w:t>10 Liability</w:t>
      </w:r>
    </w:p>
    <w:p w14:paraId="027C5364" w14:textId="138A634C" w:rsidR="00E12650" w:rsidRDefault="00643E62" w:rsidP="003A0DA4">
      <w:pPr>
        <w:pStyle w:val="NoSpacing"/>
        <w:spacing w:after="120"/>
      </w:pPr>
      <w:r w:rsidRPr="00643E62">
        <w:t>Each party is liable to the other for any loss, damage, cost, claim, fine and/or expense (any such a “Loss”) incurred by the other Party, which arise from the first mentioned party’s breach of its obligations under this Data Processing Agreement or acts of omissions in breach of applicable law. The Parties’ respective liability is for direct Loss only and under no circumstance for indirect loss, such as loss of profit or opportunity or otherwise.</w:t>
      </w:r>
    </w:p>
    <w:sectPr w:rsidR="00E126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ian Remåd" w:date="2020-09-25T21:58:00Z" w:initials="SR">
    <w:p w14:paraId="3396E11A" w14:textId="6CA0726F" w:rsidR="000D6D72" w:rsidRDefault="000D6D72">
      <w:pPr>
        <w:pStyle w:val="CommentText"/>
      </w:pPr>
      <w:r>
        <w:rPr>
          <w:rStyle w:val="CommentReference"/>
        </w:rPr>
        <w:annotationRef/>
      </w:r>
      <w:r>
        <w:t xml:space="preserve">It is of course up to you as an agency what type of access you would allow a publisher to have. </w:t>
      </w:r>
      <w:r w:rsidR="008549D9">
        <w:t xml:space="preserve">We offer multiple access types. </w:t>
      </w:r>
    </w:p>
  </w:comment>
  <w:comment w:id="1" w:author="Stian Remåd" w:date="2020-09-22T19:42:00Z" w:initials="SR">
    <w:p w14:paraId="26DA839B" w14:textId="2E7707F9" w:rsidR="000F777B" w:rsidRDefault="000F777B">
      <w:pPr>
        <w:pStyle w:val="CommentText"/>
      </w:pPr>
      <w:r>
        <w:rPr>
          <w:rStyle w:val="CommentReference"/>
        </w:rPr>
        <w:annotationRef/>
      </w:r>
      <w:r w:rsidR="008E74E4">
        <w:t xml:space="preserve">Please note that the revenue share should </w:t>
      </w:r>
      <w:proofErr w:type="gramStart"/>
      <w:r w:rsidR="008E74E4">
        <w:t>take into account</w:t>
      </w:r>
      <w:proofErr w:type="gramEnd"/>
      <w:r w:rsidR="008E74E4">
        <w:t xml:space="preserve"> Agency’s payment to Adnuntius. </w:t>
      </w:r>
      <w:r>
        <w:t xml:space="preserve"> </w:t>
      </w:r>
    </w:p>
  </w:comment>
  <w:comment w:id="2" w:author="Stian Remåd" w:date="2020-09-22T19:58:00Z" w:initials="SR">
    <w:p w14:paraId="6767C9F5" w14:textId="4B18CCD3" w:rsidR="00792BF3" w:rsidRDefault="00792BF3">
      <w:pPr>
        <w:pStyle w:val="CommentText"/>
      </w:pPr>
      <w:r>
        <w:rPr>
          <w:rStyle w:val="CommentReference"/>
        </w:rPr>
        <w:annotationRef/>
      </w:r>
      <w:r>
        <w:t>This point is only relevant if Agency wants Adnuntius to be the clearing house. Point 4.2/3 needs to adjusted according to this decision.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96E11A" w15:done="0"/>
  <w15:commentEx w15:paraId="26DA839B" w15:done="0"/>
  <w15:commentEx w15:paraId="6767C9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E673" w16cex:dateUtc="2020-09-25T19:58:00Z"/>
  <w16cex:commentExtensible w16cex:durableId="2314D223" w16cex:dateUtc="2020-09-22T17:42:00Z"/>
  <w16cex:commentExtensible w16cex:durableId="2314D5D0" w16cex:dateUtc="2020-09-22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96E11A" w16cid:durableId="2318E673"/>
  <w16cid:commentId w16cid:paraId="26DA839B" w16cid:durableId="2314D223"/>
  <w16cid:commentId w16cid:paraId="6767C9F5" w16cid:durableId="2314D5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B0184"/>
    <w:multiLevelType w:val="hybridMultilevel"/>
    <w:tmpl w:val="2810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256B5"/>
    <w:multiLevelType w:val="hybridMultilevel"/>
    <w:tmpl w:val="DE8ADB8C"/>
    <w:lvl w:ilvl="0" w:tplc="C7A6A7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ian Remåd">
    <w15:presenceInfo w15:providerId="Windows Live" w15:userId="d8ea70c5912066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FE"/>
    <w:rsid w:val="00021AF1"/>
    <w:rsid w:val="000D6D72"/>
    <w:rsid w:val="000E2355"/>
    <w:rsid w:val="000F777B"/>
    <w:rsid w:val="00121E68"/>
    <w:rsid w:val="001247CD"/>
    <w:rsid w:val="001338F0"/>
    <w:rsid w:val="00152702"/>
    <w:rsid w:val="0016424B"/>
    <w:rsid w:val="001D1E23"/>
    <w:rsid w:val="00262B18"/>
    <w:rsid w:val="00264E68"/>
    <w:rsid w:val="002721BE"/>
    <w:rsid w:val="00272A41"/>
    <w:rsid w:val="00272BB4"/>
    <w:rsid w:val="00287E91"/>
    <w:rsid w:val="002D61C9"/>
    <w:rsid w:val="00300E0C"/>
    <w:rsid w:val="0032066D"/>
    <w:rsid w:val="0035069D"/>
    <w:rsid w:val="00351DF7"/>
    <w:rsid w:val="00366C43"/>
    <w:rsid w:val="00376865"/>
    <w:rsid w:val="003A0DA4"/>
    <w:rsid w:val="003D67C1"/>
    <w:rsid w:val="004426CC"/>
    <w:rsid w:val="00494516"/>
    <w:rsid w:val="004B1333"/>
    <w:rsid w:val="004C10DA"/>
    <w:rsid w:val="0051328C"/>
    <w:rsid w:val="00524196"/>
    <w:rsid w:val="005551B0"/>
    <w:rsid w:val="005653DC"/>
    <w:rsid w:val="005B0BDD"/>
    <w:rsid w:val="005E1042"/>
    <w:rsid w:val="005F4299"/>
    <w:rsid w:val="005F729F"/>
    <w:rsid w:val="00626894"/>
    <w:rsid w:val="00635F27"/>
    <w:rsid w:val="00643E62"/>
    <w:rsid w:val="00661D87"/>
    <w:rsid w:val="00690697"/>
    <w:rsid w:val="006A097D"/>
    <w:rsid w:val="006B2B05"/>
    <w:rsid w:val="006C47BA"/>
    <w:rsid w:val="006E1DED"/>
    <w:rsid w:val="006E2EDD"/>
    <w:rsid w:val="006E650D"/>
    <w:rsid w:val="00751CD9"/>
    <w:rsid w:val="007766CC"/>
    <w:rsid w:val="00777648"/>
    <w:rsid w:val="007929F9"/>
    <w:rsid w:val="00792BF3"/>
    <w:rsid w:val="00795C84"/>
    <w:rsid w:val="007966FE"/>
    <w:rsid w:val="007D3959"/>
    <w:rsid w:val="007E7AED"/>
    <w:rsid w:val="008404B4"/>
    <w:rsid w:val="008549D9"/>
    <w:rsid w:val="008617A9"/>
    <w:rsid w:val="00861A19"/>
    <w:rsid w:val="0086726C"/>
    <w:rsid w:val="00875D74"/>
    <w:rsid w:val="00877525"/>
    <w:rsid w:val="0088461B"/>
    <w:rsid w:val="008C040F"/>
    <w:rsid w:val="008E74E4"/>
    <w:rsid w:val="008F3777"/>
    <w:rsid w:val="0091164A"/>
    <w:rsid w:val="00932BDD"/>
    <w:rsid w:val="009413D0"/>
    <w:rsid w:val="0099667B"/>
    <w:rsid w:val="009C4AB6"/>
    <w:rsid w:val="00A534B8"/>
    <w:rsid w:val="00A72BB7"/>
    <w:rsid w:val="00A84749"/>
    <w:rsid w:val="00A91F47"/>
    <w:rsid w:val="00A954FB"/>
    <w:rsid w:val="00AA4FF1"/>
    <w:rsid w:val="00AD0646"/>
    <w:rsid w:val="00B061A9"/>
    <w:rsid w:val="00C31115"/>
    <w:rsid w:val="00C651F0"/>
    <w:rsid w:val="00C94FB3"/>
    <w:rsid w:val="00CA083B"/>
    <w:rsid w:val="00CD2A5C"/>
    <w:rsid w:val="00CE026F"/>
    <w:rsid w:val="00CE5CEC"/>
    <w:rsid w:val="00D52641"/>
    <w:rsid w:val="00D55632"/>
    <w:rsid w:val="00DB2789"/>
    <w:rsid w:val="00DF54EE"/>
    <w:rsid w:val="00E00205"/>
    <w:rsid w:val="00E12650"/>
    <w:rsid w:val="00EA2160"/>
    <w:rsid w:val="00EB4B25"/>
    <w:rsid w:val="00F01DEA"/>
    <w:rsid w:val="00F056F1"/>
    <w:rsid w:val="00F27EBB"/>
    <w:rsid w:val="00F3152E"/>
    <w:rsid w:val="00F31EED"/>
    <w:rsid w:val="00F32498"/>
    <w:rsid w:val="00F82B15"/>
    <w:rsid w:val="00F83BE5"/>
    <w:rsid w:val="00FA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CABE"/>
  <w15:chartTrackingRefBased/>
  <w15:docId w15:val="{5C2E468F-C9A2-4542-879C-496BFB14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6FE"/>
    <w:pPr>
      <w:keepNext/>
      <w:keepLines/>
      <w:spacing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966FE"/>
    <w:pPr>
      <w:keepNext/>
      <w:keepLines/>
      <w:spacing w:after="0"/>
      <w:outlineLvl w:val="1"/>
    </w:pPr>
    <w:rPr>
      <w:rFonts w:asciiTheme="majorHAnsi" w:eastAsiaTheme="majorEastAsia" w:hAnsiTheme="majorHAnsi" w:cstheme="majorBidi"/>
      <w:sz w:val="26"/>
      <w:szCs w:val="26"/>
    </w:rPr>
  </w:style>
  <w:style w:type="paragraph" w:styleId="Heading3">
    <w:name w:val="heading 3"/>
    <w:basedOn w:val="Normal"/>
    <w:link w:val="Heading3Char"/>
    <w:uiPriority w:val="9"/>
    <w:qFormat/>
    <w:rsid w:val="007966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66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66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66F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66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66FE"/>
    <w:rPr>
      <w:color w:val="0000FF"/>
      <w:u w:val="single"/>
    </w:rPr>
  </w:style>
  <w:style w:type="paragraph" w:styleId="NoSpacing">
    <w:name w:val="No Spacing"/>
    <w:uiPriority w:val="1"/>
    <w:qFormat/>
    <w:rsid w:val="007966FE"/>
    <w:pPr>
      <w:spacing w:after="0" w:line="240" w:lineRule="auto"/>
    </w:pPr>
  </w:style>
  <w:style w:type="character" w:customStyle="1" w:styleId="Heading1Char">
    <w:name w:val="Heading 1 Char"/>
    <w:basedOn w:val="DefaultParagraphFont"/>
    <w:link w:val="Heading1"/>
    <w:uiPriority w:val="9"/>
    <w:rsid w:val="007966FE"/>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966FE"/>
    <w:rPr>
      <w:rFonts w:asciiTheme="majorHAnsi" w:eastAsiaTheme="majorEastAsia" w:hAnsiTheme="majorHAnsi" w:cstheme="majorBidi"/>
      <w:sz w:val="26"/>
      <w:szCs w:val="26"/>
    </w:rPr>
  </w:style>
  <w:style w:type="table" w:styleId="TableGrid">
    <w:name w:val="Table Grid"/>
    <w:basedOn w:val="TableNormal"/>
    <w:uiPriority w:val="39"/>
    <w:rsid w:val="00DB2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069D"/>
    <w:rPr>
      <w:sz w:val="16"/>
      <w:szCs w:val="16"/>
    </w:rPr>
  </w:style>
  <w:style w:type="paragraph" w:styleId="CommentText">
    <w:name w:val="annotation text"/>
    <w:basedOn w:val="Normal"/>
    <w:link w:val="CommentTextChar"/>
    <w:uiPriority w:val="99"/>
    <w:semiHidden/>
    <w:unhideWhenUsed/>
    <w:rsid w:val="0035069D"/>
    <w:pPr>
      <w:spacing w:line="240" w:lineRule="auto"/>
    </w:pPr>
    <w:rPr>
      <w:sz w:val="20"/>
      <w:szCs w:val="20"/>
    </w:rPr>
  </w:style>
  <w:style w:type="character" w:customStyle="1" w:styleId="CommentTextChar">
    <w:name w:val="Comment Text Char"/>
    <w:basedOn w:val="DefaultParagraphFont"/>
    <w:link w:val="CommentText"/>
    <w:uiPriority w:val="99"/>
    <w:semiHidden/>
    <w:rsid w:val="0035069D"/>
    <w:rPr>
      <w:sz w:val="20"/>
      <w:szCs w:val="20"/>
    </w:rPr>
  </w:style>
  <w:style w:type="paragraph" w:styleId="CommentSubject">
    <w:name w:val="annotation subject"/>
    <w:basedOn w:val="CommentText"/>
    <w:next w:val="CommentText"/>
    <w:link w:val="CommentSubjectChar"/>
    <w:uiPriority w:val="99"/>
    <w:semiHidden/>
    <w:unhideWhenUsed/>
    <w:rsid w:val="0035069D"/>
    <w:rPr>
      <w:b/>
      <w:bCs/>
    </w:rPr>
  </w:style>
  <w:style w:type="character" w:customStyle="1" w:styleId="CommentSubjectChar">
    <w:name w:val="Comment Subject Char"/>
    <w:basedOn w:val="CommentTextChar"/>
    <w:link w:val="CommentSubject"/>
    <w:uiPriority w:val="99"/>
    <w:semiHidden/>
    <w:rsid w:val="0035069D"/>
    <w:rPr>
      <w:b/>
      <w:bCs/>
      <w:sz w:val="20"/>
      <w:szCs w:val="20"/>
    </w:rPr>
  </w:style>
  <w:style w:type="paragraph" w:styleId="BalloonText">
    <w:name w:val="Balloon Text"/>
    <w:basedOn w:val="Normal"/>
    <w:link w:val="BalloonTextChar"/>
    <w:uiPriority w:val="99"/>
    <w:semiHidden/>
    <w:unhideWhenUsed/>
    <w:rsid w:val="00350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69D"/>
    <w:rPr>
      <w:rFonts w:ascii="Segoe UI" w:hAnsi="Segoe UI" w:cs="Segoe UI"/>
      <w:sz w:val="18"/>
      <w:szCs w:val="18"/>
    </w:rPr>
  </w:style>
  <w:style w:type="character" w:styleId="FollowedHyperlink">
    <w:name w:val="FollowedHyperlink"/>
    <w:basedOn w:val="DefaultParagraphFont"/>
    <w:uiPriority w:val="99"/>
    <w:semiHidden/>
    <w:unhideWhenUsed/>
    <w:rsid w:val="00CE5C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09497">
      <w:bodyDiv w:val="1"/>
      <w:marLeft w:val="0"/>
      <w:marRight w:val="0"/>
      <w:marTop w:val="0"/>
      <w:marBottom w:val="0"/>
      <w:divBdr>
        <w:top w:val="none" w:sz="0" w:space="0" w:color="auto"/>
        <w:left w:val="none" w:sz="0" w:space="0" w:color="auto"/>
        <w:bottom w:val="none" w:sz="0" w:space="0" w:color="auto"/>
        <w:right w:val="none" w:sz="0" w:space="0" w:color="auto"/>
      </w:divBdr>
      <w:divsChild>
        <w:div w:id="763652414">
          <w:marLeft w:val="0"/>
          <w:marRight w:val="0"/>
          <w:marTop w:val="0"/>
          <w:marBottom w:val="0"/>
          <w:divBdr>
            <w:top w:val="none" w:sz="0" w:space="0" w:color="auto"/>
            <w:left w:val="none" w:sz="0" w:space="0" w:color="auto"/>
            <w:bottom w:val="none" w:sz="0" w:space="0" w:color="auto"/>
            <w:right w:val="none" w:sz="0" w:space="0" w:color="auto"/>
          </w:divBdr>
        </w:div>
        <w:div w:id="672420750">
          <w:marLeft w:val="0"/>
          <w:marRight w:val="0"/>
          <w:marTop w:val="0"/>
          <w:marBottom w:val="0"/>
          <w:divBdr>
            <w:top w:val="none" w:sz="0" w:space="0" w:color="auto"/>
            <w:left w:val="none" w:sz="0" w:space="0" w:color="auto"/>
            <w:bottom w:val="none" w:sz="0" w:space="0" w:color="auto"/>
            <w:right w:val="none" w:sz="0" w:space="0" w:color="auto"/>
          </w:divBdr>
        </w:div>
      </w:divsChild>
    </w:div>
    <w:div w:id="390932395">
      <w:bodyDiv w:val="1"/>
      <w:marLeft w:val="0"/>
      <w:marRight w:val="0"/>
      <w:marTop w:val="0"/>
      <w:marBottom w:val="0"/>
      <w:divBdr>
        <w:top w:val="none" w:sz="0" w:space="0" w:color="auto"/>
        <w:left w:val="none" w:sz="0" w:space="0" w:color="auto"/>
        <w:bottom w:val="none" w:sz="0" w:space="0" w:color="auto"/>
        <w:right w:val="none" w:sz="0" w:space="0" w:color="auto"/>
      </w:divBdr>
    </w:div>
    <w:div w:id="414329892">
      <w:bodyDiv w:val="1"/>
      <w:marLeft w:val="0"/>
      <w:marRight w:val="0"/>
      <w:marTop w:val="0"/>
      <w:marBottom w:val="0"/>
      <w:divBdr>
        <w:top w:val="none" w:sz="0" w:space="0" w:color="auto"/>
        <w:left w:val="none" w:sz="0" w:space="0" w:color="auto"/>
        <w:bottom w:val="none" w:sz="0" w:space="0" w:color="auto"/>
        <w:right w:val="none" w:sz="0" w:space="0" w:color="auto"/>
      </w:divBdr>
    </w:div>
    <w:div w:id="8842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2583</Words>
  <Characters>14728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Remåd</dc:creator>
  <cp:keywords/>
  <dc:description/>
  <cp:lastModifiedBy>Stian Remåd</cp:lastModifiedBy>
  <cp:revision>38</cp:revision>
  <dcterms:created xsi:type="dcterms:W3CDTF">2020-09-22T16:41:00Z</dcterms:created>
  <dcterms:modified xsi:type="dcterms:W3CDTF">2020-09-27T11:19:00Z</dcterms:modified>
</cp:coreProperties>
</file>