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074AD"/>
          <w:sz w:val="20"/>
          <w:szCs w:val="20"/>
        </w:rPr>
        <w:t xml:space="preserve">KAISER PERMANENTE · HEALTH &amp; WELLNESS POC</w:t>
      </w:r>
    </w:p>
    <w:p>
      <w:pPr>
        <w:spacing w:after="120"/>
      </w:pPr>
      <w:r>
        <w:rPr>
          <w:b/>
          <w:bCs/>
          <w:color w:val="003B71"/>
          <w:sz w:val="44"/>
          <w:szCs w:val="44"/>
        </w:rPr>
        <w:t xml:space="preserve">Response to Migration Framework Review Feedback</w:t>
      </w:r>
    </w:p>
    <w:p>
      <w:pPr>
        <w:spacing w:after="160"/>
      </w:pPr>
      <w:r>
        <w:rPr>
          <w:i/>
          <w:iCs/>
          <w:color w:val="677083"/>
        </w:rPr>
        <w:t xml:space="preserve">Prepared in response to the four review points on the EDS modernization / migration framework document — each addressed below using the AEM Managed Services → Edge Delivery Services Health &amp; Wellness pilot as the evidentiary base.</w:t>
      </w:r>
    </w:p>
    <w:p>
      <w:pPr>
        <w:pBdr>
          <w:bottom w:val="single" w:color="CCCCCC" w:sz="6"/>
        </w:pBdr>
        <w:spacing w:after="200"/>
      </w:pPr>
    </w:p>
    <w:p>
      <w:pPr>
        <w:spacing w:after="160"/>
      </w:pPr>
      <w:r>
        <w:t xml:space="preserve">This document answers, in order, the four observations raised in the review of the migration framework: (1) explicit coverage of the Health &amp; Wellness POC, (2) the KP Design System’s role as authoritative source of truth, (3) a clear split between demonstrated POC deliverables and future-state recommendations, and (4) the POC’s key findings and learnings. Supporting detail lives in the project’s living documentation (</w:t>
      </w:r>
      <w:r>
        <w:rPr>
          <w:rFonts w:ascii="Courier New" w:cs="Courier New" w:eastAsia="Courier New" w:hAnsi="Courier New"/>
          <w:sz w:val="20"/>
          <w:szCs w:val="20"/>
        </w:rPr>
        <w:t xml:space="preserve">docs/index.html</w:t>
      </w:r>
      <w:r>
        <w:t xml:space="preserve">, section “POC Summary for SI Partners” and “Storybook Design System”).</w:t>
      </w:r>
    </w:p>
    <w:p>
      <w:pPr>
        <w:pStyle w:val="Heading1"/>
        <w:spacing w:after="160" w:before="360"/>
      </w:pPr>
      <w:r>
        <w:rPr>
          <w:b/>
          <w:bCs/>
          <w:color w:val="003B71"/>
        </w:rPr>
        <w:t xml:space="preserve">1. Explicit Coverage of the Health &amp; Wellness POC</w:t>
      </w:r>
    </w:p>
    <w:p>
      <w:pPr>
        <w:spacing w:after="160"/>
      </w:pPr>
      <w:r>
        <w:t xml:space="preserve">The framework now includes a dedicated appendix (“POC Summary for SI Partners”) documenting the POC’s objectives and success criteria, the four scenarios evaluated, the architecture and repository patterns demonstrated, and the key integrations validated. Each is summarized below.</w:t>
      </w:r>
    </w:p>
    <w:p>
      <w:pPr>
        <w:pStyle w:val="Heading2"/>
        <w:spacing w:after="120" w:before="280"/>
      </w:pPr>
      <w:r>
        <w:rPr>
          <w:b/>
          <w:bCs/>
          <w:color w:val="0074AD"/>
        </w:rPr>
        <w:t xml:space="preserve">POC objectives and success criteria</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540"/>
      </w:tblGrid>
      <w:tr>
        <w:trPr>
          <w:tblHeader/>
        </w:trPr>
        <w:tc>
          <w:tcPr>
            <w:tcW w:type="dxa" w:w="3000"/>
            <w:shd w:fill="003B71" w:color="auto" w:val="clear"/>
            <w:tcMar>
              <w:top w:type="dxa" w:w="80"/>
              <w:left w:type="dxa" w:w="100"/>
              <w:bottom w:type="dxa" w:w="80"/>
              <w:right w:type="dxa" w:w="100"/>
            </w:tcMar>
          </w:tcPr>
          <w:p>
            <w:r>
              <w:rPr>
                <w:b/>
                <w:bCs/>
                <w:color w:val="FFFFFF"/>
                <w:sz w:val="20"/>
                <w:szCs w:val="20"/>
              </w:rPr>
              <w:t xml:space="preserve">Objective</w:t>
            </w:r>
          </w:p>
        </w:tc>
        <w:tc>
          <w:tcPr>
            <w:tcW w:type="dxa" w:w="4200"/>
            <w:shd w:fill="003B71" w:color="auto" w:val="clear"/>
            <w:tcMar>
              <w:top w:type="dxa" w:w="80"/>
              <w:left w:type="dxa" w:w="100"/>
              <w:bottom w:type="dxa" w:w="80"/>
              <w:right w:type="dxa" w:w="100"/>
            </w:tcMar>
          </w:tcPr>
          <w:p>
            <w:r>
              <w:rPr>
                <w:b/>
                <w:bCs/>
                <w:color w:val="FFFFFF"/>
                <w:sz w:val="20"/>
                <w:szCs w:val="20"/>
              </w:rPr>
              <w:t xml:space="preserve">Success criteria</w:t>
            </w:r>
          </w:p>
        </w:tc>
        <w:tc>
          <w:tcPr>
            <w:tcW w:type="dxa" w:w="2540"/>
            <w:shd w:fill="003B71" w:color="auto" w:val="clear"/>
            <w:tcMar>
              <w:top w:type="dxa" w:w="80"/>
              <w:left w:type="dxa" w:w="100"/>
              <w:bottom w:type="dxa" w:w="80"/>
              <w:right w:type="dxa" w:w="100"/>
            </w:tcMar>
          </w:tcPr>
          <w:p>
            <w:r>
              <w:rPr>
                <w:b/>
                <w:bCs/>
                <w:color w:val="FFFFFF"/>
                <w:sz w:val="20"/>
                <w:szCs w:val="20"/>
              </w:rPr>
              <w:t xml:space="preserve">Result</w:t>
            </w:r>
          </w:p>
        </w:tc>
      </w:tr>
      <w:tr>
        <w:tc>
          <w:tcPr>
            <w:tcW w:type="dxa" w:w="3000"/>
            <w:tcMar>
              <w:top w:type="dxa" w:w="80"/>
              <w:left w:type="dxa" w:w="100"/>
              <w:bottom w:type="dxa" w:w="80"/>
              <w:right w:type="dxa" w:w="100"/>
            </w:tcMar>
          </w:tcPr>
          <w:p>
            <w:r>
              <w:rPr>
                <w:sz w:val="20"/>
                <w:szCs w:val="20"/>
              </w:rPr>
              <w:t xml:space="preserve">Validate migration from AEM Managed Services to Edge Delivery Services</w:t>
            </w:r>
          </w:p>
        </w:tc>
        <w:tc>
          <w:tcPr>
            <w:tcW w:type="dxa" w:w="4200"/>
            <w:tcMar>
              <w:top w:type="dxa" w:w="80"/>
              <w:left w:type="dxa" w:w="100"/>
              <w:bottom w:type="dxa" w:w="80"/>
              <w:right w:type="dxa" w:w="100"/>
            </w:tcMar>
          </w:tcPr>
          <w:p>
            <w:r>
              <w:rPr>
                <w:sz w:val="20"/>
                <w:szCs w:val="20"/>
              </w:rPr>
              <w:t xml:space="preserve">A production KP Health &amp; Wellness experience can be rebuilt on EDS using the block-based development model, under a One Repo Per Project architecture with an immutable Global Library</w:t>
            </w:r>
          </w:p>
        </w:tc>
        <w:tc>
          <w:tcPr>
            <w:tcW w:type="dxa" w:w="2540"/>
            <w:tcMar>
              <w:top w:type="dxa" w:w="80"/>
              <w:left w:type="dxa" w:w="100"/>
              <w:bottom w:type="dxa" w:w="80"/>
              <w:right w:type="dxa" w:w="100"/>
            </w:tcMar>
          </w:tcPr>
          <w:p>
            <w:r>
              <w:rPr>
                <w:b/>
                <w:bCs/>
                <w:color w:val="1A6B50"/>
              </w:rPr>
              <w:t xml:space="preserve">Met</w:t>
            </w:r>
            <w:r>
              <w:rPr>
                <w:sz w:val="20"/>
                <w:szCs w:val="20"/>
              </w:rPr>
              <w:t xml:space="preserve"> — 4/4 scenarios rebuilt and live on EDS</w:t>
            </w:r>
          </w:p>
        </w:tc>
      </w:tr>
      <w:tr>
        <w:tc>
          <w:tcPr>
            <w:tcW w:type="dxa" w:w="3000"/>
            <w:tcMar>
              <w:top w:type="dxa" w:w="80"/>
              <w:left w:type="dxa" w:w="100"/>
              <w:bottom w:type="dxa" w:w="80"/>
              <w:right w:type="dxa" w:w="100"/>
            </w:tcMar>
          </w:tcPr>
          <w:p>
            <w:r>
              <w:rPr>
                <w:sz w:val="20"/>
                <w:szCs w:val="20"/>
              </w:rPr>
              <w:t xml:space="preserve">Validate support for dynamic, backend-driven experiences</w:t>
            </w:r>
          </w:p>
        </w:tc>
        <w:tc>
          <w:tcPr>
            <w:tcW w:type="dxa" w:w="4200"/>
            <w:tcMar>
              <w:top w:type="dxa" w:w="80"/>
              <w:left w:type="dxa" w:w="100"/>
              <w:bottom w:type="dxa" w:w="80"/>
              <w:right w:type="dxa" w:w="100"/>
            </w:tcMar>
          </w:tcPr>
          <w:p>
            <w:r>
              <w:rPr>
                <w:sz w:val="20"/>
                <w:szCs w:val="20"/>
              </w:rPr>
              <w:t xml:space="preserve">EDS can call and render live data from KP's own backend services (Content Hub, Lucid Search, AEM Servlet APIs) rather than static, author-only content</w:t>
            </w:r>
          </w:p>
        </w:tc>
        <w:tc>
          <w:tcPr>
            <w:tcW w:type="dxa" w:w="2540"/>
            <w:tcMar>
              <w:top w:type="dxa" w:w="80"/>
              <w:left w:type="dxa" w:w="100"/>
              <w:bottom w:type="dxa" w:w="80"/>
              <w:right w:type="dxa" w:w="100"/>
            </w:tcMar>
          </w:tcPr>
          <w:p>
            <w:r>
              <w:rPr>
                <w:b/>
                <w:bCs/>
                <w:color w:val="1A6B50"/>
              </w:rPr>
              <w:t xml:space="preserve">Met</w:t>
            </w:r>
            <w:r>
              <w:rPr>
                <w:sz w:val="20"/>
                <w:szCs w:val="20"/>
              </w:rPr>
              <w:t xml:space="preserve"> — all three backend integrations validated end to end</w:t>
            </w:r>
          </w:p>
        </w:tc>
      </w:tr>
      <w:tr>
        <w:tc>
          <w:tcPr>
            <w:tcW w:type="dxa" w:w="3000"/>
            <w:tcMar>
              <w:top w:type="dxa" w:w="80"/>
              <w:left w:type="dxa" w:w="100"/>
              <w:bottom w:type="dxa" w:w="80"/>
              <w:right w:type="dxa" w:w="100"/>
            </w:tcMar>
          </w:tcPr>
          <w:p>
            <w:r>
              <w:rPr>
                <w:sz w:val="20"/>
                <w:szCs w:val="20"/>
              </w:rPr>
              <w:t xml:space="preserve">Validate KP Design System conformance in the EDS block model</w:t>
            </w:r>
          </w:p>
        </w:tc>
        <w:tc>
          <w:tcPr>
            <w:tcW w:type="dxa" w:w="4200"/>
            <w:tcMar>
              <w:top w:type="dxa" w:w="80"/>
              <w:left w:type="dxa" w:w="100"/>
              <w:bottom w:type="dxa" w:w="80"/>
              <w:right w:type="dxa" w:w="100"/>
            </w:tcMar>
          </w:tcPr>
          <w:p>
            <w:r>
              <w:rPr>
                <w:sz w:val="20"/>
                <w:szCs w:val="20"/>
              </w:rPr>
              <w:t xml:space="preserve">At least one production block can be built from a KP Storybook ("vessel") pattern with token- and CSS-level traceability back to that source, not a hand-approximated restyle</w:t>
            </w:r>
          </w:p>
        </w:tc>
        <w:tc>
          <w:tcPr>
            <w:tcW w:type="dxa" w:w="2540"/>
            <w:tcMar>
              <w:top w:type="dxa" w:w="80"/>
              <w:left w:type="dxa" w:w="100"/>
              <w:bottom w:type="dxa" w:w="80"/>
              <w:right w:type="dxa" w:w="100"/>
            </w:tcMar>
          </w:tcPr>
          <w:p>
            <w:r>
              <w:rPr>
                <w:b/>
                <w:bCs/>
                <w:color w:val="8A4B08"/>
              </w:rPr>
              <w:t xml:space="preserve">Partially met</w:t>
            </w:r>
            <w:r>
              <w:rPr>
                <w:sz w:val="20"/>
                <w:szCs w:val="20"/>
              </w:rPr>
              <w:t xml:space="preserve"> — pipeline proven on one pilot block (card); CI enforcement and scale-out pending</w:t>
            </w:r>
          </w:p>
        </w:tc>
      </w:tr>
    </w:tbl>
    <w:p>
      <w:pPr>
        <w:pStyle w:val="Heading2"/>
        <w:spacing w:after="120" w:before="280"/>
      </w:pPr>
      <w:r>
        <w:rPr>
          <w:b/>
          <w:bCs/>
          <w:color w:val="0074AD"/>
        </w:rPr>
        <w:t xml:space="preserve">The four Health &amp; Wellness scenarios evaluated</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400"/>
        <w:gridCol w:w="7340"/>
      </w:tblGrid>
      <w:tr>
        <w:trPr>
          <w:tblHeader/>
        </w:trPr>
        <w:tc>
          <w:tcPr>
            <w:tcW w:type="dxa" w:w="2400"/>
            <w:shd w:fill="003B71" w:color="auto" w:val="clear"/>
            <w:tcMar>
              <w:top w:type="dxa" w:w="80"/>
              <w:left w:type="dxa" w:w="100"/>
              <w:bottom w:type="dxa" w:w="80"/>
              <w:right w:type="dxa" w:w="100"/>
            </w:tcMar>
          </w:tcPr>
          <w:p>
            <w:r>
              <w:rPr>
                <w:b/>
                <w:bCs/>
                <w:color w:val="FFFFFF"/>
                <w:sz w:val="20"/>
                <w:szCs w:val="20"/>
              </w:rPr>
              <w:t xml:space="preserve">Scenario</w:t>
            </w:r>
          </w:p>
        </w:tc>
        <w:tc>
          <w:tcPr>
            <w:tcW w:type="dxa" w:w="7340"/>
            <w:shd w:fill="003B71" w:color="auto" w:val="clear"/>
            <w:tcMar>
              <w:top w:type="dxa" w:w="80"/>
              <w:left w:type="dxa" w:w="100"/>
              <w:bottom w:type="dxa" w:w="80"/>
              <w:right w:type="dxa" w:w="100"/>
            </w:tcMar>
          </w:tcPr>
          <w:p>
            <w:r>
              <w:rPr>
                <w:b/>
                <w:bCs/>
                <w:color w:val="FFFFFF"/>
                <w:sz w:val="20"/>
                <w:szCs w:val="20"/>
              </w:rPr>
              <w:t xml:space="preserve">What it validated</w:t>
            </w:r>
          </w:p>
        </w:tc>
      </w:tr>
      <w:tr>
        <w:tc>
          <w:tcPr>
            <w:tcW w:type="dxa" w:w="2400"/>
            <w:tcMar>
              <w:top w:type="dxa" w:w="80"/>
              <w:left w:type="dxa" w:w="100"/>
              <w:bottom w:type="dxa" w:w="80"/>
              <w:right w:type="dxa" w:w="100"/>
            </w:tcMar>
          </w:tcPr>
          <w:p>
            <w:r>
              <w:rPr>
                <w:sz w:val="20"/>
                <w:szCs w:val="20"/>
              </w:rPr>
              <w:t xml:space="preserve">1 · Health &amp; Wellness Landing</w:t>
            </w:r>
          </w:p>
        </w:tc>
        <w:tc>
          <w:tcPr>
            <w:tcW w:type="dxa" w:w="7340"/>
            <w:tcMar>
              <w:top w:type="dxa" w:w="80"/>
              <w:left w:type="dxa" w:w="100"/>
              <w:bottom w:type="dxa" w:w="80"/>
              <w:right w:type="dxa" w:w="100"/>
            </w:tcMar>
          </w:tcPr>
          <w:p>
            <w:r>
              <w:rPr>
                <w:sz w:val="20"/>
                <w:szCs w:val="20"/>
              </w:rPr>
              <w:t xml:space="preserve">Core EDS rendering, Content Hub content-fragment fetching, and a dynamic related-articles block driven by a query index</w:t>
            </w:r>
          </w:p>
        </w:tc>
      </w:tr>
      <w:tr>
        <w:tc>
          <w:tcPr>
            <w:tcW w:type="dxa" w:w="2400"/>
            <w:tcMar>
              <w:top w:type="dxa" w:w="80"/>
              <w:left w:type="dxa" w:w="100"/>
              <w:bottom w:type="dxa" w:w="80"/>
              <w:right w:type="dxa" w:w="100"/>
            </w:tcMar>
          </w:tcPr>
          <w:p>
            <w:r>
              <w:rPr>
                <w:sz w:val="20"/>
                <w:szCs w:val="20"/>
              </w:rPr>
              <w:t xml:space="preserve">2 · Health Class Directory</w:t>
            </w:r>
          </w:p>
        </w:tc>
        <w:tc>
          <w:tcPr>
            <w:tcW w:type="dxa" w:w="7340"/>
            <w:tcMar>
              <w:top w:type="dxa" w:w="80"/>
              <w:left w:type="dxa" w:w="100"/>
              <w:bottom w:type="dxa" w:w="80"/>
              <w:right w:type="dxa" w:w="100"/>
            </w:tcMar>
          </w:tcPr>
          <w:p>
            <w:r>
              <w:rPr>
                <w:sz w:val="20"/>
                <w:szCs w:val="20"/>
              </w:rPr>
              <w:t xml:space="preserve">KP Lucid Search integration through a CORS-bridging proxy, faceted/filterable dynamic results, and hand-off to AEM-backed detail pages</w:t>
            </w:r>
          </w:p>
        </w:tc>
      </w:tr>
      <w:tr>
        <w:tc>
          <w:tcPr>
            <w:tcW w:type="dxa" w:w="2400"/>
            <w:tcMar>
              <w:top w:type="dxa" w:w="80"/>
              <w:left w:type="dxa" w:w="100"/>
              <w:bottom w:type="dxa" w:w="80"/>
              <w:right w:type="dxa" w:w="100"/>
            </w:tcMar>
          </w:tcPr>
          <w:p>
            <w:r>
              <w:rPr>
                <w:sz w:val="20"/>
                <w:szCs w:val="20"/>
              </w:rPr>
              <w:t xml:space="preserve">3 · Health Encyclopedia</w:t>
            </w:r>
          </w:p>
        </w:tc>
        <w:tc>
          <w:tcPr>
            <w:tcW w:type="dxa" w:w="7340"/>
            <w:tcMar>
              <w:top w:type="dxa" w:w="80"/>
              <w:left w:type="dxa" w:w="100"/>
              <w:bottom w:type="dxa" w:w="80"/>
              <w:right w:type="dxa" w:w="100"/>
            </w:tcMar>
          </w:tcPr>
          <w:p>
            <w:r>
              <w:rPr>
                <w:sz w:val="20"/>
                <w:szCs w:val="20"/>
              </w:rPr>
              <w:t xml:space="preserve">Server-side rendering at the edge (Fastly Compute) — third-party (Healthwise) content injected into the EDS page shell before it reaches the browser</w:t>
            </w:r>
          </w:p>
        </w:tc>
      </w:tr>
      <w:tr>
        <w:tc>
          <w:tcPr>
            <w:tcW w:type="dxa" w:w="2400"/>
            <w:tcMar>
              <w:top w:type="dxa" w:w="80"/>
              <w:left w:type="dxa" w:w="100"/>
              <w:bottom w:type="dxa" w:w="80"/>
              <w:right w:type="dxa" w:w="100"/>
            </w:tcMar>
          </w:tcPr>
          <w:p>
            <w:r>
              <w:rPr>
                <w:sz w:val="20"/>
                <w:szCs w:val="20"/>
              </w:rPr>
              <w:t xml:space="preserve">4 · Diabetes Landing</w:t>
            </w:r>
          </w:p>
        </w:tc>
        <w:tc>
          <w:tcPr>
            <w:tcW w:type="dxa" w:w="7340"/>
            <w:tcMar>
              <w:top w:type="dxa" w:w="80"/>
              <w:left w:type="dxa" w:w="100"/>
              <w:bottom w:type="dxa" w:w="80"/>
              <w:right w:type="dxa" w:w="100"/>
            </w:tcMar>
          </w:tcPr>
          <w:p>
            <w:r>
              <w:rPr>
                <w:sz w:val="20"/>
                <w:szCs w:val="20"/>
              </w:rPr>
              <w:t xml:space="preserve">A second Lucid Search integration pattern (article/topic search rather than location/class search) with client-side filtering and a detail modal</w:t>
            </w:r>
          </w:p>
        </w:tc>
      </w:tr>
    </w:tbl>
    <w:p>
      <w:pPr>
        <w:pStyle w:val="Heading2"/>
        <w:spacing w:after="120" w:before="280"/>
      </w:pPr>
      <w:r>
        <w:rPr>
          <w:b/>
          <w:bCs/>
          <w:color w:val="0074AD"/>
        </w:rPr>
        <w:t xml:space="preserve">Architecture and repository patterns demonstrated</w:t>
      </w:r>
    </w:p>
    <w:p>
      <w:pPr>
        <w:pStyle w:val="ListParagraph"/>
        <w:numPr>
          <w:ilvl w:val="0"/>
          <w:numId w:val="2"/>
        </w:numPr>
        <w:spacing w:after="80"/>
      </w:pPr>
      <w:r>
        <w:rPr>
          <w:b/>
          <w:bCs/>
        </w:rPr>
        <w:t xml:space="preserve">One Repo Per Project</w:t>
      </w:r>
      <w:r>
        <w:t xml:space="preserve"> — a single project repository (kp-hw) holding blocks, pages, services, configuration, and tests, proven across four independent scenarios without structural conflict.</w:t>
      </w:r>
    </w:p>
    <w:p>
      <w:pPr>
        <w:pStyle w:val="ListParagraph"/>
        <w:numPr>
          <w:ilvl w:val="0"/>
          <w:numId w:val="2"/>
        </w:numPr>
        <w:spacing w:after="80"/>
      </w:pPr>
      <w:r>
        <w:rPr>
          <w:b/>
          <w:bCs/>
        </w:rPr>
        <w:t xml:space="preserve">EDS block-based development model, exclusively</w:t>
      </w:r>
      <w:r>
        <w:t xml:space="preserve"> — no scenario required stepping outside the block/template authoring model to hit its requirements.</w:t>
      </w:r>
    </w:p>
    <w:p>
      <w:pPr>
        <w:pStyle w:val="ListParagraph"/>
        <w:numPr>
          <w:ilvl w:val="0"/>
          <w:numId w:val="2"/>
        </w:numPr>
        <w:spacing w:after="80"/>
      </w:pPr>
      <w:r>
        <w:rPr>
          <w:b/>
          <w:bCs/>
        </w:rPr>
        <w:t xml:space="preserve">A modular service layer</w:t>
      </w:r>
      <w:r>
        <w:t xml:space="preserve"> — backend calls are isolated behind per-integration utility modules rather than embedded directly in block code, and shared across scenarios that use the same backend (Scenarios 2 and 4 both reuse the Lucid Search proxy layer).</w:t>
      </w:r>
    </w:p>
    <w:p>
      <w:pPr>
        <w:pStyle w:val="ListParagraph"/>
        <w:numPr>
          <w:ilvl w:val="0"/>
          <w:numId w:val="2"/>
        </w:numPr>
        <w:spacing w:after="80"/>
      </w:pPr>
      <w:r>
        <w:rPr>
          <w:b/>
          <w:bCs/>
        </w:rPr>
        <w:t xml:space="preserve">Region switching</w:t>
      </w:r>
      <w:r>
        <w:t xml:space="preserve"> — Scenario 2/4’s Lucid Search flows resolve a region (NCA/SCA) from ZIP or geolocation, proving the pattern; full language switching was not exercised by any scenario.</w:t>
      </w:r>
    </w:p>
    <w:p>
      <w:pPr>
        <w:pStyle w:val="ListParagraph"/>
        <w:numPr>
          <w:ilvl w:val="0"/>
          <w:numId w:val="2"/>
        </w:numPr>
        <w:spacing w:after="80"/>
      </w:pPr>
      <w:r>
        <w:rPr>
          <w:b/>
          <w:bCs/>
        </w:rPr>
        <w:t xml:space="preserve">Immutable Global Library</w:t>
      </w:r>
      <w:r>
        <w:t xml:space="preserve"> — designed and partially built (token layer, CSS-slice tooling, EDS-block harness) but not yet extracted as an independently versioned artifact consumed by more than this one project repo.</w:t>
      </w:r>
    </w:p>
    <w:p>
      <w:pPr>
        <w:pStyle w:val="Heading2"/>
        <w:spacing w:after="120" w:before="280"/>
      </w:pPr>
      <w:r>
        <w:rPr>
          <w:b/>
          <w:bCs/>
          <w:color w:val="0074AD"/>
        </w:rPr>
        <w:t xml:space="preserve">Key integrations validated</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600"/>
        <w:gridCol w:w="7140"/>
      </w:tblGrid>
      <w:tr>
        <w:trPr>
          <w:tblHeader/>
        </w:trPr>
        <w:tc>
          <w:tcPr>
            <w:tcW w:type="dxa" w:w="2600"/>
            <w:shd w:fill="003B71" w:color="auto" w:val="clear"/>
            <w:tcMar>
              <w:top w:type="dxa" w:w="80"/>
              <w:left w:type="dxa" w:w="100"/>
              <w:bottom w:type="dxa" w:w="80"/>
              <w:right w:type="dxa" w:w="100"/>
            </w:tcMar>
          </w:tcPr>
          <w:p>
            <w:r>
              <w:rPr>
                <w:b/>
                <w:bCs/>
                <w:color w:val="FFFFFF"/>
                <w:sz w:val="20"/>
                <w:szCs w:val="20"/>
              </w:rPr>
              <w:t xml:space="preserve">Integration</w:t>
            </w:r>
          </w:p>
        </w:tc>
        <w:tc>
          <w:tcPr>
            <w:tcW w:type="dxa" w:w="7140"/>
            <w:shd w:fill="003B71" w:color="auto" w:val="clear"/>
            <w:tcMar>
              <w:top w:type="dxa" w:w="80"/>
              <w:left w:type="dxa" w:w="100"/>
              <w:bottom w:type="dxa" w:w="80"/>
              <w:right w:type="dxa" w:w="100"/>
            </w:tcMar>
          </w:tcPr>
          <w:p>
            <w:r>
              <w:rPr>
                <w:b/>
                <w:bCs/>
                <w:color w:val="FFFFFF"/>
                <w:sz w:val="20"/>
                <w:szCs w:val="20"/>
              </w:rPr>
              <w:t xml:space="preserve">Pattern proven</w:t>
            </w:r>
          </w:p>
        </w:tc>
      </w:tr>
      <w:tr>
        <w:tc>
          <w:tcPr>
            <w:tcW w:type="dxa" w:w="2600"/>
            <w:tcMar>
              <w:top w:type="dxa" w:w="80"/>
              <w:left w:type="dxa" w:w="100"/>
              <w:bottom w:type="dxa" w:w="80"/>
              <w:right w:type="dxa" w:w="100"/>
            </w:tcMar>
          </w:tcPr>
          <w:p>
            <w:r>
              <w:rPr>
                <w:sz w:val="20"/>
                <w:szCs w:val="20"/>
              </w:rPr>
              <w:t xml:space="preserve">Content Hub</w:t>
            </w:r>
          </w:p>
        </w:tc>
        <w:tc>
          <w:tcPr>
            <w:tcW w:type="dxa" w:w="7140"/>
            <w:tcMar>
              <w:top w:type="dxa" w:w="80"/>
              <w:left w:type="dxa" w:w="100"/>
              <w:bottom w:type="dxa" w:w="80"/>
              <w:right w:type="dxa" w:w="100"/>
            </w:tcMar>
          </w:tcPr>
          <w:p>
            <w:r>
              <w:rPr>
                <w:sz w:val="20"/>
                <w:szCs w:val="20"/>
              </w:rPr>
              <w:t xml:space="preserve">Server-triggered content-fragment fetch rendered into an EDS page (Scenario 1)</w:t>
            </w:r>
          </w:p>
        </w:tc>
      </w:tr>
      <w:tr>
        <w:tc>
          <w:tcPr>
            <w:tcW w:type="dxa" w:w="2600"/>
            <w:tcMar>
              <w:top w:type="dxa" w:w="80"/>
              <w:left w:type="dxa" w:w="100"/>
              <w:bottom w:type="dxa" w:w="80"/>
              <w:right w:type="dxa" w:w="100"/>
            </w:tcMar>
          </w:tcPr>
          <w:p>
            <w:r>
              <w:rPr>
                <w:sz w:val="20"/>
                <w:szCs w:val="20"/>
              </w:rPr>
              <w:t xml:space="preserve">KP Lucid Search</w:t>
            </w:r>
          </w:p>
        </w:tc>
        <w:tc>
          <w:tcPr>
            <w:tcW w:type="dxa" w:w="7140"/>
            <w:tcMar>
              <w:top w:type="dxa" w:w="80"/>
              <w:left w:type="dxa" w:w="100"/>
              <w:bottom w:type="dxa" w:w="80"/>
              <w:right w:type="dxa" w:w="100"/>
            </w:tcMar>
          </w:tcPr>
          <w:p>
            <w:r>
              <w:rPr>
                <w:sz w:val="20"/>
                <w:szCs w:val="20"/>
              </w:rPr>
              <w:t xml:space="preserve">Browser → Adobe App Builder CORS proxy → KP Lucid Search API, for both location/class search (Scenario 2) and topic/article search (Scenario 4)</w:t>
            </w:r>
          </w:p>
        </w:tc>
      </w:tr>
      <w:tr>
        <w:tc>
          <w:tcPr>
            <w:tcW w:type="dxa" w:w="2600"/>
            <w:tcMar>
              <w:top w:type="dxa" w:w="80"/>
              <w:left w:type="dxa" w:w="100"/>
              <w:bottom w:type="dxa" w:w="80"/>
              <w:right w:type="dxa" w:w="100"/>
            </w:tcMar>
          </w:tcPr>
          <w:p>
            <w:r>
              <w:rPr>
                <w:sz w:val="20"/>
                <w:szCs w:val="20"/>
              </w:rPr>
              <w:t xml:space="preserve">AEM Servlet APIs</w:t>
            </w:r>
          </w:p>
        </w:tc>
        <w:tc>
          <w:tcPr>
            <w:tcW w:type="dxa" w:w="7140"/>
            <w:tcMar>
              <w:top w:type="dxa" w:w="80"/>
              <w:left w:type="dxa" w:w="100"/>
              <w:bottom w:type="dxa" w:w="80"/>
              <w:right w:type="dxa" w:w="100"/>
            </w:tcMar>
          </w:tcPr>
          <w:p>
            <w:r>
              <w:rPr>
                <w:sz w:val="20"/>
                <w:szCs w:val="20"/>
              </w:rPr>
              <w:t xml:space="preserve">Lucid Search results hand off to existing AEM-backed detail pages via response-provided URLs (Scenario 2)</w:t>
            </w:r>
          </w:p>
        </w:tc>
      </w:tr>
      <w:tr>
        <w:tc>
          <w:tcPr>
            <w:tcW w:type="dxa" w:w="2600"/>
            <w:tcMar>
              <w:top w:type="dxa" w:w="80"/>
              <w:left w:type="dxa" w:w="100"/>
              <w:bottom w:type="dxa" w:w="80"/>
              <w:right w:type="dxa" w:w="100"/>
            </w:tcMar>
          </w:tcPr>
          <w:p>
            <w:r>
              <w:rPr>
                <w:sz w:val="20"/>
                <w:szCs w:val="20"/>
              </w:rPr>
              <w:t xml:space="preserve">Third-party content at the edge</w:t>
            </w:r>
          </w:p>
        </w:tc>
        <w:tc>
          <w:tcPr>
            <w:tcW w:type="dxa" w:w="7140"/>
            <w:tcMar>
              <w:top w:type="dxa" w:w="80"/>
              <w:left w:type="dxa" w:w="100"/>
              <w:bottom w:type="dxa" w:w="80"/>
              <w:right w:type="dxa" w:w="100"/>
            </w:tcMar>
          </w:tcPr>
          <w:p>
            <w:r>
              <w:rPr>
                <w:sz w:val="20"/>
                <w:szCs w:val="20"/>
              </w:rPr>
              <w:t xml:space="preserve">Fastly Compute edge function fetches and injects Healthwise RHTML into the EDS shell server-side, with per-article SEO metadata (Scenario 3) — a fourth, distinct backend pattern worth calling out for SI partner planning</w:t>
            </w:r>
          </w:p>
        </w:tc>
      </w:tr>
    </w:tbl>
    <w:p>
      <w:pPr>
        <w:pStyle w:val="Heading1"/>
        <w:spacing w:after="160" w:before="360"/>
      </w:pPr>
      <w:r>
        <w:rPr>
          <w:b/>
          <w:bCs/>
          <w:color w:val="003B71"/>
        </w:rPr>
        <w:t xml:space="preserve">2. Design System Enforcement Strategy — Clarified</w:t>
      </w:r>
    </w:p>
    <w:p>
      <w:pPr>
        <w:spacing w:after="160"/>
      </w:pPr>
      <w:r>
        <w:t xml:space="preserve">Storybook and EDS blocks are not two complementary, independently valid implementations of the same design. The KP Design System artifacts — Storybook patterns, CSS, design tokens, accessibility standards, and the approved HTML pattern library — are the </w:t>
      </w:r>
      <w:r>
        <w:rPr>
          <w:b/>
          <w:bCs/>
        </w:rPr>
        <w:t xml:space="preserve">single, authoritative source of truth</w:t>
      </w:r>
      <w:r>
        <w:t xml:space="preserve">. EDS blocks are required to conform to those artifacts and to KP’s governance standards; they are not a separate, EDS-native design system that happens to look similar.</w:t>
      </w:r>
    </w:p>
    <w:p>
      <w:pPr>
        <w:spacing w:after="160"/>
      </w:pPr>
      <w:r>
        <w:t xml:space="preserve">A key objective of this POC was proving that EDS and AI-assisted migration tooling can </w:t>
      </w:r>
      <w:r>
        <w:rPr>
          <w:b/>
          <w:bCs/>
          <w:i/>
          <w:iCs/>
        </w:rPr>
        <w:t xml:space="preserve">enforce</w:t>
      </w:r>
      <w:r>
        <w:t xml:space="preserve"> KP’s existing Design System rather than produce an alternative implementation of it.</w:t>
      </w:r>
    </w:p>
    <w:p>
      <w:pPr>
        <w:spacing w:after="160"/>
      </w:pPr>
      <w:r>
        <w:t xml:space="preserve">The architecture exists specifically to make that conformance mechanical rather than a matter of visual judgment:</w:t>
      </w:r>
    </w:p>
    <w:p>
      <w:pPr>
        <w:pStyle w:val="ListParagraph"/>
        <w:numPr>
          <w:ilvl w:val="0"/>
          <w:numId w:val="2"/>
        </w:numPr>
        <w:spacing w:after="80"/>
      </w:pPr>
      <w:r>
        <w:t xml:space="preserve">One design pattern produces exactly one implementation — the block owns the renderer, and Storybook imports it, so there is a single source of DOM and behavior, not two that can drift apart.</w:t>
      </w:r>
    </w:p>
    <w:p>
      <w:pPr>
        <w:pStyle w:val="ListParagraph"/>
        <w:numPr>
          <w:ilvl w:val="0"/>
          <w:numId w:val="2"/>
        </w:numPr>
        <w:spacing w:after="80"/>
      </w:pPr>
      <w:r>
        <w:t xml:space="preserve">Tokens and CSS are derived programmatically from KP’s own source files (a namespaced --ds-* token layer, and a CSS-slice/rescope tool), not hand-copied.</w:t>
      </w:r>
    </w:p>
    <w:p>
      <w:pPr>
        <w:pStyle w:val="ListParagraph"/>
        <w:numPr>
          <w:ilvl w:val="0"/>
          <w:numId w:val="2"/>
        </w:numPr>
        <w:spacing w:after="80"/>
      </w:pPr>
      <w:r>
        <w:t xml:space="preserve">A CI-gated visual-parity check is designed to catch any divergence between a shipped block and its reference Storybook pattern before it ships.</w:t>
      </w:r>
    </w:p>
    <w:p>
      <w:pPr>
        <w:spacing w:after="160"/>
      </w:pPr>
      <w:r>
        <w:t xml:space="preserve">Today, this pipeline and its enforcement are proven on a single pilot block (</w:t>
      </w:r>
      <w:r>
        <w:rPr>
          <w:rFonts w:ascii="Courier New" w:cs="Courier New" w:eastAsia="Courier New" w:hAnsi="Courier New"/>
        </w:rPr>
        <w:t xml:space="preserve">card</w:t>
      </w:r>
      <w:r>
        <w:t xml:space="preserve">). Full-library coverage and the automated CI gate are future-state work — see Section 3.</w:t>
      </w:r>
    </w:p>
    <w:p>
      <w:pPr>
        <w:pStyle w:val="Heading1"/>
        <w:spacing w:after="160" w:before="360"/>
      </w:pPr>
      <w:r>
        <w:rPr>
          <w:b/>
          <w:bCs/>
          <w:color w:val="003B71"/>
        </w:rPr>
        <w:t xml:space="preserve">3. Implemented POC Deliverables vs. Future-State Recommendations</w:t>
      </w:r>
    </w:p>
    <w:p>
      <w:pPr>
        <w:spacing w:after="160"/>
      </w:pPr>
      <w:r>
        <w:t xml:space="preserve">The broader framework blends what this POC actually built and verified with governance, operating-model, and enterprise-scale guidance intended for later adoption. The table below distinguishes them so neither is mistaken for the other.</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2200"/>
        <w:gridCol w:w="3670"/>
        <w:gridCol w:w="3670"/>
      </w:tblGrid>
      <w:tr>
        <w:trPr>
          <w:tblHeader/>
        </w:trPr>
        <w:tc>
          <w:tcPr>
            <w:tcW w:type="dxa" w:w="2200"/>
            <w:shd w:fill="003B71" w:color="auto" w:val="clear"/>
            <w:tcMar>
              <w:top w:type="dxa" w:w="80"/>
              <w:left w:type="dxa" w:w="100"/>
              <w:bottom w:type="dxa" w:w="80"/>
              <w:right w:type="dxa" w:w="100"/>
            </w:tcMar>
          </w:tcPr>
          <w:p>
            <w:r>
              <w:rPr>
                <w:b/>
                <w:bCs/>
                <w:color w:val="FFFFFF"/>
                <w:sz w:val="20"/>
                <w:szCs w:val="20"/>
              </w:rPr>
              <w:t xml:space="preserve">Area</w:t>
            </w:r>
          </w:p>
        </w:tc>
        <w:tc>
          <w:tcPr>
            <w:tcW w:type="dxa" w:w="3670"/>
            <w:shd w:fill="003B71" w:color="auto" w:val="clear"/>
            <w:tcMar>
              <w:top w:type="dxa" w:w="80"/>
              <w:left w:type="dxa" w:w="100"/>
              <w:bottom w:type="dxa" w:w="80"/>
              <w:right w:type="dxa" w:w="100"/>
            </w:tcMar>
          </w:tcPr>
          <w:p>
            <w:r>
              <w:rPr>
                <w:b/>
                <w:bCs/>
                <w:color w:val="FFFFFF"/>
                <w:sz w:val="20"/>
                <w:szCs w:val="20"/>
              </w:rPr>
              <w:t xml:space="preserve">Demonstrated in this POC</w:t>
            </w:r>
          </w:p>
        </w:tc>
        <w:tc>
          <w:tcPr>
            <w:tcW w:type="dxa" w:w="3670"/>
            <w:shd w:fill="003B71" w:color="auto" w:val="clear"/>
            <w:tcMar>
              <w:top w:type="dxa" w:w="80"/>
              <w:left w:type="dxa" w:w="100"/>
              <w:bottom w:type="dxa" w:w="80"/>
              <w:right w:type="dxa" w:w="100"/>
            </w:tcMar>
          </w:tcPr>
          <w:p>
            <w:r>
              <w:rPr>
                <w:b/>
                <w:bCs/>
                <w:color w:val="FFFFFF"/>
                <w:sz w:val="20"/>
                <w:szCs w:val="20"/>
              </w:rPr>
              <w:t xml:space="preserve">Future-state — not yet built or proven</w:t>
            </w:r>
          </w:p>
        </w:tc>
      </w:tr>
      <w:tr>
        <w:tc>
          <w:tcPr>
            <w:tcW w:type="dxa" w:w="2200"/>
            <w:tcMar>
              <w:top w:type="dxa" w:w="80"/>
              <w:left w:type="dxa" w:w="100"/>
              <w:bottom w:type="dxa" w:w="80"/>
              <w:right w:type="dxa" w:w="100"/>
            </w:tcMar>
          </w:tcPr>
          <w:p>
            <w:r>
              <w:rPr>
                <w:sz w:val="20"/>
                <w:szCs w:val="20"/>
              </w:rPr>
              <w:t xml:space="preserve">Repo / library architecture</w:t>
            </w:r>
          </w:p>
        </w:tc>
        <w:tc>
          <w:tcPr>
            <w:tcW w:type="dxa" w:w="3670"/>
            <w:tcMar>
              <w:top w:type="dxa" w:w="80"/>
              <w:left w:type="dxa" w:w="100"/>
              <w:bottom w:type="dxa" w:w="80"/>
              <w:right w:type="dxa" w:w="100"/>
            </w:tcMar>
          </w:tcPr>
          <w:p>
            <w:r>
              <w:rPr>
                <w:sz w:val="20"/>
                <w:szCs w:val="20"/>
              </w:rPr>
              <w:t xml:space="preserve">One Repo Per Project, working end to end for a single project (kp-hw)</w:t>
            </w:r>
          </w:p>
        </w:tc>
        <w:tc>
          <w:tcPr>
            <w:tcW w:type="dxa" w:w="3670"/>
            <w:tcMar>
              <w:top w:type="dxa" w:w="80"/>
              <w:left w:type="dxa" w:w="100"/>
              <w:bottom w:type="dxa" w:w="80"/>
              <w:right w:type="dxa" w:w="100"/>
            </w:tcMar>
          </w:tcPr>
          <w:p>
            <w:r>
              <w:rPr>
                <w:sz w:val="20"/>
                <w:szCs w:val="20"/>
              </w:rPr>
              <w:t xml:space="preserve">An immutable Global Library published and consumed as a versioned dependency across multiple project repos</w:t>
            </w:r>
          </w:p>
        </w:tc>
      </w:tr>
      <w:tr>
        <w:tc>
          <w:tcPr>
            <w:tcW w:type="dxa" w:w="2200"/>
            <w:tcMar>
              <w:top w:type="dxa" w:w="80"/>
              <w:left w:type="dxa" w:w="100"/>
              <w:bottom w:type="dxa" w:w="80"/>
              <w:right w:type="dxa" w:w="100"/>
            </w:tcMar>
          </w:tcPr>
          <w:p>
            <w:r>
              <w:rPr>
                <w:sz w:val="20"/>
                <w:szCs w:val="20"/>
              </w:rPr>
              <w:t xml:space="preserve">Design system conformance</w:t>
            </w:r>
          </w:p>
        </w:tc>
        <w:tc>
          <w:tcPr>
            <w:tcW w:type="dxa" w:w="3670"/>
            <w:tcMar>
              <w:top w:type="dxa" w:w="80"/>
              <w:left w:type="dxa" w:w="100"/>
              <w:bottom w:type="dxa" w:w="80"/>
              <w:right w:type="dxa" w:w="100"/>
            </w:tcMar>
          </w:tcPr>
          <w:p>
            <w:r>
              <w:rPr>
                <w:sz w:val="20"/>
                <w:szCs w:val="20"/>
              </w:rPr>
              <w:t xml:space="preserve">Storybook → token-extraction → CSS-slice → EDS-block pipeline, proven on one pilot block (card)</w:t>
            </w:r>
          </w:p>
        </w:tc>
        <w:tc>
          <w:tcPr>
            <w:tcW w:type="dxa" w:w="3670"/>
            <w:tcMar>
              <w:top w:type="dxa" w:w="80"/>
              <w:left w:type="dxa" w:w="100"/>
              <w:bottom w:type="dxa" w:w="80"/>
              <w:right w:type="dxa" w:w="100"/>
            </w:tcMar>
          </w:tcPr>
          <w:p>
            <w:r>
              <w:rPr>
                <w:sz w:val="20"/>
                <w:szCs w:val="20"/>
              </w:rPr>
              <w:t xml:space="preserve">Full vessel pattern-library coverage; a CI-enforced visual-parity gate blocking merges on drift (designed, not implemented)</w:t>
            </w:r>
          </w:p>
        </w:tc>
      </w:tr>
      <w:tr>
        <w:tc>
          <w:tcPr>
            <w:tcW w:type="dxa" w:w="2200"/>
            <w:tcMar>
              <w:top w:type="dxa" w:w="80"/>
              <w:left w:type="dxa" w:w="100"/>
              <w:bottom w:type="dxa" w:w="80"/>
              <w:right w:type="dxa" w:w="100"/>
            </w:tcMar>
          </w:tcPr>
          <w:p>
            <w:r>
              <w:rPr>
                <w:sz w:val="20"/>
                <w:szCs w:val="20"/>
              </w:rPr>
              <w:t xml:space="preserve">Backend integrations</w:t>
            </w:r>
          </w:p>
        </w:tc>
        <w:tc>
          <w:tcPr>
            <w:tcW w:type="dxa" w:w="3670"/>
            <w:tcMar>
              <w:top w:type="dxa" w:w="80"/>
              <w:left w:type="dxa" w:w="100"/>
              <w:bottom w:type="dxa" w:w="80"/>
              <w:right w:type="dxa" w:w="100"/>
            </w:tcMar>
          </w:tcPr>
          <w:p>
            <w:r>
              <w:rPr>
                <w:sz w:val="20"/>
                <w:szCs w:val="20"/>
              </w:rPr>
              <w:t xml:space="preserve">Content Hub, Lucid Search (×2 patterns), and an edge-rendered third-party content integration, each validated end to end for its scenario</w:t>
            </w:r>
          </w:p>
        </w:tc>
        <w:tc>
          <w:tcPr>
            <w:tcW w:type="dxa" w:w="3670"/>
            <w:tcMar>
              <w:top w:type="dxa" w:w="80"/>
              <w:left w:type="dxa" w:w="100"/>
              <w:bottom w:type="dxa" w:w="80"/>
              <w:right w:type="dxa" w:w="100"/>
            </w:tcMar>
          </w:tcPr>
          <w:p>
            <w:r>
              <w:rPr>
                <w:sz w:val="20"/>
                <w:szCs w:val="20"/>
              </w:rPr>
              <w:t xml:space="preserve">Production hardening (rate limiting, caching, multi-region failover, secret rotation) and a documented pattern for integrating additional backends beyond these four</w:t>
            </w:r>
          </w:p>
        </w:tc>
      </w:tr>
      <w:tr>
        <w:tc>
          <w:tcPr>
            <w:tcW w:type="dxa" w:w="2200"/>
            <w:tcMar>
              <w:top w:type="dxa" w:w="80"/>
              <w:left w:type="dxa" w:w="100"/>
              <w:bottom w:type="dxa" w:w="80"/>
              <w:right w:type="dxa" w:w="100"/>
            </w:tcMar>
          </w:tcPr>
          <w:p>
            <w:r>
              <w:rPr>
                <w:sz w:val="20"/>
                <w:szCs w:val="20"/>
              </w:rPr>
              <w:t xml:space="preserve">Region / language support</w:t>
            </w:r>
          </w:p>
        </w:tc>
        <w:tc>
          <w:tcPr>
            <w:tcW w:type="dxa" w:w="3670"/>
            <w:tcMar>
              <w:top w:type="dxa" w:w="80"/>
              <w:left w:type="dxa" w:w="100"/>
              <w:bottom w:type="dxa" w:w="80"/>
              <w:right w:type="dxa" w:w="100"/>
            </w:tcMar>
          </w:tcPr>
          <w:p>
            <w:r>
              <w:rPr>
                <w:sz w:val="20"/>
                <w:szCs w:val="20"/>
              </w:rPr>
              <w:t xml:space="preserve">Region selection (NCA/SCA) for Lucid Search flows</w:t>
            </w:r>
          </w:p>
        </w:tc>
        <w:tc>
          <w:tcPr>
            <w:tcW w:type="dxa" w:w="3670"/>
            <w:tcMar>
              <w:top w:type="dxa" w:w="80"/>
              <w:left w:type="dxa" w:w="100"/>
              <w:bottom w:type="dxa" w:w="80"/>
              <w:right w:type="dxa" w:w="100"/>
            </w:tcMar>
          </w:tcPr>
          <w:p>
            <w:r>
              <w:rPr>
                <w:sz w:val="20"/>
                <w:szCs w:val="20"/>
              </w:rPr>
              <w:t xml:space="preserve">Language switching; a full region matrix beyond NCA/SCA</w:t>
            </w:r>
          </w:p>
        </w:tc>
      </w:tr>
      <w:tr>
        <w:tc>
          <w:tcPr>
            <w:tcW w:type="dxa" w:w="2200"/>
            <w:tcMar>
              <w:top w:type="dxa" w:w="80"/>
              <w:left w:type="dxa" w:w="100"/>
              <w:bottom w:type="dxa" w:w="80"/>
              <w:right w:type="dxa" w:w="100"/>
            </w:tcMar>
          </w:tcPr>
          <w:p>
            <w:r>
              <w:rPr>
                <w:sz w:val="20"/>
                <w:szCs w:val="20"/>
              </w:rPr>
              <w:t xml:space="preserve">Governance &amp; SI partner model</w:t>
            </w:r>
          </w:p>
        </w:tc>
        <w:tc>
          <w:tcPr>
            <w:tcW w:type="dxa" w:w="3670"/>
            <w:tcMar>
              <w:top w:type="dxa" w:w="80"/>
              <w:left w:type="dxa" w:w="100"/>
              <w:bottom w:type="dxa" w:w="80"/>
              <w:right w:type="dxa" w:w="100"/>
            </w:tcMar>
          </w:tcPr>
          <w:p>
            <w:r>
              <w:rPr>
                <w:sz w:val="20"/>
                <w:szCs w:val="20"/>
              </w:rPr>
              <w:t xml:space="preserve">Ad hoc PR review and this documentation set</w:t>
            </w:r>
          </w:p>
        </w:tc>
        <w:tc>
          <w:tcPr>
            <w:tcW w:type="dxa" w:w="3670"/>
            <w:tcMar>
              <w:top w:type="dxa" w:w="80"/>
              <w:left w:type="dxa" w:w="100"/>
              <w:bottom w:type="dxa" w:w="80"/>
              <w:right w:type="dxa" w:w="100"/>
            </w:tcMar>
          </w:tcPr>
          <w:p>
            <w:r>
              <w:rPr>
                <w:sz w:val="20"/>
                <w:szCs w:val="20"/>
              </w:rPr>
              <w:t xml:space="preserve">Formal migration governance, SI partner engagement/handoff model, contribution and review standards, enterprise rollout plan</w:t>
            </w:r>
          </w:p>
        </w:tc>
      </w:tr>
      <w:tr>
        <w:tc>
          <w:tcPr>
            <w:tcW w:type="dxa" w:w="2200"/>
            <w:tcMar>
              <w:top w:type="dxa" w:w="80"/>
              <w:left w:type="dxa" w:w="100"/>
              <w:bottom w:type="dxa" w:w="80"/>
              <w:right w:type="dxa" w:w="100"/>
            </w:tcMar>
          </w:tcPr>
          <w:p>
            <w:r>
              <w:rPr>
                <w:sz w:val="20"/>
                <w:szCs w:val="20"/>
              </w:rPr>
              <w:t xml:space="preserve">Testing / CI</w:t>
            </w:r>
          </w:p>
        </w:tc>
        <w:tc>
          <w:tcPr>
            <w:tcW w:type="dxa" w:w="3670"/>
            <w:tcMar>
              <w:top w:type="dxa" w:w="80"/>
              <w:left w:type="dxa" w:w="100"/>
              <w:bottom w:type="dxa" w:w="80"/>
              <w:right w:type="dxa" w:w="100"/>
            </w:tcMar>
          </w:tcPr>
          <w:p>
            <w:r>
              <w:rPr>
                <w:sz w:val="20"/>
                <w:szCs w:val="20"/>
              </w:rPr>
              <w:t xml:space="preserve">Manual end-to-end verification per scenario; unit tests for the template-governance tooling</w:t>
            </w:r>
          </w:p>
        </w:tc>
        <w:tc>
          <w:tcPr>
            <w:tcW w:type="dxa" w:w="3670"/>
            <w:tcMar>
              <w:top w:type="dxa" w:w="80"/>
              <w:left w:type="dxa" w:w="100"/>
              <w:bottom w:type="dxa" w:w="80"/>
              <w:right w:type="dxa" w:w="100"/>
            </w:tcMar>
          </w:tcPr>
          <w:p>
            <w:r>
              <w:rPr>
                <w:sz w:val="20"/>
                <w:szCs w:val="20"/>
              </w:rPr>
              <w:t xml:space="preserve">Automated visual-parity CI gate; broader automated test-coverage requirements for future contributors</w:t>
            </w:r>
          </w:p>
        </w:tc>
      </w:tr>
    </w:tbl>
    <w:p>
      <w:pPr>
        <w:pStyle w:val="Heading1"/>
        <w:spacing w:after="160" w:before="360"/>
      </w:pPr>
      <w:r>
        <w:rPr>
          <w:b/>
          <w:bCs/>
          <w:color w:val="003B71"/>
        </w:rPr>
        <w:t xml:space="preserve">4. Key POC Findings and Learnings</w:t>
      </w:r>
    </w:p>
    <w:p>
      <w:pPr>
        <w:pStyle w:val="Heading2"/>
        <w:spacing w:after="120" w:before="280"/>
      </w:pPr>
      <w:r>
        <w:rPr>
          <w:b/>
          <w:bCs/>
          <w:color w:val="0074AD"/>
        </w:rPr>
        <w:t xml:space="preserve">What was successfully demonstrated</w:t>
      </w:r>
    </w:p>
    <w:p>
      <w:pPr>
        <w:spacing w:after="160"/>
      </w:pPr>
      <w:r>
        <w:t xml:space="preserve">EDS’s block model can render dynamic, backend-driven experiences — not just static content — across four realistic KP scenarios spanning three distinct backend patterns (client-side API calls through a proxy, server-triggered content-fragment fetches, and edge-side third-party content injection). A CORS-bridging proxy is a reliable, reusable way to integrate a KP API that doesn’t return CORS headers, without any change on KP’s side. Document Authoring plus lightweight governance tooling (a DA library plugin that diffs an authored page against its declared template) can keep authored content aligned to a canonical structure without blocking authors.</w:t>
      </w:r>
    </w:p>
    <w:p>
      <w:pPr>
        <w:pStyle w:val="Heading2"/>
        <w:spacing w:after="120" w:before="280"/>
      </w:pPr>
      <w:r>
        <w:rPr>
          <w:b/>
          <w:bCs/>
          <w:color w:val="0074AD"/>
        </w:rPr>
        <w:t xml:space="preserve">Areas requiring additional maturity or validation</w:t>
      </w:r>
    </w:p>
    <w:p>
      <w:pPr>
        <w:spacing w:after="160"/>
      </w:pPr>
      <w:r>
        <w:t xml:space="preserve">The visual-parity CI gate meant to enforce design-system conformance is designed but not implemented — today, conformance for the one pilot block was verified manually. Only one block has gone through the full Storybook-to-EDS pipeline; scale-out to the rest of the vessel pattern library, and reconciliation with the project’s existing Lit-based blocks (header/hero/footer), is unproven. The Healthwise edge function’s production rollout (CDN routing, secret provisioning) is still pending. Icon-font/SVG asset migration from the design system into EDS has no defined path yet.</w:t>
      </w:r>
    </w:p>
    <w:p>
      <w:pPr>
        <w:pStyle w:val="Heading2"/>
        <w:spacing w:after="120" w:before="280"/>
      </w:pPr>
      <w:r>
        <w:rPr>
          <w:b/>
          <w:bCs/>
          <w:color w:val="0074AD"/>
        </w:rPr>
        <w:t xml:space="preserve">Design System conformance findings</w:t>
      </w:r>
    </w:p>
    <w:p>
      <w:pPr>
        <w:spacing w:after="160"/>
      </w:pPr>
      <w:r>
        <w:t xml:space="preserve">Storybook components are driven by args/props; EDS blocks are driven by authored content tables decorated at runtime. Reconciling those two contracts required an explicit rule — </w:t>
      </w:r>
      <w:r>
        <w:rPr>
          <w:b/>
          <w:bCs/>
        </w:rPr>
        <w:t xml:space="preserve">the block owns the renderer, and the story imports it</w:t>
      </w:r>
      <w:r>
        <w:t xml:space="preserve"> — so there is exactly one implementation per design pattern, not two that can silently drift apart. Design tokens have to be extracted into a namespaced --ds-* layer and CSS sliced/rescoped per block, since EDS pages carry none of the design system’s own wrapper markup; without that discipline, a block built by eye against the design system will drift from it over time with no mechanism to catch the drift.</w:t>
      </w:r>
    </w:p>
    <w:p>
      <w:pPr>
        <w:pStyle w:val="Heading2"/>
        <w:spacing w:after="120" w:before="280"/>
      </w:pPr>
      <w:r>
        <w:rPr>
          <w:b/>
          <w:bCs/>
          <w:color w:val="0074AD"/>
        </w:rPr>
        <w:t xml:space="preserve">Shared library and repository architecture learnings</w:t>
      </w:r>
    </w:p>
    <w:p>
      <w:pPr>
        <w:spacing w:after="160"/>
      </w:pPr>
      <w:r>
        <w:t xml:space="preserve">One Repo Per Project is workable at single-project pilot scale, but the "immutable Global Library" half of the architecture is still aspirational — this POC has not yet extracted a genuinely independent, versioned library consumed by more than one project repo, so multi-project reuse and library-versioning discipline are unproven. Page-level governance (the template-governance tooling) and block-level design-system conformance are complementary but separate concerns; a future migration needs both, not one in place of the other.</w:t>
      </w:r>
    </w:p>
    <w:p>
      <w:pPr>
        <w:pStyle w:val="Heading2"/>
        <w:spacing w:after="120" w:before="280"/>
      </w:pPr>
      <w:r>
        <w:rPr>
          <w:b/>
          <w:bCs/>
          <w:color w:val="0074AD"/>
        </w:rPr>
        <w:t xml:space="preserve">Recommendations for future migration execution and SI partner expectations</w:t>
      </w:r>
    </w:p>
    <w:p>
      <w:pPr>
        <w:pStyle w:val="ListParagraph"/>
        <w:numPr>
          <w:ilvl w:val="0"/>
          <w:numId w:val="2"/>
        </w:numPr>
        <w:spacing w:after="80"/>
      </w:pPr>
      <w:r>
        <w:t xml:space="preserve">Treat the KP Design System’s Storybook patterns, tokens, accessibility standards, and approved HTML pattern library as an enforced input to any block build, not a reference consulted after the fact.</w:t>
      </w:r>
    </w:p>
    <w:p>
      <w:pPr>
        <w:pStyle w:val="ListParagraph"/>
        <w:numPr>
          <w:ilvl w:val="0"/>
          <w:numId w:val="2"/>
        </w:numPr>
        <w:spacing w:after="80"/>
      </w:pPr>
      <w:r>
        <w:t xml:space="preserve">Require the visual-parity CI gate to exist and pass before scaling the Storybook→EDS pipeline beyond a handful of blocks — the one-block pilot proves the pipeline works, not that it scales safely without automated enforcement.</w:t>
      </w:r>
    </w:p>
    <w:p>
      <w:pPr>
        <w:pStyle w:val="ListParagraph"/>
        <w:numPr>
          <w:ilvl w:val="0"/>
          <w:numId w:val="2"/>
        </w:numPr>
        <w:spacing w:after="80"/>
      </w:pPr>
      <w:r>
        <w:t xml:space="preserve">Treat the four POC scenarios as reference implementations of integration patterns, not templates to copy verbatim — each new SI partner engagement should validate its own blocks against KP’s canonical Storybook/token source, not against this pilot’s specific code.</w:t>
      </w:r>
    </w:p>
    <w:p>
      <w:pPr>
        <w:pStyle w:val="ListParagraph"/>
        <w:numPr>
          <w:ilvl w:val="0"/>
          <w:numId w:val="2"/>
        </w:numPr>
        <w:spacing w:after="80"/>
      </w:pPr>
      <w:r>
        <w:t xml:space="preserve">Formalize the CORS-bridging proxy as the standard approach for any KP backend API that doesn’t return CORS headers, rather than re-deriving it per integration.</w:t>
      </w:r>
    </w:p>
    <w:p>
      <w:pPr>
        <w:pStyle w:val="ListParagraph"/>
        <w:numPr>
          <w:ilvl w:val="0"/>
          <w:numId w:val="2"/>
        </w:numPr>
        <w:spacing w:after="80"/>
      </w:pPr>
      <w:r>
        <w:t xml:space="preserve">Before committing to the immutable Global Library as an enterprise pattern, validate it with a second consuming project repo — this POC only exercised the single-project half of that architecture.</w:t>
      </w:r>
    </w:p>
    <w:p>
      <w:pPr>
        <w:pStyle w:val="Heading1"/>
        <w:spacing w:after="160" w:before="360"/>
      </w:pPr>
      <w:r>
        <w:rPr>
          <w:b/>
          <w:bCs/>
          <w:color w:val="003B71"/>
        </w:rPr>
        <w:t xml:space="preserve">5. Case Study: Vessel Header Pattern → EDS Block Markup</w:t>
      </w:r>
    </w:p>
    <w:p>
      <w:pPr>
        <w:spacing w:after="160"/>
      </w:pPr>
      <w:r>
        <w:t xml:space="preserve">To make Section 2’s governance rule concrete — "the block owns the renderer, and the story imports it" — this section walks through exactly how one vessel pattern, the header, moves from KP’s raw design-system export into the code that ships with the EDS block.</w:t>
      </w:r>
    </w:p>
    <w:p>
      <w:pPr>
        <w:pStyle w:val="Heading2"/>
        <w:spacing w:after="120" w:before="280"/>
      </w:pPr>
      <w:r>
        <w:rPr>
          <w:b/>
          <w:bCs/>
          <w:color w:val="0074AD"/>
        </w:rPr>
        <w:t xml:space="preserve">The vessel doc</w:t>
      </w:r>
    </w:p>
    <w:p>
      <w:pPr>
        <w:spacing w:after="160"/>
      </w:pPr>
      <w:r>
        <w:t xml:space="preserve">The header’s design comes from a raw file in KP’s own design-system export: </w:t>
      </w:r>
      <w:r>
        <w:rPr>
          <w:rFonts w:ascii="Courier New" w:cs="Courier New" w:eastAsia="Courier New" w:hAnsi="Courier New"/>
          <w:sz w:val="20"/>
          <w:szCs w:val="20"/>
        </w:rPr>
        <w:t xml:space="preserve">design-files/kp-vessel-3/header-pattern/foundation-compact-v2.html</w:t>
      </w:r>
      <w:r>
        <w:t xml:space="preserve">. It’s a demo page KP’s design team built to show what the header should look like — not something that can be dropped straight into the site as-is. The only part that matters is the </w:t>
      </w:r>
      <w:r>
        <w:rPr>
          <w:rFonts w:ascii="Courier New" w:cs="Courier New" w:eastAsia="Courier New" w:hAnsi="Courier New"/>
          <w:sz w:val="20"/>
          <w:szCs w:val="20"/>
        </w:rPr>
        <w:t xml:space="preserve">&lt;header&gt;</w:t>
      </w:r>
      <w:r>
        <w:t xml:space="preserve"> element inside it, shown below:</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9340"/>
      </w:tblGrid>
      <w:tr>
        <w:tc>
          <w:tcPr>
            <w:tcW w:type="dxa" w:w="9340"/>
            <w:shd w:fill="1E1E1E" w:color="auto" w:val="clear"/>
            <w:tcMar>
              <w:top w:type="dxa" w:w="140"/>
              <w:left w:type="dxa" w:w="180"/>
              <w:bottom w:type="dxa" w:w="140"/>
              <w:right w:type="dxa" w:w="180"/>
            </w:tcMar>
          </w:tcPr>
          <w:p>
            <w:pPr>
              <w:spacing w:after="0" w:line="240"/>
            </w:pPr>
            <w:r>
              <w:rPr>
                <w:rFonts w:ascii="Courier New" w:cs="Courier New" w:eastAsia="Courier New" w:hAnsi="Courier New"/>
                <w:color w:val="D4D4D4"/>
                <w:sz w:val="16"/>
                <w:szCs w:val="16"/>
              </w:rPr>
              <w:t xml:space="preserve">&lt;header class="ds-header" data-ds-theme="vessel" data-ds-variant="compact" data-ds-version="2"&gt;</w:t>
            </w:r>
          </w:p>
          <w:p>
            <w:pPr>
              <w:spacing w:after="0" w:line="240"/>
            </w:pPr>
            <w:r>
              <w:rPr>
                <w:rFonts w:ascii="Courier New" w:cs="Courier New" w:eastAsia="Courier New" w:hAnsi="Courier New"/>
                <w:color w:val="D4D4D4"/>
                <w:sz w:val="16"/>
                <w:szCs w:val="16"/>
              </w:rPr>
              <w:t xml:space="preserve">  &lt;div class="ds-header__layout"&gt;</w:t>
            </w:r>
          </w:p>
          <w:p>
            <w:pPr>
              <w:spacing w:after="0" w:line="240"/>
            </w:pPr>
            <w:r>
              <w:rPr>
                <w:rFonts w:ascii="Courier New" w:cs="Courier New" w:eastAsia="Courier New" w:hAnsi="Courier New"/>
                <w:color w:val="D4D4D4"/>
                <w:sz w:val="16"/>
                <w:szCs w:val="16"/>
              </w:rPr>
              <w:t xml:space="preserve">    &lt;div class="ds-header__top-bar"&gt;</w:t>
            </w:r>
          </w:p>
          <w:p>
            <w:pPr>
              <w:spacing w:after="0" w:line="240"/>
            </w:pPr>
            <w:r>
              <w:rPr>
                <w:rFonts w:ascii="Courier New" w:cs="Courier New" w:eastAsia="Courier New" w:hAnsi="Courier New"/>
                <w:color w:val="D4D4D4"/>
                <w:sz w:val="16"/>
                <w:szCs w:val="16"/>
              </w:rPr>
              <w:t xml:space="preserve">      &lt;div class="ds-header__branding"&gt;</w:t>
            </w:r>
          </w:p>
          <w:p>
            <w:pPr>
              <w:spacing w:after="0" w:line="240"/>
            </w:pPr>
            <w:r>
              <w:rPr>
                <w:rFonts w:ascii="Courier New" w:cs="Courier New" w:eastAsia="Courier New" w:hAnsi="Courier New"/>
                <w:color w:val="D4D4D4"/>
                <w:sz w:val="16"/>
                <w:szCs w:val="16"/>
              </w:rPr>
              <w:t xml:space="preserve">        &lt;a class="ds-header__logo" href="/" ...&gt;</w:t>
            </w:r>
          </w:p>
          <w:p>
            <w:pPr>
              <w:spacing w:after="0" w:line="240"/>
            </w:pPr>
            <w:r>
              <w:rPr>
                <w:rFonts w:ascii="Courier New" w:cs="Courier New" w:eastAsia="Courier New" w:hAnsi="Courier New"/>
                <w:color w:val="D4D4D4"/>
                <w:sz w:val="16"/>
                <w:szCs w:val="16"/>
              </w:rPr>
              <w:t xml:space="preserve">          &lt;img class="ds-header__logo-img ds-header__logo-img--mobile"</w:t>
            </w:r>
          </w:p>
          <w:p>
            <w:pPr>
              <w:spacing w:after="0" w:line="240"/>
            </w:pPr>
            <w:r>
              <w:rPr>
                <w:rFonts w:ascii="Courier New" w:cs="Courier New" w:eastAsia="Courier New" w:hAnsi="Courier New"/>
                <w:color w:val="D4D4D4"/>
                <w:sz w:val="16"/>
                <w:szCs w:val="16"/>
              </w:rPr>
              <w:t xml:space="preserve">            src="assets/images/kp-logo-signature-stacked.svg" ... /&gt;</w:t>
            </w:r>
          </w:p>
          <w:p>
            <w:pPr>
              <w:spacing w:after="0" w:line="240"/>
            </w:pPr>
            <w:r>
              <w:rPr>
                <w:rFonts w:ascii="Courier New" w:cs="Courier New" w:eastAsia="Courier New" w:hAnsi="Courier New"/>
                <w:color w:val="D4D4D4"/>
                <w:sz w:val="16"/>
                <w:szCs w:val="16"/>
              </w:rPr>
              <w:t xml:space="preserve">          &lt;img class="ds-header__logo-img ds-header__logo-img--desktop"</w:t>
            </w:r>
          </w:p>
          <w:p>
            <w:pPr>
              <w:spacing w:after="0" w:line="240"/>
            </w:pPr>
            <w:r>
              <w:rPr>
                <w:rFonts w:ascii="Courier New" w:cs="Courier New" w:eastAsia="Courier New" w:hAnsi="Courier New"/>
                <w:color w:val="D4D4D4"/>
                <w:sz w:val="16"/>
                <w:szCs w:val="16"/>
              </w:rPr>
              <w:t xml:space="preserve">            src="assets/images/kp-logo-374x42.svg" ... /&gt;</w:t>
            </w:r>
          </w:p>
          <w:p>
            <w:pPr>
              <w:spacing w:after="0" w:line="240"/>
            </w:pPr>
            <w:r>
              <w:rPr>
                <w:rFonts w:ascii="Courier New" w:cs="Courier New" w:eastAsia="Courier New" w:hAnsi="Courier New"/>
                <w:color w:val="D4D4D4"/>
                <w:sz w:val="16"/>
                <w:szCs w:val="16"/>
              </w:rPr>
              <w:t xml:space="preserve">        &lt;/a&gt;</w:t>
            </w:r>
          </w:p>
          <w:p>
            <w:pPr>
              <w:spacing w:after="0" w:line="240"/>
            </w:pPr>
            <w:r>
              <w:rPr>
                <w:rFonts w:ascii="Courier New" w:cs="Courier New" w:eastAsia="Courier New" w:hAnsi="Courier New"/>
                <w:color w:val="D4D4D4"/>
                <w:sz w:val="16"/>
                <w:szCs w:val="16"/>
              </w:rPr>
              <w:t xml:space="preserve">      &lt;/div&gt;</w:t>
            </w:r>
          </w:p>
          <w:p>
            <w:pPr>
              <w:spacing w:after="0" w:line="240"/>
            </w:pPr>
            <w:r>
              <w:rPr>
                <w:rFonts w:ascii="Courier New" w:cs="Courier New" w:eastAsia="Courier New" w:hAnsi="Courier New"/>
                <w:color w:val="D4D4D4"/>
                <w:sz w:val="16"/>
                <w:szCs w:val="16"/>
              </w:rPr>
              <w:t xml:space="preserve">      &lt;button class="ds-header__menu-button" ...&gt;</w:t>
            </w:r>
          </w:p>
          <w:p>
            <w:pPr>
              <w:spacing w:after="0" w:line="240"/>
            </w:pPr>
            <w:r>
              <w:rPr>
                <w:rFonts w:ascii="Courier New" w:cs="Courier New" w:eastAsia="Courier New" w:hAnsi="Courier New"/>
                <w:color w:val="D4D4D4"/>
                <w:sz w:val="16"/>
                <w:szCs w:val="16"/>
              </w:rPr>
              <w:t xml:space="preserve">        ... menu icon / close icon / "Menu" label ...</w:t>
            </w:r>
          </w:p>
          <w:p>
            <w:pPr>
              <w:spacing w:after="0" w:line="240"/>
            </w:pPr>
            <w:r>
              <w:rPr>
                <w:rFonts w:ascii="Courier New" w:cs="Courier New" w:eastAsia="Courier New" w:hAnsi="Courier New"/>
                <w:color w:val="D4D4D4"/>
                <w:sz w:val="16"/>
                <w:szCs w:val="16"/>
              </w:rPr>
              <w:t xml:space="preserve">      &lt;/button&gt;</w:t>
            </w:r>
          </w:p>
          <w:p>
            <w:pPr>
              <w:spacing w:after="0" w:line="240"/>
            </w:pPr>
            <w:r>
              <w:rPr>
                <w:rFonts w:ascii="Courier New" w:cs="Courier New" w:eastAsia="Courier New" w:hAnsi="Courier New"/>
                <w:color w:val="D4D4D4"/>
                <w:sz w:val="16"/>
                <w:szCs w:val="16"/>
              </w:rPr>
              <w:t xml:space="preserve">    &lt;/div&gt;</w:t>
            </w:r>
          </w:p>
          <w:p>
            <w:pPr>
              <w:spacing w:after="0" w:line="240"/>
            </w:pPr>
            <w:r>
              <w:rPr>
                <w:rFonts w:ascii="Courier New" w:cs="Courier New" w:eastAsia="Courier New" w:hAnsi="Courier New"/>
                <w:color w:val="D4D4D4"/>
                <w:sz w:val="16"/>
                <w:szCs w:val="16"/>
              </w:rPr>
              <w:t xml:space="preserve">    &lt;nav class="ds-header__primary-nav"&gt;</w:t>
            </w:r>
          </w:p>
          <w:p>
            <w:pPr>
              <w:spacing w:after="0" w:line="240"/>
            </w:pPr>
            <w:r>
              <w:rPr>
                <w:rFonts w:ascii="Courier New" w:cs="Courier New" w:eastAsia="Courier New" w:hAnsi="Courier New"/>
                <w:color w:val="D4D4D4"/>
                <w:sz w:val="16"/>
                <w:szCs w:val="16"/>
              </w:rPr>
              <w:t xml:space="preserve">      &lt;ul class="ds-header__primary-nav-list"&gt;</w:t>
            </w:r>
          </w:p>
          <w:p>
            <w:pPr>
              <w:spacing w:after="0" w:line="240"/>
            </w:pPr>
            <w:r>
              <w:rPr>
                <w:rFonts w:ascii="Courier New" w:cs="Courier New" w:eastAsia="Courier New" w:hAnsi="Courier New"/>
                <w:color w:val="D4D4D4"/>
                <w:sz w:val="16"/>
                <w:szCs w:val="16"/>
              </w:rPr>
              <w:t xml:space="preserve">        &lt;li&gt;... "Standard Link" ...&lt;/li&gt;</w:t>
            </w:r>
          </w:p>
          <w:p>
            <w:pPr>
              <w:spacing w:after="0" w:line="240"/>
            </w:pPr>
            <w:r>
              <w:rPr>
                <w:rFonts w:ascii="Courier New" w:cs="Courier New" w:eastAsia="Courier New" w:hAnsi="Courier New"/>
                <w:color w:val="D4D4D4"/>
                <w:sz w:val="16"/>
                <w:szCs w:val="16"/>
              </w:rPr>
              <w:t xml:space="preserve">        &lt;li&gt;... .ds-dropdown language selector ...&lt;/li&gt;</w:t>
            </w:r>
          </w:p>
          <w:p>
            <w:pPr>
              <w:spacing w:after="0" w:line="240"/>
            </w:pPr>
            <w:r>
              <w:rPr>
                <w:rFonts w:ascii="Courier New" w:cs="Courier New" w:eastAsia="Courier New" w:hAnsi="Courier New"/>
                <w:color w:val="D4D4D4"/>
                <w:sz w:val="16"/>
                <w:szCs w:val="16"/>
              </w:rPr>
              <w:t xml:space="preserve">        &lt;li&gt;... "Large Link" (×2) ...&lt;/li&gt;</w:t>
            </w:r>
          </w:p>
          <w:p>
            <w:pPr>
              <w:spacing w:after="0" w:line="240"/>
            </w:pPr>
            <w:r>
              <w:rPr>
                <w:rFonts w:ascii="Courier New" w:cs="Courier New" w:eastAsia="Courier New" w:hAnsi="Courier New"/>
                <w:color w:val="D4D4D4"/>
                <w:sz w:val="16"/>
                <w:szCs w:val="16"/>
              </w:rPr>
              <w:t xml:space="preserve">      &lt;/ul&gt;</w:t>
            </w:r>
          </w:p>
          <w:p>
            <w:pPr>
              <w:spacing w:after="0" w:line="240"/>
            </w:pPr>
            <w:r>
              <w:rPr>
                <w:rFonts w:ascii="Courier New" w:cs="Courier New" w:eastAsia="Courier New" w:hAnsi="Courier New"/>
                <w:color w:val="D4D4D4"/>
                <w:sz w:val="16"/>
                <w:szCs w:val="16"/>
              </w:rPr>
              <w:t xml:space="preserve">    &lt;/nav&gt;</w:t>
            </w:r>
          </w:p>
          <w:p>
            <w:pPr>
              <w:spacing w:after="0" w:line="240"/>
            </w:pPr>
            <w:r>
              <w:rPr>
                <w:rFonts w:ascii="Courier New" w:cs="Courier New" w:eastAsia="Courier New" w:hAnsi="Courier New"/>
                <w:color w:val="D4D4D4"/>
                <w:sz w:val="16"/>
                <w:szCs w:val="16"/>
              </w:rPr>
              <w:t xml:space="preserve">  &lt;/div&gt;</w:t>
            </w:r>
          </w:p>
          <w:p>
            <w:pPr>
              <w:spacing w:after="0" w:line="240"/>
            </w:pPr>
            <w:r>
              <w:rPr>
                <w:rFonts w:ascii="Courier New" w:cs="Courier New" w:eastAsia="Courier New" w:hAnsi="Courier New"/>
                <w:color w:val="D4D4D4"/>
                <w:sz w:val="16"/>
                <w:szCs w:val="16"/>
              </w:rPr>
              <w:t xml:space="preserve">&lt;/header&gt;</w:t>
            </w:r>
          </w:p>
        </w:tc>
      </w:tr>
    </w:tbl>
    <w:p>
      <w:pPr>
        <w:spacing w:after="200" w:before="60"/>
      </w:pPr>
      <w:r>
        <w:rPr>
          <w:i/>
          <w:iCs/>
          <w:color w:val="677083"/>
          <w:sz w:val="18"/>
          <w:szCs w:val="18"/>
        </w:rPr>
        <w:t xml:space="preserve">design-files/kp-vessel-3/header-pattern/foundation-compact-v2.html (trimmed to structure)</w:t>
      </w:r>
    </w:p>
    <w:p>
      <w:pPr>
        <w:pStyle w:val="Heading2"/>
        <w:spacing w:after="120" w:before="280"/>
      </w:pPr>
      <w:r>
        <w:rPr>
          <w:b/>
          <w:bCs/>
          <w:color w:val="0074AD"/>
        </w:rPr>
        <w:t xml:space="preserve">Extracted into a JS file</w:t>
      </w:r>
    </w:p>
    <w:p>
      <w:pPr>
        <w:spacing w:after="160"/>
      </w:pPr>
      <w:r>
        <w:t xml:space="preserve">That header markup gets copied into a JS file — </w:t>
      </w:r>
      <w:r>
        <w:rPr>
          <w:rFonts w:ascii="Courier New" w:cs="Courier New" w:eastAsia="Courier New" w:hAnsi="Courier New"/>
          <w:sz w:val="20"/>
          <w:szCs w:val="20"/>
        </w:rPr>
        <w:t xml:space="preserve">blocks/header/header-dom.js</w:t>
      </w:r>
      <w:r>
        <w:t xml:space="preserve"> — that keeps the exact same shape, but swaps the hardcoded demo content (the logo, the menu label, the nav links) for placeholders, or </w:t>
      </w:r>
      <w:r>
        <w:rPr>
          <w:i/>
          <w:iCs/>
        </w:rPr>
        <w:t xml:space="preserve">“tokens.”</w:t>
      </w:r>
      <w:r>
        <w:t xml:space="preserve"> At runtime, real content coming from EDS — the page’s actual logo, nav links, and so on — gets dropped into those tokens. The result is the vessel’s exact markup, filled in with real content instead of demo content:</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9340"/>
      </w:tblGrid>
      <w:tr>
        <w:tc>
          <w:tcPr>
            <w:tcW w:type="dxa" w:w="9340"/>
            <w:shd w:fill="1E1E1E" w:color="auto" w:val="clear"/>
            <w:tcMar>
              <w:top w:type="dxa" w:w="140"/>
              <w:left w:type="dxa" w:w="180"/>
              <w:bottom w:type="dxa" w:w="140"/>
              <w:right w:type="dxa" w:w="180"/>
            </w:tcMar>
          </w:tcPr>
          <w:p>
            <w:pPr>
              <w:spacing w:after="0" w:line="240"/>
            </w:pPr>
            <w:r>
              <w:rPr>
                <w:rFonts w:ascii="Courier New" w:cs="Courier New" w:eastAsia="Courier New" w:hAnsi="Courier New"/>
                <w:color w:val="D4D4D4"/>
                <w:sz w:val="16"/>
                <w:szCs w:val="16"/>
              </w:rPr>
              <w:t xml:space="preserve">export function renderHeader({</w:t>
            </w:r>
          </w:p>
          <w:p>
            <w:pPr>
              <w:spacing w:after="0" w:line="240"/>
            </w:pPr>
            <w:r>
              <w:rPr>
                <w:rFonts w:ascii="Courier New" w:cs="Courier New" w:eastAsia="Courier New" w:hAnsi="Courier New"/>
                <w:color w:val="D4D4D4"/>
                <w:sz w:val="16"/>
                <w:szCs w:val="16"/>
              </w:rPr>
              <w:t xml:space="preserve">  home = '/', logos = {}, icons = {}, menuLabel = 'Menu', items = [],</w:t>
            </w:r>
          </w:p>
          <w:p>
            <w:pPr>
              <w:spacing w:after="0" w:line="240"/>
            </w:pPr>
            <w:r>
              <w:rPr>
                <w:rFonts w:ascii="Courier New" w:cs="Courier New" w:eastAsia="Courier New" w:hAnsi="Courier New"/>
                <w:color w:val="D4D4D4"/>
                <w:sz w:val="16"/>
                <w:szCs w:val="16"/>
              </w:rPr>
              <w:t xml:space="preserve">} = {}) {</w:t>
            </w:r>
          </w:p>
          <w:p>
            <w:pPr>
              <w:spacing w:after="0" w:line="240"/>
            </w:pPr>
            <w:r>
              <w:rPr>
                <w:rFonts w:ascii="Courier New" w:cs="Courier New" w:eastAsia="Courier New" w:hAnsi="Courier New"/>
                <w:color w:val="D4D4D4"/>
                <w:sz w:val="16"/>
                <w:szCs w:val="16"/>
              </w:rPr>
              <w:t xml:space="preserve">  const list = items.map((item) =&gt; navItem(item, icons)).join('');</w:t>
            </w:r>
          </w:p>
          <w:p>
            <w:pPr>
              <w:spacing w:after="0" w:line="240"/>
            </w:pPr>
            <w:r>
              <w:rPr>
                <w:rFonts w:ascii="Courier New" w:cs="Courier New" w:eastAsia="Courier New" w:hAnsi="Courier New"/>
                <w:color w:val="D4D4D4"/>
                <w:sz w:val="16"/>
                <w:szCs w:val="16"/>
              </w:rPr>
              <w:t xml:space="preserve">  return elFromHTML(`</w:t>
            </w:r>
          </w:p>
          <w:p>
            <w:pPr>
              <w:spacing w:after="0" w:line="240"/>
            </w:pPr>
            <w:r>
              <w:rPr>
                <w:rFonts w:ascii="Courier New" w:cs="Courier New" w:eastAsia="Courier New" w:hAnsi="Courier New"/>
                <w:color w:val="D4D4D4"/>
                <w:sz w:val="16"/>
                <w:szCs w:val="16"/>
              </w:rPr>
              <w:t xml:space="preserve">    &lt;header class="ds-header" data-ds-theme="vessel" data-ds-variant="compact" data-ds-version="2"&gt;</w:t>
            </w:r>
          </w:p>
          <w:p>
            <w:pPr>
              <w:spacing w:after="0" w:line="240"/>
            </w:pPr>
            <w:r>
              <w:rPr>
                <w:rFonts w:ascii="Courier New" w:cs="Courier New" w:eastAsia="Courier New" w:hAnsi="Courier New"/>
                <w:color w:val="D4D4D4"/>
                <w:sz w:val="16"/>
                <w:szCs w:val="16"/>
              </w:rPr>
              <w:t xml:space="preserve">      &lt;div class="ds-header__layout"&gt;</w:t>
            </w:r>
          </w:p>
          <w:p>
            <w:pPr>
              <w:spacing w:after="0" w:line="240"/>
            </w:pPr>
            <w:r>
              <w:rPr>
                <w:rFonts w:ascii="Courier New" w:cs="Courier New" w:eastAsia="Courier New" w:hAnsi="Courier New"/>
                <w:color w:val="D4D4D4"/>
                <w:sz w:val="16"/>
                <w:szCs w:val="16"/>
              </w:rPr>
              <w:t xml:space="preserve">        &lt;div class="ds-header__top-bar"&gt;</w:t>
            </w:r>
          </w:p>
          <w:p>
            <w:pPr>
              <w:spacing w:after="0" w:line="240"/>
            </w:pPr>
            <w:r>
              <w:rPr>
                <w:rFonts w:ascii="Courier New" w:cs="Courier New" w:eastAsia="Courier New" w:hAnsi="Courier New"/>
                <w:color w:val="D4D4D4"/>
                <w:sz w:val="16"/>
                <w:szCs w:val="16"/>
              </w:rPr>
              <w:t xml:space="preserve">          &lt;div class="ds-header__branding"&gt;</w:t>
            </w:r>
          </w:p>
          <w:p>
            <w:pPr>
              <w:spacing w:after="0" w:line="240"/>
            </w:pPr>
            <w:r>
              <w:rPr>
                <w:rFonts w:ascii="Courier New" w:cs="Courier New" w:eastAsia="Courier New" w:hAnsi="Courier New"/>
                <w:color w:val="D4D4D4"/>
                <w:sz w:val="16"/>
                <w:szCs w:val="16"/>
              </w:rPr>
              <w:t xml:space="preserve">            &lt;a class="ds-header__logo" href="${home}" ...&gt;</w:t>
            </w:r>
          </w:p>
          <w:p>
            <w:pPr>
              <w:spacing w:after="0" w:line="240"/>
            </w:pPr>
            <w:r>
              <w:rPr>
                <w:rFonts w:ascii="Courier New" w:cs="Courier New" w:eastAsia="Courier New" w:hAnsi="Courier New"/>
                <w:color w:val="D4D4D4"/>
                <w:sz w:val="16"/>
                <w:szCs w:val="16"/>
              </w:rPr>
              <w:t xml:space="preserve">            &lt;img class="ds-header__logo-img ds-header__logo-img--mobile" src="${logos.mobile || ''}" .../&gt;</w:t>
            </w:r>
          </w:p>
          <w:p>
            <w:pPr>
              <w:spacing w:after="0" w:line="240"/>
            </w:pPr>
            <w:r>
              <w:rPr>
                <w:rFonts w:ascii="Courier New" w:cs="Courier New" w:eastAsia="Courier New" w:hAnsi="Courier New"/>
                <w:color w:val="D4D4D4"/>
                <w:sz w:val="16"/>
                <w:szCs w:val="16"/>
              </w:rPr>
              <w:t xml:space="preserve">            &lt;img class="ds-header__logo-img ds-header__logo-img--desktop" src="${logos.desktop || ''}" .../&gt;</w:t>
            </w:r>
          </w:p>
          <w:p>
            <w:pPr>
              <w:spacing w:after="0" w:line="240"/>
            </w:pPr>
            <w:r>
              <w:rPr>
                <w:rFonts w:ascii="Courier New" w:cs="Courier New" w:eastAsia="Courier New" w:hAnsi="Courier New"/>
                <w:color w:val="D4D4D4"/>
                <w:sz w:val="16"/>
                <w:szCs w:val="16"/>
              </w:rPr>
              <w:t xml:space="preserve">            &lt;/a&gt;</w:t>
            </w:r>
          </w:p>
          <w:p>
            <w:pPr>
              <w:spacing w:after="0" w:line="240"/>
            </w:pPr>
            <w:r>
              <w:rPr>
                <w:rFonts w:ascii="Courier New" w:cs="Courier New" w:eastAsia="Courier New" w:hAnsi="Courier New"/>
                <w:color w:val="D4D4D4"/>
                <w:sz w:val="16"/>
                <w:szCs w:val="16"/>
              </w:rPr>
              <w:t xml:space="preserve">          &lt;/div&gt;</w:t>
            </w:r>
          </w:p>
          <w:p>
            <w:pPr>
              <w:spacing w:after="0" w:line="240"/>
            </w:pPr>
            <w:r>
              <w:rPr>
                <w:rFonts w:ascii="Courier New" w:cs="Courier New" w:eastAsia="Courier New" w:hAnsi="Courier New"/>
                <w:color w:val="D4D4D4"/>
                <w:sz w:val="16"/>
                <w:szCs w:val="16"/>
              </w:rPr>
              <w:t xml:space="preserve">          &lt;button class="ds-header__menu-button" ...&gt;${...menu/close icons, menuLabel}&lt;/button&gt;</w:t>
            </w:r>
          </w:p>
          <w:p>
            <w:pPr>
              <w:spacing w:after="0" w:line="240"/>
            </w:pPr>
            <w:r>
              <w:rPr>
                <w:rFonts w:ascii="Courier New" w:cs="Courier New" w:eastAsia="Courier New" w:hAnsi="Courier New"/>
                <w:color w:val="D4D4D4"/>
                <w:sz w:val="16"/>
                <w:szCs w:val="16"/>
              </w:rPr>
              <w:t xml:space="preserve">        &lt;/div&gt;</w:t>
            </w:r>
          </w:p>
          <w:p>
            <w:pPr>
              <w:spacing w:after="0" w:line="240"/>
            </w:pPr>
            <w:r>
              <w:rPr>
                <w:rFonts w:ascii="Courier New" w:cs="Courier New" w:eastAsia="Courier New" w:hAnsi="Courier New"/>
                <w:color w:val="D4D4D4"/>
                <w:sz w:val="16"/>
                <w:szCs w:val="16"/>
              </w:rPr>
              <w:t xml:space="preserve">        &lt;nav class="ds-header__primary-nav" aria-label="Primary"&gt;</w:t>
            </w:r>
          </w:p>
          <w:p>
            <w:pPr>
              <w:spacing w:after="0" w:line="240"/>
            </w:pPr>
            <w:r>
              <w:rPr>
                <w:rFonts w:ascii="Courier New" w:cs="Courier New" w:eastAsia="Courier New" w:hAnsi="Courier New"/>
                <w:color w:val="D4D4D4"/>
                <w:sz w:val="16"/>
                <w:szCs w:val="16"/>
              </w:rPr>
              <w:t xml:space="preserve">          &lt;ul class="ds-header__primary-nav-list"&gt;${list}&lt;/ul&gt;</w:t>
            </w:r>
          </w:p>
          <w:p>
            <w:pPr>
              <w:spacing w:after="0" w:line="240"/>
            </w:pPr>
            <w:r>
              <w:rPr>
                <w:rFonts w:ascii="Courier New" w:cs="Courier New" w:eastAsia="Courier New" w:hAnsi="Courier New"/>
                <w:color w:val="D4D4D4"/>
                <w:sz w:val="16"/>
                <w:szCs w:val="16"/>
              </w:rPr>
              <w:t xml:space="preserve">        &lt;/nav&gt;</w:t>
            </w:r>
          </w:p>
          <w:p>
            <w:pPr>
              <w:spacing w:after="0" w:line="240"/>
            </w:pPr>
            <w:r>
              <w:rPr>
                <w:rFonts w:ascii="Courier New" w:cs="Courier New" w:eastAsia="Courier New" w:hAnsi="Courier New"/>
                <w:color w:val="D4D4D4"/>
                <w:sz w:val="16"/>
                <w:szCs w:val="16"/>
              </w:rPr>
              <w:t xml:space="preserve">      &lt;/div&gt;</w:t>
            </w:r>
          </w:p>
          <w:p>
            <w:pPr>
              <w:spacing w:after="0" w:line="240"/>
            </w:pPr>
            <w:r>
              <w:rPr>
                <w:rFonts w:ascii="Courier New" w:cs="Courier New" w:eastAsia="Courier New" w:hAnsi="Courier New"/>
                <w:color w:val="D4D4D4"/>
                <w:sz w:val="16"/>
                <w:szCs w:val="16"/>
              </w:rPr>
              <w:t xml:space="preserve">    &lt;/header&gt;</w:t>
            </w:r>
          </w:p>
          <w:p>
            <w:pPr>
              <w:spacing w:after="0" w:line="240"/>
            </w:pPr>
            <w:r>
              <w:rPr>
                <w:rFonts w:ascii="Courier New" w:cs="Courier New" w:eastAsia="Courier New" w:hAnsi="Courier New"/>
                <w:color w:val="D4D4D4"/>
                <w:sz w:val="16"/>
                <w:szCs w:val="16"/>
              </w:rPr>
              <w:t xml:space="preserve">  `);</w:t>
            </w:r>
          </w:p>
          <w:p>
            <w:pPr>
              <w:spacing w:after="0" w:line="240"/>
            </w:pPr>
            <w:r>
              <w:rPr>
                <w:rFonts w:ascii="Courier New" w:cs="Courier New" w:eastAsia="Courier New" w:hAnsi="Courier New"/>
                <w:color w:val="D4D4D4"/>
                <w:sz w:val="16"/>
                <w:szCs w:val="16"/>
              </w:rPr>
              <w:t xml:space="preserve">}</w:t>
            </w:r>
          </w:p>
        </w:tc>
      </w:tr>
    </w:tbl>
    <w:p>
      <w:pPr>
        <w:spacing w:after="200" w:before="60"/>
      </w:pPr>
      <w:r>
        <w:rPr>
          <w:i/>
          <w:iCs/>
          <w:color w:val="677083"/>
          <w:sz w:val="18"/>
          <w:szCs w:val="18"/>
        </w:rPr>
        <w:t xml:space="preserve">blocks/header/header-dom.js — renderHeader(), the shared DOM renderer</w:t>
      </w:r>
    </w:p>
    <w:p>
      <w:pPr>
        <w:spacing w:after="160"/>
      </w:pPr>
      <w:r>
        <w:t xml:space="preserve">Because </w:t>
      </w:r>
      <w:r>
        <w:rPr>
          <w:rFonts w:ascii="Courier New" w:cs="Courier New" w:eastAsia="Courier New" w:hAnsi="Courier New"/>
          <w:sz w:val="20"/>
          <w:szCs w:val="20"/>
        </w:rPr>
        <w:t xml:space="preserve">header-dom.js</w:t>
      </w:r>
      <w:r>
        <w:t xml:space="preserve"> lives inside the block folder, it ships with EDS. The Storybook reference story (</w:t>
      </w:r>
      <w:r>
        <w:rPr>
          <w:rFonts w:ascii="Courier New" w:cs="Courier New" w:eastAsia="Courier New" w:hAnsi="Courier New"/>
          <w:sz w:val="20"/>
          <w:szCs w:val="20"/>
        </w:rPr>
        <w:t xml:space="preserve">stories/header/Header.stories.js</w:t>
      </w:r>
      <w:r>
        <w:t xml:space="preserve">) imports that exact same function to render its own preview, rather than keeping a second, hand-written copy of the markup. The reference story and the block therefore call the same code path for DOM output and cannot visually diverge — precisely the "one design pattern, one implementation" rule described in Section 2.</w:t>
      </w:r>
    </w:p>
    <w:p>
      <w:pPr>
        <w:pStyle w:val="Heading2"/>
        <w:spacing w:after="120" w:before="280"/>
      </w:pPr>
      <w:r>
        <w:rPr>
          <w:b/>
          <w:bCs/>
          <w:color w:val="0074AD"/>
        </w:rPr>
        <w:t xml:space="preserve">Current wiring status</w:t>
      </w:r>
    </w:p>
    <w:p>
      <w:pPr>
        <w:spacing w:after="160"/>
      </w:pPr>
      <w:r>
        <w:t xml:space="preserve">One caveat, for accuracy against Section 4’s findings: </w:t>
      </w:r>
      <w:r>
        <w:rPr>
          <w:rFonts w:ascii="Courier New" w:cs="Courier New" w:eastAsia="Courier New" w:hAnsi="Courier New"/>
          <w:sz w:val="20"/>
          <w:szCs w:val="20"/>
        </w:rPr>
        <w:t xml:space="preserve">renderHeader()</w:t>
      </w:r>
      <w:r>
        <w:t xml:space="preserve"> is wired into the Storybook reference story today, but not yet into the shipping block’s own runtime path. </w:t>
      </w:r>
      <w:r>
        <w:rPr>
          <w:rFonts w:ascii="Courier New" w:cs="Courier New" w:eastAsia="Courier New" w:hAnsi="Courier New"/>
          <w:sz w:val="20"/>
          <w:szCs w:val="20"/>
        </w:rPr>
        <w:t xml:space="preserve">blocks/header/header.js</w:t>
      </w:r>
      <w:r>
        <w:t xml:space="preserve">’s </w:t>
      </w:r>
      <w:r>
        <w:rPr>
          <w:rFonts w:ascii="Courier New" w:cs="Courier New" w:eastAsia="Courier New" w:hAnsi="Courier New"/>
          <w:sz w:val="20"/>
          <w:szCs w:val="20"/>
        </w:rPr>
        <w:t xml:space="preserve">init()</w:t>
      </w:r>
      <w:r>
        <w:t xml:space="preserve"> still renders a separate, older vendored markup (</w:t>
      </w:r>
      <w:r>
        <w:rPr>
          <w:rFonts w:ascii="Courier New" w:cs="Courier New" w:eastAsia="Courier New" w:hAnsi="Courier New"/>
          <w:sz w:val="20"/>
          <w:szCs w:val="20"/>
        </w:rPr>
        <w:t xml:space="preserve">kp-markup.js</w:t>
      </w:r>
      <w:r>
        <w:t xml:space="preserve">, generated from the earlier, larger </w:t>
      </w:r>
      <w:r>
        <w:rPr>
          <w:rFonts w:ascii="Courier New" w:cs="Courier New" w:eastAsia="Courier New" w:hAnsi="Courier New"/>
          <w:sz w:val="20"/>
          <w:szCs w:val="20"/>
        </w:rPr>
        <w:t xml:space="preserve">kp-header</w:t>
      </w:r>
      <w:r>
        <w:t xml:space="preserve"> vessel pattern — region/language pickers, exposed search, full mega-menu) to drive today’s production behavior: the authenticated/non-authenticated toggle and the fragment-driven primary nav. Reconciling the two — retiring </w:t>
      </w:r>
      <w:r>
        <w:rPr>
          <w:rFonts w:ascii="Courier New" w:cs="Courier New" w:eastAsia="Courier New" w:hAnsi="Courier New"/>
          <w:sz w:val="20"/>
          <w:szCs w:val="20"/>
        </w:rPr>
        <w:t xml:space="preserve">kp-markup.js</w:t>
      </w:r>
      <w:r>
        <w:t xml:space="preserve"> in favor of </w:t>
      </w:r>
      <w:r>
        <w:rPr>
          <w:rFonts w:ascii="Courier New" w:cs="Courier New" w:eastAsia="Courier New" w:hAnsi="Courier New"/>
          <w:sz w:val="20"/>
          <w:szCs w:val="20"/>
        </w:rPr>
        <w:t xml:space="preserve">renderHeader()</w:t>
      </w:r>
      <w:r>
        <w:t xml:space="preserve"> as the block’s actual runtime output — is exactly the kind of "scale-out beyond the pilot block" work Section 4 flags as still pending, not yet a second completed case alongside the </w:t>
      </w:r>
      <w:r>
        <w:rPr>
          <w:rFonts w:ascii="Courier New" w:cs="Courier New" w:eastAsia="Courier New" w:hAnsi="Courier New"/>
          <w:sz w:val="20"/>
          <w:szCs w:val="20"/>
        </w:rPr>
        <w:t xml:space="preserve">card</w:t>
      </w:r>
      <w:r>
        <w:t xml:space="preserve"> block.</w:t>
      </w:r>
    </w:p>
    <w:p>
      <w:pPr>
        <w:pStyle w:val="Heading2"/>
        <w:spacing w:after="120" w:before="280"/>
      </w:pPr>
      <w:r>
        <w:rPr>
          <w:b/>
          <w:bCs/>
          <w:color w:val="0074AD"/>
        </w:rPr>
        <w:t xml:space="preserve">Performance, SEO &amp; GEO considerations</w:t>
      </w:r>
    </w:p>
    <w:p>
      <w:pPr>
        <w:spacing w:after="160"/>
      </w:pPr>
      <w:r>
        <w:t xml:space="preserve">This token-fill pattern is convenient — it guarantees the header can never drift from the vessel design — but it has real tradeoffs worth naming, since the header appears on every page:</w:t>
      </w:r>
    </w:p>
    <w:p>
      <w:pPr>
        <w:pStyle w:val="ListParagraph"/>
        <w:numPr>
          <w:ilvl w:val="0"/>
          <w:numId w:val="2"/>
        </w:numPr>
        <w:spacing w:after="80"/>
      </w:pPr>
      <w:r>
        <w:rPr>
          <w:b/>
          <w:bCs/>
        </w:rPr>
        <w:t xml:space="preserve">Performance — layout shift is already handled, but by a second, uncoordinated layer: </w:t>
      </w:r>
      <w:r>
        <w:t xml:space="preserve">EDS deliberately reserves the header’s space before any block JS runs — </w:t>
      </w:r>
      <w:r>
        <w:rPr>
          <w:rFonts w:ascii="Courier New" w:cs="Courier New" w:eastAsia="Courier New" w:hAnsi="Courier New"/>
          <w:sz w:val="20"/>
          <w:szCs w:val="20"/>
        </w:rPr>
        <w:t xml:space="preserve">styles.css</w:t>
      </w:r>
      <w:r>
        <w:t xml:space="preserve"> sets </w:t>
      </w:r>
      <w:r>
        <w:rPr>
          <w:rFonts w:ascii="Courier New" w:cs="Courier New" w:eastAsia="Courier New" w:hAnsi="Courier New"/>
          <w:sz w:val="20"/>
          <w:szCs w:val="20"/>
        </w:rPr>
        <w:t xml:space="preserve">header { min-height: var(--header-height); }</w:t>
      </w:r>
      <w:r>
        <w:t xml:space="preserve"> on the bare, undecorated </w:t>
      </w:r>
      <w:r>
        <w:rPr>
          <w:rFonts w:ascii="Courier New" w:cs="Courier New" w:eastAsia="Courier New" w:hAnsi="Courier New"/>
          <w:sz w:val="20"/>
          <w:szCs w:val="20"/>
        </w:rPr>
        <w:t xml:space="preserve">&lt;header&gt;</w:t>
      </w:r>
      <w:r>
        <w:t xml:space="preserve"> element, with </w:t>
      </w:r>
      <w:r>
        <w:rPr>
          <w:rFonts w:ascii="Courier New" w:cs="Courier New" w:eastAsia="Courier New" w:hAnsi="Courier New"/>
          <w:sz w:val="20"/>
          <w:szCs w:val="20"/>
        </w:rPr>
        <w:t xml:space="preserve">--header-height</w:t>
      </w:r>
      <w:r>
        <w:t xml:space="preserve"> set per breakpoint (80px mobile, 90px condensed desktop, 220px full desktop). The 220px value’s own code comment confirms this was fixed deliberately: </w:t>
      </w:r>
      <w:r>
        <w:rPr>
          <w:i/>
          <w:iCs/>
        </w:rPr>
        <w:t xml:space="preserve">“the dominant CLS source on this page”</w:t>
      </w:r>
      <w:r>
        <w:t xml:space="preserve"> was the header growing after load, before this reservation existed. So the header’s box never resizes once the vessel-styled content lands inside it — that’s not layout shift by the Core Web Vitals definition.</w:t>
      </w:r>
    </w:p>
    <w:p>
      <w:pPr>
        <w:pStyle w:val="ListParagraph"/>
        <w:numPr>
          <w:ilvl w:val="0"/>
          <w:numId w:val="2"/>
        </w:numPr>
        <w:spacing w:after="80"/>
      </w:pPr>
      <w:r>
        <w:rPr>
          <w:b/>
          <w:bCs/>
        </w:rPr>
        <w:t xml:space="preserve">But that fix only holds if the two layers stay in sync. </w:t>
      </w:r>
      <w:r>
        <w:t xml:space="preserve">The 220px reservation was hand-tuned to match the </w:t>
      </w:r>
      <w:r>
        <w:rPr>
          <w:i/>
          <w:iCs/>
        </w:rPr>
        <w:t xml:space="preserve">specific markup currently shipping</w:t>
      </w:r>
      <w:r>
        <w:t xml:space="preserve"> — the older, larger vendored </w:t>
      </w:r>
      <w:r>
        <w:rPr>
          <w:rFonts w:ascii="Courier New" w:cs="Courier New" w:eastAsia="Courier New" w:hAnsi="Courier New"/>
          <w:sz w:val="20"/>
          <w:szCs w:val="20"/>
        </w:rPr>
        <w:t xml:space="preserve">kp-header</w:t>
      </w:r>
      <w:r>
        <w:t xml:space="preserve"> pattern (full mega-menu, region/language pickers). It was not derived from, and is not linked to, the vessel’s own CSS or the newer </w:t>
      </w:r>
      <w:r>
        <w:rPr>
          <w:rFonts w:ascii="Courier New" w:cs="Courier New" w:eastAsia="Courier New" w:hAnsi="Courier New"/>
          <w:sz w:val="20"/>
          <w:szCs w:val="20"/>
        </w:rPr>
        <w:t xml:space="preserve">ds-header</w:t>
      </w:r>
      <w:r>
        <w:t xml:space="preserve"> compact pattern that </w:t>
      </w:r>
      <w:r>
        <w:rPr>
          <w:rFonts w:ascii="Courier New" w:cs="Courier New" w:eastAsia="Courier New" w:hAnsi="Courier New"/>
          <w:sz w:val="20"/>
          <w:szCs w:val="20"/>
        </w:rPr>
        <w:t xml:space="preserve">header-dom.js</w:t>
      </w:r>
      <w:r>
        <w:t xml:space="preserve"> now reproduces. In other words: a minimal design standard — the real, rendered height of the header at each breakpoint — has to be declared twice, in two different places that don’t reference each other: once on the plain semantic </w:t>
      </w:r>
      <w:r>
        <w:rPr>
          <w:rFonts w:ascii="Courier New" w:cs="Courier New" w:eastAsia="Courier New" w:hAnsi="Courier New"/>
          <w:sz w:val="20"/>
          <w:szCs w:val="20"/>
        </w:rPr>
        <w:t xml:space="preserve">&lt;header&gt;</w:t>
      </w:r>
      <w:r>
        <w:t xml:space="preserve"> tag (so the browser reserves the right space before any block exists), and again inside whichever block markup actually decorates into it (vendored </w:t>
      </w:r>
      <w:r>
        <w:rPr>
          <w:rFonts w:ascii="Courier New" w:cs="Courier New" w:eastAsia="Courier New" w:hAnsi="Courier New"/>
          <w:sz w:val="20"/>
          <w:szCs w:val="20"/>
        </w:rPr>
        <w:t xml:space="preserve">kp-header</w:t>
      </w:r>
      <w:r>
        <w:t xml:space="preserve"> today, vessel </w:t>
      </w:r>
      <w:r>
        <w:rPr>
          <w:rFonts w:ascii="Courier New" w:cs="Courier New" w:eastAsia="Courier New" w:hAnsi="Courier New"/>
          <w:sz w:val="20"/>
          <w:szCs w:val="20"/>
        </w:rPr>
        <w:t xml:space="preserve">ds-header</w:t>
      </w:r>
      <w:r>
        <w:t xml:space="preserve"> once Section 5’s reconciliation lands). If the day comes that </w:t>
      </w:r>
      <w:r>
        <w:rPr>
          <w:rFonts w:ascii="Courier New" w:cs="Courier New" w:eastAsia="Courier New" w:hAnsi="Courier New"/>
          <w:sz w:val="20"/>
          <w:szCs w:val="20"/>
        </w:rPr>
        <w:t xml:space="preserve">renderHeader()</w:t>
      </w:r>
      <w:r>
        <w:t xml:space="preserve"> replaces </w:t>
      </w:r>
      <w:r>
        <w:rPr>
          <w:rFonts w:ascii="Courier New" w:cs="Courier New" w:eastAsia="Courier New" w:hAnsi="Courier New"/>
          <w:sz w:val="20"/>
          <w:szCs w:val="20"/>
        </w:rPr>
        <w:t xml:space="preserve">kp-markup.js</w:t>
      </w:r>
      <w:r>
        <w:t xml:space="preserve"> as the block’s real output without also updating </w:t>
      </w:r>
      <w:r>
        <w:rPr>
          <w:rFonts w:ascii="Courier New" w:cs="Courier New" w:eastAsia="Courier New" w:hAnsi="Courier New"/>
          <w:sz w:val="20"/>
          <w:szCs w:val="20"/>
        </w:rPr>
        <w:t xml:space="preserve">--header-height</w:t>
      </w:r>
      <w:r>
        <w:t xml:space="preserve"> to match the shorter compact pattern, the exact CLS problem this reservation was built to solve comes back — just in the opposite direction (reserved space too </w:t>
      </w:r>
      <w:r>
        <w:rPr>
          <w:i/>
          <w:iCs/>
        </w:rPr>
        <w:t xml:space="preserve">tall</w:t>
      </w:r>
      <w:r>
        <w:t xml:space="preserve"> for the new, shorter header). The broader principle for any future block: a small set of sizing standards has to live on the native, undecorated semantic HTML that EDS renders first, and has to be kept in step with whatever vessel-conformant block eventually replaces it — one doesn’t automatically track the other.</w:t>
      </w:r>
    </w:p>
    <w:p>
      <w:pPr>
        <w:pStyle w:val="ListParagraph"/>
        <w:numPr>
          <w:ilvl w:val="0"/>
          <w:numId w:val="2"/>
        </w:numPr>
        <w:spacing w:after="80"/>
      </w:pPr>
      <w:r>
        <w:rPr>
          <w:b/>
          <w:bCs/>
        </w:rPr>
        <w:t xml:space="preserve">SEO: </w:t>
      </w:r>
      <w:r>
        <w:t xml:space="preserve">search engines generally do run JavaScript before indexing a page, but not instantly and not always completely. That’s a smaller, but real, risk that the header’s nav links — which help search engines understand how the site is structured — get picked up late or missed by a crawler that gives up early. Lower stakes than the sizing issue above, since the header is navigation chrome, not the content someone searched for.</w:t>
      </w:r>
    </w:p>
    <w:p>
      <w:pPr>
        <w:pStyle w:val="ListParagraph"/>
        <w:numPr>
          <w:ilvl w:val="0"/>
          <w:numId w:val="2"/>
        </w:numPr>
        <w:spacing w:after="80"/>
      </w:pPr>
      <w:r>
        <w:rPr>
          <w:b/>
          <w:bCs/>
        </w:rPr>
        <w:t xml:space="preserve">GEO: </w:t>
      </w:r>
      <w:r>
        <w:t xml:space="preserve">this is the bigger content concern. Many of the crawlers behind AI answer engines (the ones feeding tools like ChatGPT or Perplexity) don’t run JavaScript at all — they just read the raw HTML that comes back from the server. To them, a JavaScript-built header is invisible: no logo, no nav links, nothing. The team already solved this exact problem for real page content in Scenario 3 (Health Encyclopedia), which deliberately renders server-side at the edge specifically so the content is already in the raw HTML before it reaches the browser. The header hasn’t had that same treatment — reasonable, since a header’s nav links aren’t something an AI engine would cite — but worth flagging if this same token-fill pattern gets reused for something that actually is page content.</w:t>
      </w:r>
    </w:p>
    <w:p>
      <w:pPr>
        <w:pBdr>
          <w:bottom w:val="single" w:color="CCCCCC" w:sz="6"/>
        </w:pBdr>
        <w:spacing w:after="200"/>
      </w:pPr>
    </w:p>
    <w:p>
      <w:pPr>
        <w:spacing w:after="60"/>
      </w:pPr>
      <w:r>
        <w:t xml:space="preserve">Full supporting detail, live URLs, and per-scenario checklists are maintained in the project’s living documentation (</w:t>
      </w:r>
      <w:r>
        <w:rPr>
          <w:rFonts w:ascii="Courier New" w:cs="Courier New" w:eastAsia="Courier New" w:hAnsi="Courier New"/>
          <w:sz w:val="20"/>
          <w:szCs w:val="20"/>
        </w:rPr>
        <w:t xml:space="preserve">docs/index.html</w:t>
      </w:r>
      <w:r>
        <w:t xml:space="preserve">) in the kp-hw repository.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2026-08-12T14:56:01.434Z</dcterms:created>
  <dcterms:modified xsi:type="dcterms:W3CDTF">2026-08-12T14:56:01.435Z</dcterms:modified>
</cp:coreProperties>
</file>

<file path=docProps/custom.xml><?xml version="1.0" encoding="utf-8"?>
<Properties xmlns="http://schemas.openxmlformats.org/officeDocument/2006/custom-properties" xmlns:vt="http://schemas.openxmlformats.org/officeDocument/2006/docPropsVTypes"/>
</file>