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77FF"/>
          <w:sz w:val="22"/>
        </w:rPr>
        <w:t>INFORME TÉCNICO</w:t>
      </w:r>
    </w:p>
    <w:p>
      <w:pPr>
        <w:pStyle w:val="Title"/>
      </w:pPr>
      <w:r>
        <w:t>Arquitectura de Server-Side Tracking</w:t>
      </w:r>
    </w:p>
    <w:p>
      <w:r>
        <w:rPr>
          <w:b w:val="0"/>
          <w:i/>
          <w:color w:val="555555"/>
        </w:rPr>
        <w:t>Marketnauta · Motor de adquisición de datos — recomendación e implementación prolija</w:t>
      </w:r>
    </w:p>
    <w:p>
      <w:r>
        <w:rPr>
          <w:b w:val="0"/>
          <w:i/>
          <w:color w:val="555555"/>
        </w:rPr>
        <w:t>Documento de referencia para implementaciones presentes y futuras.</w:t>
      </w:r>
    </w:p>
    <w:p/>
    <w:p>
      <w:r>
        <w:rPr>
          <w:b/>
        </w:rPr>
        <w:t xml:space="preserve">Recomendación central: </w:t>
      </w:r>
      <w:r>
        <w:t>migrar a un contenedor Server-Side GTM dedicado en subdominio first-party, consolidar a un único pixel de Meta y estandarizar un esquema único de eventos. Es el camino que da máxima durabilidad de la medición (ITP/adblockers/cookieless), deduplicación limpia y extensibilidad a nuevos destinos sin tocar el sitio.</w:t>
      </w:r>
    </w:p>
    <w:p>
      <w:pPr>
        <w:pStyle w:val="Heading1"/>
      </w:pPr>
      <w:r>
        <w:t>1. Estado actual (diagnóstico)</w:t>
      </w:r>
    </w:p>
    <w:p>
      <w:r>
        <w:rPr>
          <w:b w:val="0"/>
          <w:i w:val="0"/>
        </w:rPr>
        <w:t>El contenedor web GTM-WVHGMSDM ya tiene una base sólida, por encima del promedio de agencias:</w:t>
      </w:r>
    </w:p>
    <w:p>
      <w:pPr>
        <w:pStyle w:val="ListBullet"/>
      </w:pPr>
      <w:r>
        <w:rPr>
          <w:b/>
        </w:rPr>
        <w:t xml:space="preserve">Medición consolidada: </w:t>
      </w:r>
      <w:r>
        <w:t>GA4 (G-XRFHKZ9S0T) + Meta CAPI con patrón server-side vía transport_url first-party.</w:t>
      </w:r>
    </w:p>
    <w:p>
      <w:pPr>
        <w:pStyle w:val="ListBullet"/>
      </w:pPr>
      <w:r>
        <w:rPr>
          <w:b/>
        </w:rPr>
        <w:t xml:space="preserve">Dedup: </w:t>
      </w:r>
      <w:r>
        <w:t>Deduplicación pixel ↔ CAPI mediante un event_id compartido. Correcto.</w:t>
      </w:r>
    </w:p>
    <w:p>
      <w:pPr>
        <w:pStyle w:val="ListBullet"/>
      </w:pPr>
      <w:r>
        <w:rPr>
          <w:b/>
        </w:rPr>
        <w:t xml:space="preserve">Consentimiento: </w:t>
      </w:r>
      <w:r>
        <w:t>Consent Mode v2 inicializado antes de GTM. Correcto.</w:t>
      </w:r>
    </w:p>
    <w:p>
      <w:pPr>
        <w:pStyle w:val="ListBullet"/>
      </w:pPr>
      <w:r>
        <w:rPr>
          <w:b/>
        </w:rPr>
        <w:t xml:space="preserve">Normalización: </w:t>
      </w:r>
      <w:r>
        <w:t>Mapeo GA4 → eventos estándar de Meta (Lead, InitiateCheckout, etc.).</w:t>
      </w:r>
    </w:p>
    <w:p>
      <w:r>
        <w:rPr>
          <w:b/>
          <w:i w:val="0"/>
        </w:rPr>
        <w:t>Huecos detectados:</w:t>
      </w:r>
    </w:p>
    <w:p>
      <w:pPr>
        <w:pStyle w:val="ListBullet"/>
      </w:pPr>
      <w:r>
        <w:rPr>
          <w:b/>
        </w:rPr>
        <w:t xml:space="preserve">Parámetros perdidos: </w:t>
      </w:r>
      <w:r>
        <w:t>Los parámetros personalizados de los eventos (from_layer, to_layer, link_position, cta_name…) NO se reenvían a GA4: se ven conteos pero no dimensiones analizables.</w:t>
      </w:r>
    </w:p>
    <w:p>
      <w:pPr>
        <w:pStyle w:val="ListBullet"/>
      </w:pPr>
      <w:r>
        <w:rPr>
          <w:b/>
        </w:rPr>
        <w:t xml:space="preserve">Ruido a Meta: </w:t>
      </w:r>
      <w:r>
        <w:t>Un trigger comodín envía TODOS los eventos a Meta como conversiones custom, ensuciando el pixel y el aprendizaje del algoritmo.</w:t>
      </w:r>
    </w:p>
    <w:p>
      <w:pPr>
        <w:pStyle w:val="ListBullet"/>
      </w:pPr>
      <w:r>
        <w:rPr>
          <w:b/>
        </w:rPr>
        <w:t xml:space="preserve">Pixel duplicado: </w:t>
      </w:r>
      <w:r>
        <w:t>Existía un segundo pixel (1349488670692124) duplicando eventos a otra cuenta; se recomienda su retiro.</w:t>
      </w:r>
    </w:p>
    <w:p>
      <w:pPr>
        <w:pStyle w:val="ListBullet"/>
      </w:pPr>
      <w:r>
        <w:rPr>
          <w:b/>
        </w:rPr>
        <w:t xml:space="preserve">Funnel incompleto: </w:t>
      </w:r>
      <w:r>
        <w:t>Faltan micro-eventos de funnel (form_start, chat_open, calculator_used, whatsapp_click) que sostienen un motor de adquisición tipo GoHighLevel.</w:t>
      </w:r>
    </w:p>
    <w:p>
      <w:pPr>
        <w:pStyle w:val="Heading1"/>
      </w:pPr>
      <w:r>
        <w:t>2. Opciones evaluadas</w:t>
      </w:r>
    </w:p>
    <w:p>
      <w:r>
        <w:rPr>
          <w:b w:val="0"/>
          <w:i w:val="0"/>
        </w:rPr>
        <w:t>Se compararon tres enfoques de server-side tracking: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Opción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Veredicto</w:t>
            </w:r>
          </w:p>
        </w:tc>
      </w:tr>
      <w:tr>
        <w:tc>
          <w:tcPr>
            <w:tcW w:type="dxa" w:w="2880"/>
          </w:tcPr>
          <w:p>
            <w:r>
              <w:t>A. Mantener híbrido actual</w:t>
            </w:r>
          </w:p>
        </w:tc>
        <w:tc>
          <w:tcPr>
            <w:tcW w:type="dxa" w:w="2880"/>
          </w:tcPr>
          <w:p>
            <w:r>
              <w:t>Pixel de cliente + transport_url a endpoint first-party. Sin contenedor server propio.</w:t>
            </w:r>
          </w:p>
        </w:tc>
        <w:tc>
          <w:tcPr>
            <w:tcW w:type="dxa" w:w="2880"/>
          </w:tcPr>
          <w:p>
            <w:r>
              <w:t>Funciona, pero la CAPI depende del pixel de cliente; difícil de escalar y auditar.</w:t>
            </w:r>
          </w:p>
        </w:tc>
      </w:tr>
      <w:tr>
        <w:tc>
          <w:tcPr>
            <w:tcW w:type="dxa" w:w="2880"/>
          </w:tcPr>
          <w:p>
            <w:r>
              <w:t>B. sGTM dedicado (RECOMENDADA)</w:t>
            </w:r>
          </w:p>
        </w:tc>
        <w:tc>
          <w:tcPr>
            <w:tcW w:type="dxa" w:w="2880"/>
          </w:tcPr>
          <w:p>
            <w:r>
              <w:t>Contenedor Server-Side GTM en subdominio propio (p. ej. sgtm.marketnauta.com). El web container envía UN stream GA4; el server fan-out a GA4 + Meta CAPI + futuros destinos.</w:t>
            </w:r>
          </w:p>
        </w:tc>
        <w:tc>
          <w:tcPr>
            <w:tcW w:type="dxa" w:w="2880"/>
          </w:tcPr>
          <w:p>
            <w:r>
              <w:t>Máxima durabilidad, dedup limpia, extensible (TikTok, Google Ads, BigQuery) sin tocar el sitio.</w:t>
            </w:r>
          </w:p>
        </w:tc>
      </w:tr>
      <w:tr>
        <w:tc>
          <w:tcPr>
            <w:tcW w:type="dxa" w:w="2880"/>
          </w:tcPr>
          <w:p>
            <w:r>
              <w:t>C. CAPI directa desde el backend</w:t>
            </w:r>
          </w:p>
        </w:tc>
        <w:tc>
          <w:tcPr>
            <w:tcW w:type="dxa" w:w="2880"/>
          </w:tcPr>
          <w:p>
            <w:r>
              <w:t>Llamadas a CAPI desde Next.js (/api). Control total en código.</w:t>
            </w:r>
          </w:p>
        </w:tc>
        <w:tc>
          <w:tcPr>
            <w:tcW w:type="dxa" w:w="2880"/>
          </w:tcPr>
          <w:p>
            <w:r>
              <w:t>Potente pero reinventa lo que sGTM ya resuelve; más mantenimiento y sin UI de gobernanza.</w:t>
            </w:r>
          </w:p>
        </w:tc>
      </w:tr>
    </w:tbl>
    <w:p/>
    <w:p>
      <w:r>
        <w:rPr>
          <w:b/>
          <w:i w:val="0"/>
          <w:color w:val="0077FF"/>
        </w:rPr>
        <w:t>Decisión: Opción B — Server-Side GTM dedicado.</w:t>
      </w:r>
    </w:p>
    <w:p>
      <w:pPr>
        <w:pStyle w:val="Heading1"/>
      </w:pPr>
      <w:r>
        <w:t>3. Arquitectura objetivo</w:t>
      </w:r>
    </w:p>
    <w:p>
      <w:r>
        <w:rPr>
          <w:b w:val="0"/>
          <w:i w:val="0"/>
        </w:rPr>
        <w:t>Flujo de datos propuesto (una sola tubería, fan-out en el servidor):</w:t>
      </w:r>
    </w:p>
    <w:p>
      <w:r>
        <w:rPr>
          <w:rFonts w:ascii="Consolas" w:hAnsi="Consolas"/>
          <w:sz w:val="18"/>
        </w:rPr>
        <w:t>Sitio (dataLayer) → Web GTM → sGTM (sgtm.marketnauta.com)</w:t>
        <w:br/>
        <w:t xml:space="preserve">                                   ├─→ GA4</w:t>
        <w:br/>
        <w:t xml:space="preserve">                                   ├─→ Meta CAPI (1 pixel, event_id dedup)</w:t>
        <w:br/>
        <w:t xml:space="preserve">                                   ├─→ Google Ads (futuro)</w:t>
        <w:br/>
        <w:t xml:space="preserve">                                   ├─→ TikTok Events API (futuro)</w:t>
        <w:br/>
        <w:t xml:space="preserve">                                   └─→ BigQuery streaming (first-party / zero-party)</w:t>
      </w:r>
    </w:p>
    <w:p>
      <w:pPr>
        <w:pStyle w:val="ListBullet"/>
      </w:pPr>
      <w:r>
        <w:rPr>
          <w:b/>
        </w:rPr>
        <w:t xml:space="preserve">Hosting: </w:t>
      </w:r>
      <w:r>
        <w:t>Subdominio first-party (cookies de 1.ª parte, resiliencia a ITP/Safari y adblockers).</w:t>
      </w:r>
    </w:p>
    <w:p>
      <w:pPr>
        <w:pStyle w:val="ListBullet"/>
      </w:pPr>
      <w:r>
        <w:rPr>
          <w:b/>
        </w:rPr>
        <w:t xml:space="preserve">Pixels: </w:t>
      </w:r>
      <w:r>
        <w:t>Un único pixel de Meta (1723830311936647). Retirar el segundo (ver Anexo A).</w:t>
      </w:r>
    </w:p>
    <w:p>
      <w:pPr>
        <w:pStyle w:val="ListBullet"/>
      </w:pPr>
      <w:r>
        <w:rPr>
          <w:b/>
        </w:rPr>
        <w:t xml:space="preserve">Dedup: </w:t>
      </w:r>
      <w:r>
        <w:t>event_id consistente cliente↔servidor para deduplicación en todos los destinos.</w:t>
      </w:r>
    </w:p>
    <w:p>
      <w:pPr>
        <w:pStyle w:val="ListBullet"/>
      </w:pPr>
      <w:r>
        <w:rPr>
          <w:b/>
        </w:rPr>
        <w:t xml:space="preserve">Consentimiento: </w:t>
      </w:r>
      <w:r>
        <w:t>Consent Mode v2 gobierna el envío; nada se dispara sin consentimiento.</w:t>
      </w:r>
    </w:p>
    <w:p>
      <w:pPr>
        <w:pStyle w:val="ListBullet"/>
      </w:pPr>
      <w:r>
        <w:rPr>
          <w:b/>
        </w:rPr>
        <w:t xml:space="preserve">Datos propios: </w:t>
      </w:r>
      <w:r>
        <w:t>Captura first-party/zero-party (calculadora de fuga, quizzes) hacia BigQuery vía sGTM.</w:t>
      </w:r>
    </w:p>
    <w:p>
      <w:pPr>
        <w:pStyle w:val="Heading1"/>
      </w:pPr>
      <w:r>
        <w:t>4. Esquema de eventos (grado GoHighLevel)</w:t>
      </w:r>
    </w:p>
    <w:p>
      <w:r>
        <w:rPr>
          <w:b w:val="0"/>
          <w:i w:val="0"/>
        </w:rPr>
        <w:t>Taxonomía única que alimenta el motor de adquisición. Nombres en snake_case, con event_id.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Etapa</w:t>
            </w:r>
          </w:p>
        </w:tc>
        <w:tc>
          <w:tcPr>
            <w:tcW w:type="dxa" w:w="2160"/>
          </w:tcPr>
          <w:p>
            <w:r>
              <w:t>Evento</w:t>
            </w:r>
          </w:p>
        </w:tc>
        <w:tc>
          <w:tcPr>
            <w:tcW w:type="dxa" w:w="2160"/>
          </w:tcPr>
          <w:p>
            <w:r>
              <w:t>Parámetros clave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</w:tr>
      <w:tr>
        <w:tc>
          <w:tcPr>
            <w:tcW w:type="dxa" w:w="2160"/>
          </w:tcPr>
          <w:p>
            <w:r>
              <w:t>Awareness</w:t>
            </w:r>
          </w:p>
        </w:tc>
        <w:tc>
          <w:tcPr>
            <w:tcW w:type="dxa" w:w="2160"/>
          </w:tcPr>
          <w:p>
            <w:r>
              <w:t>page_view / service_hub_view</w:t>
            </w:r>
          </w:p>
        </w:tc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PageView / —</w:t>
            </w:r>
          </w:p>
        </w:tc>
      </w:tr>
      <w:tr>
        <w:tc>
          <w:tcPr>
            <w:tcW w:type="dxa" w:w="2160"/>
          </w:tcPr>
          <w:p>
            <w:r>
              <w:t>Awareness</w:t>
            </w:r>
          </w:p>
        </w:tc>
        <w:tc>
          <w:tcPr>
            <w:tcW w:type="dxa" w:w="2160"/>
          </w:tcPr>
          <w:p>
            <w:r>
              <w:t>scroll_50 / scroll_90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Interés</w:t>
            </w:r>
          </w:p>
        </w:tc>
        <w:tc>
          <w:tcPr>
            <w:tcW w:type="dxa" w:w="2160"/>
          </w:tcPr>
          <w:p>
            <w:r>
              <w:t>internal_link_click</w:t>
            </w:r>
          </w:p>
        </w:tc>
        <w:tc>
          <w:tcPr>
            <w:tcW w:type="dxa" w:w="2160"/>
          </w:tcPr>
          <w:p>
            <w:r>
              <w:t>from_layer, to_layer, link_position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Interés</w:t>
            </w:r>
          </w:p>
        </w:tc>
        <w:tc>
          <w:tcPr>
            <w:tcW w:type="dxa" w:w="2160"/>
          </w:tcPr>
          <w:p>
            <w:r>
              <w:t>cta_click</w:t>
            </w:r>
          </w:p>
        </w:tc>
        <w:tc>
          <w:tcPr>
            <w:tcW w:type="dxa" w:w="2160"/>
          </w:tcPr>
          <w:p>
            <w:r>
              <w:t>cta_name, layer, placement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Interés</w:t>
            </w:r>
          </w:p>
        </w:tc>
        <w:tc>
          <w:tcPr>
            <w:tcW w:type="dxa" w:w="2160"/>
          </w:tcPr>
          <w:p>
            <w:r>
              <w:t>calculator_used</w:t>
            </w:r>
          </w:p>
        </w:tc>
        <w:tc>
          <w:tcPr>
            <w:tcW w:type="dxa" w:w="2160"/>
          </w:tcPr>
          <w:p>
            <w:r>
              <w:t>spend, loss, recoverable</w:t>
            </w:r>
          </w:p>
        </w:tc>
        <w:tc>
          <w:tcPr>
            <w:tcW w:type="dxa" w:w="2160"/>
          </w:tcPr>
          <w:p>
            <w:r>
              <w:t>Lead-intent</w:t>
            </w:r>
          </w:p>
        </w:tc>
      </w:tr>
      <w:tr>
        <w:tc>
          <w:tcPr>
            <w:tcW w:type="dxa" w:w="2160"/>
          </w:tcPr>
          <w:p>
            <w:r>
              <w:t>Interés</w:t>
            </w:r>
          </w:p>
        </w:tc>
        <w:tc>
          <w:tcPr>
            <w:tcW w:type="dxa" w:w="2160"/>
          </w:tcPr>
          <w:p>
            <w:r>
              <w:t>faq_open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Intención</w:t>
            </w:r>
          </w:p>
        </w:tc>
        <w:tc>
          <w:tcPr>
            <w:tcW w:type="dxa" w:w="2160"/>
          </w:tcPr>
          <w:p>
            <w:r>
              <w:t>form_start / form_step</w:t>
            </w:r>
          </w:p>
        </w:tc>
        <w:tc>
          <w:tcPr>
            <w:tcW w:type="dxa" w:w="2160"/>
          </w:tcPr>
          <w:p>
            <w:r>
              <w:t>step, challenge</w:t>
            </w:r>
          </w:p>
        </w:tc>
        <w:tc>
          <w:tcPr>
            <w:tcW w:type="dxa" w:w="2160"/>
          </w:tcPr>
          <w:p>
            <w:r>
              <w:t>InitiateCheckout</w:t>
            </w:r>
          </w:p>
        </w:tc>
      </w:tr>
      <w:tr>
        <w:tc>
          <w:tcPr>
            <w:tcW w:type="dxa" w:w="2160"/>
          </w:tcPr>
          <w:p>
            <w:r>
              <w:t>Intención</w:t>
            </w:r>
          </w:p>
        </w:tc>
        <w:tc>
          <w:tcPr>
            <w:tcW w:type="dxa" w:w="2160"/>
          </w:tcPr>
          <w:p>
            <w:r>
              <w:t>chat_open / chat_message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Intención</w:t>
            </w:r>
          </w:p>
        </w:tc>
        <w:tc>
          <w:tcPr>
            <w:tcW w:type="dxa" w:w="2160"/>
          </w:tcPr>
          <w:p>
            <w:r>
              <w:t>schedule_call_click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</w:tr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generate_lead / lead_conversion</w:t>
            </w:r>
          </w:p>
        </w:tc>
        <w:tc>
          <w:tcPr>
            <w:tcW w:type="dxa" w:w="2160"/>
          </w:tcPr>
          <w:p>
            <w:r>
              <w:t>challenge, budget, value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chat_lead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  <w:tr>
        <w:tc>
          <w:tcPr>
            <w:tcW w:type="dxa" w:w="2160"/>
          </w:tcPr>
          <w:p>
            <w:r>
              <w:t>Contacto</w:t>
            </w:r>
          </w:p>
        </w:tc>
        <w:tc>
          <w:tcPr>
            <w:tcW w:type="dxa" w:w="2160"/>
          </w:tcPr>
          <w:p>
            <w:r>
              <w:t>whatsapp_click / email_click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Contact</w:t>
            </w:r>
          </w:p>
        </w:tc>
      </w:tr>
    </w:tbl>
    <w:p>
      <w:pPr>
        <w:pStyle w:val="Heading1"/>
      </w:pPr>
      <w:r>
        <w:t>5. Hoja de ruta de implementación</w:t>
      </w:r>
    </w:p>
    <w:p>
      <w:pPr>
        <w:pStyle w:val="ListBullet"/>
      </w:pPr>
      <w:r>
        <w:rPr>
          <w:b/>
        </w:rPr>
        <w:t xml:space="preserve">Fase 0 — Limpieza: </w:t>
      </w:r>
      <w:r>
        <w:t>Retirar el segundo pixel (Anexo A). Restringir el envío a Meta a una whitelist de conversiones. Verificar dedup.</w:t>
      </w:r>
    </w:p>
    <w:p>
      <w:pPr>
        <w:pStyle w:val="ListBullet"/>
      </w:pPr>
      <w:r>
        <w:rPr>
          <w:b/>
        </w:rPr>
        <w:t xml:space="preserve">Fase 1 — Esquema de eventos: </w:t>
      </w:r>
      <w:r>
        <w:t>Instrumentar en el sitio los micro-eventos faltantes (form_start, chat_open, calculator_used, whatsapp_click) reutilizando el helper pushToDataLayer, con event_id.</w:t>
      </w:r>
    </w:p>
    <w:p>
      <w:pPr>
        <w:pStyle w:val="ListBullet"/>
      </w:pPr>
      <w:r>
        <w:rPr>
          <w:b/>
        </w:rPr>
        <w:t xml:space="preserve">Fase 2 — Contenedor sGTM: </w:t>
      </w:r>
      <w:r>
        <w:t>Aprovisionar sGTM (Google Cloud Run o Stape) en subdominio first-party. Migrar el envío GA4 y la CAPI al server. Mapear parámetros personalizados a GA4.</w:t>
      </w:r>
    </w:p>
    <w:p>
      <w:pPr>
        <w:pStyle w:val="ListBullet"/>
      </w:pPr>
      <w:r>
        <w:rPr>
          <w:b/>
        </w:rPr>
        <w:t xml:space="preserve">Fase 3 — Destinos y datos propios: </w:t>
      </w:r>
      <w:r>
        <w:t>Añadir Google Ads / TikTok Events API según necesidad. Streaming a BigQuery para first-party/zero-party. Tablas de atribución en Looker.</w:t>
      </w:r>
    </w:p>
    <w:p>
      <w:pPr>
        <w:pStyle w:val="ListBullet"/>
      </w:pPr>
      <w:r>
        <w:rPr>
          <w:b/>
        </w:rPr>
        <w:t xml:space="preserve">Fase 4 — Gobernanza: </w:t>
      </w:r>
      <w:r>
        <w:t>Diccionario de eventos versionado, QA recurrente (Tag Assistant + GA4 DebugView), y monitoreo de calidad de coincidencia de la CAPI (EMQ en Meta).</w:t>
      </w:r>
    </w:p>
    <w:p>
      <w:pPr>
        <w:pStyle w:val="Heading1"/>
      </w:pPr>
      <w:r>
        <w:t>6. Criterios de una implementación prolija</w:t>
      </w:r>
    </w:p>
    <w:p>
      <w:pPr>
        <w:pStyle w:val="ListBullet"/>
      </w:pPr>
      <w:r>
        <w:t>Un solo esquema de eventos, documentado y versionado (fuente única de verdad).</w:t>
      </w:r>
    </w:p>
    <w:p>
      <w:pPr>
        <w:pStyle w:val="ListBullet"/>
      </w:pPr>
      <w:r>
        <w:t>event_id en todos los eventos de conversión; deduplicación verificada en Meta.</w:t>
      </w:r>
    </w:p>
    <w:p>
      <w:pPr>
        <w:pStyle w:val="ListBullet"/>
      </w:pPr>
      <w:r>
        <w:t>Consent Mode v2 respetado de extremo a extremo.</w:t>
      </w:r>
    </w:p>
    <w:p>
      <w:pPr>
        <w:pStyle w:val="ListBullet"/>
      </w:pPr>
      <w:r>
        <w:t>Server-side como camino principal; el cliente solo emite al dataLayer.</w:t>
      </w:r>
    </w:p>
    <w:p>
      <w:pPr>
        <w:pStyle w:val="ListBullet"/>
      </w:pPr>
      <w:r>
        <w:t>Parámetros de negocio (capa, oferta, presupuesto) disponibles como dimensiones en GA4.</w:t>
      </w:r>
    </w:p>
    <w:p>
      <w:pPr>
        <w:pStyle w:val="ListBullet"/>
      </w:pPr>
      <w:r>
        <w:t>Sin tags huérfanos ni triggers comodín sin control.</w:t>
      </w:r>
    </w:p>
    <w:p>
      <w:pPr>
        <w:pStyle w:val="ListBullet"/>
      </w:pPr>
      <w:r>
        <w:t>Calidad de coincidencia (EMQ) de la CAPI monitoreada y &gt; 6/10.</w:t>
      </w:r>
    </w:p>
    <w:p>
      <w:r>
        <w:br w:type="page"/>
      </w:r>
    </w:p>
    <w:p>
      <w:pPr>
        <w:pStyle w:val="Heading1"/>
      </w:pPr>
      <w:r>
        <w:t>Anexo A — Retiro del segundo pixel de Meta (1349488670692124)</w:t>
      </w:r>
    </w:p>
    <w:p>
      <w:r>
        <w:rPr>
          <w:b/>
          <w:i w:val="0"/>
        </w:rPr>
        <w:t>Borrado limpio en GTM. Orden obligatorio (GTM bloquea elementos referenciados):</w:t>
      </w:r>
    </w:p>
    <w:p>
      <w:pPr>
        <w:pStyle w:val="ListBullet"/>
      </w:pPr>
      <w:r>
        <w:rPr>
          <w:b/>
        </w:rPr>
        <w:t xml:space="preserve">1) </w:t>
      </w:r>
      <w:r>
        <w:t>Tags: GA4_Config, GA4_Event y Pixel_Template del pixel 1349488670692124.</w:t>
      </w:r>
    </w:p>
    <w:p>
      <w:pPr>
        <w:pStyle w:val="ListBullet"/>
      </w:pPr>
      <w:r>
        <w:rPr>
          <w:b/>
        </w:rPr>
        <w:t xml:space="preserve">2) </w:t>
      </w:r>
      <w:r>
        <w:t>Triggers: DOM_Ready y Custom_Event del pixel 1349488670692124.</w:t>
      </w:r>
    </w:p>
    <w:p>
      <w:pPr>
        <w:pStyle w:val="ListBullet"/>
      </w:pPr>
      <w:r>
        <w:rPr>
          <w:b/>
        </w:rPr>
        <w:t xml:space="preserve">3) </w:t>
      </w:r>
      <w:r>
        <w:t>Variables: las 11 que comienzan con FB_CONVERSIONS_API-1349488670692124-.</w:t>
      </w:r>
    </w:p>
    <w:p>
      <w:r>
        <w:rPr>
          <w:b/>
          <w:i w:val="0"/>
          <w:color w:val="B00000"/>
        </w:rPr>
        <w:t>NO borrar la plantilla 'Meta Pixel' (la comparte el pixel 1723830311936647). NO borrar nada del pixel 1723… ni el GA4 Config base. Finalmente: Submit y Publish.</w:t>
      </w:r>
    </w:p>
    <w:p/>
    <w:p>
      <w:r>
        <w:rPr>
          <w:b w:val="0"/>
          <w:i/>
          <w:color w:val="555555"/>
          <w:sz w:val="18"/>
        </w:rPr>
        <w:t>Documento generado para Marketnauta. Rangos y nombres a validar contra el contenedor en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