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23" w:firstLine="0"/>
      </w:pPr>
      <w:r>
        <w:rPr/>
        <w:t>Análise das consultas realizadas através do do banco de dados da </w:t>
      </w:r>
      <w:r>
        <w:rPr>
          <w:spacing w:val="-2"/>
        </w:rPr>
        <w:t>VelozCar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23"/>
      </w:pPr>
      <w:r>
        <w:rPr/>
        <w:t>Neste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feita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análise</w:t>
      </w:r>
      <w:r>
        <w:rPr>
          <w:spacing w:val="-4"/>
        </w:rPr>
        <w:t> </w:t>
      </w:r>
      <w:r>
        <w:rPr/>
        <w:t>detalhada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consultas</w:t>
      </w:r>
      <w:r>
        <w:rPr>
          <w:spacing w:val="-4"/>
        </w:rPr>
        <w:t> </w:t>
      </w:r>
      <w:r>
        <w:rPr/>
        <w:t>através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banco de dados criado a pedido da VelozCar.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44"/>
      </w:pPr>
      <w:r>
        <w:rPr/>
        <w:t>O desenvolvimento deste relatório será feito em duas partes. A primeira parte consiste na apresentação do código que foi usado na apresentação das informações presentes no banco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segunda</w:t>
      </w:r>
      <w:r>
        <w:rPr>
          <w:spacing w:val="-4"/>
        </w:rPr>
        <w:t> </w:t>
      </w:r>
      <w:r>
        <w:rPr/>
        <w:t>parte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baseia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demonstração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execução desse código.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  <w:rPr>
          <w:rFonts w:ascii="Arial MT" w:hAnsi="Arial MT"/>
          <w:b w:val="0"/>
        </w:rPr>
      </w:pPr>
      <w:r>
        <w:rPr/>
        <w:t>Gestão de Disponibilidade da </w:t>
      </w:r>
      <w:r>
        <w:rPr>
          <w:spacing w:val="-2"/>
        </w:rPr>
        <w:t>Frota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1083196</wp:posOffset>
            </wp:positionH>
            <wp:positionV relativeFrom="paragraph">
              <wp:posOffset>186480</wp:posOffset>
            </wp:positionV>
            <wp:extent cx="2309929" cy="9570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929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276" w:lineRule="auto"/>
        <w:ind w:left="23" w:right="36"/>
      </w:pPr>
      <w:r>
        <w:rPr/>
        <w:t>A consulta realizada sobre o status dos veículos permitiu identificar a quantidade exata de carros</w:t>
      </w:r>
      <w:r>
        <w:rPr>
          <w:spacing w:val="-4"/>
        </w:rPr>
        <w:t> </w:t>
      </w:r>
      <w:r>
        <w:rPr/>
        <w:t>prontos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locação</w:t>
      </w:r>
      <w:r>
        <w:rPr>
          <w:spacing w:val="-4"/>
        </w:rPr>
        <w:t> </w:t>
      </w:r>
      <w:r>
        <w:rPr/>
        <w:t>versus</w:t>
      </w:r>
      <w:r>
        <w:rPr>
          <w:spacing w:val="-4"/>
        </w:rPr>
        <w:t> </w:t>
      </w:r>
      <w:r>
        <w:rPr/>
        <w:t>aqueles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estão</w:t>
      </w:r>
      <w:r>
        <w:rPr>
          <w:spacing w:val="-4"/>
        </w:rPr>
        <w:t> </w:t>
      </w:r>
      <w:r>
        <w:rPr/>
        <w:t>indisponíveis.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insight</w:t>
      </w:r>
      <w:r>
        <w:rPr>
          <w:spacing w:val="-4"/>
        </w:rPr>
        <w:t> </w:t>
      </w:r>
      <w:r>
        <w:rPr/>
        <w:t>prático</w:t>
      </w:r>
      <w:r>
        <w:rPr>
          <w:spacing w:val="-4"/>
        </w:rPr>
        <w:t> </w:t>
      </w:r>
      <w:r>
        <w:rPr/>
        <w:t>aqui</w:t>
      </w:r>
      <w:r>
        <w:rPr>
          <w:spacing w:val="-4"/>
        </w:rPr>
        <w:t> </w:t>
      </w:r>
      <w:r>
        <w:rPr/>
        <w:t>é o controle do "Custo de Oportunidade": cada veículo parado em manutenção representa uma receita que a VelozCar deixa de ganhar. Se a taxa de veículos em manutenção ultrapassar</w:t>
      </w:r>
      <w:r>
        <w:rPr>
          <w:spacing w:val="-1"/>
        </w:rPr>
        <w:t> </w:t>
      </w:r>
      <w:r>
        <w:rPr/>
        <w:t>15%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frota</w:t>
      </w:r>
      <w:r>
        <w:rPr>
          <w:spacing w:val="-1"/>
        </w:rPr>
        <w:t> </w:t>
      </w:r>
      <w:r>
        <w:rPr/>
        <w:t>total,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gestão</w:t>
      </w:r>
      <w:r>
        <w:rPr>
          <w:spacing w:val="-1"/>
        </w:rPr>
        <w:t> </w:t>
      </w:r>
      <w:r>
        <w:rPr/>
        <w:t>deve</w:t>
      </w:r>
      <w:r>
        <w:rPr>
          <w:spacing w:val="-1"/>
        </w:rPr>
        <w:t> </w:t>
      </w:r>
      <w:r>
        <w:rPr/>
        <w:t>intervir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acelerar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reparos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renovar</w:t>
      </w:r>
      <w:r>
        <w:rPr>
          <w:spacing w:val="-1"/>
        </w:rPr>
        <w:t> </w:t>
      </w:r>
      <w:r>
        <w:rPr/>
        <w:t>os modelos mais antigos que estão quebrando com frequência.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227939</wp:posOffset>
            </wp:positionV>
            <wp:extent cx="1543050" cy="762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3609975</wp:posOffset>
            </wp:positionH>
            <wp:positionV relativeFrom="paragraph">
              <wp:posOffset>309902</wp:posOffset>
            </wp:positionV>
            <wp:extent cx="1247775" cy="552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Análise Financeira e Fluxo de </w:t>
      </w:r>
      <w:r>
        <w:rPr>
          <w:spacing w:val="-2"/>
        </w:rPr>
        <w:t>Caixa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before="1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1015469</wp:posOffset>
            </wp:positionH>
            <wp:positionV relativeFrom="paragraph">
              <wp:posOffset>186042</wp:posOffset>
            </wp:positionV>
            <wp:extent cx="4265020" cy="10752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020" cy="10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23" w:right="36"/>
      </w:pPr>
      <w:r>
        <w:rPr/>
        <w:t>As consultas de agregação sobre os pagamentos mostraram o ticket médio por método de transação e o montante total já confirmado versus o pendente. O insight principal é a previsibilidade financeira: ao identificar que o "Pix" ou "Cartão de Débito" possuem confirmação imediata, a concessionária pode criar campanhas de incentivo para esses métodos,</w:t>
      </w:r>
      <w:r>
        <w:rPr>
          <w:spacing w:val="-6"/>
        </w:rPr>
        <w:t> </w:t>
      </w:r>
      <w:r>
        <w:rPr/>
        <w:t>reduzindo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dependência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transações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demoram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compensar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garantindo dinheiro em caixa mais rápido para pagar fornecedores.</w:t>
      </w:r>
    </w:p>
    <w:p>
      <w:pPr>
        <w:pStyle w:val="BodyText"/>
        <w:spacing w:before="37"/>
      </w:pPr>
    </w:p>
    <w:p>
      <w:pPr>
        <w:pStyle w:val="BodyText"/>
        <w:spacing w:before="1"/>
        <w:ind w:left="23"/>
      </w:pP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252662</wp:posOffset>
            </wp:positionV>
            <wp:extent cx="2476500" cy="9810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3876675</wp:posOffset>
            </wp:positionH>
            <wp:positionV relativeFrom="paragraph">
              <wp:posOffset>427874</wp:posOffset>
            </wp:positionV>
            <wp:extent cx="2533650" cy="6381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2"/>
        </w:numPr>
        <w:tabs>
          <w:tab w:pos="223" w:val="left" w:leader="none"/>
        </w:tabs>
        <w:spacing w:line="240" w:lineRule="auto" w:before="0" w:after="0"/>
        <w:ind w:left="223" w:right="0" w:hanging="200"/>
        <w:jc w:val="left"/>
      </w:pPr>
      <w:r>
        <w:rPr/>
        <w:t>– Eficiência e Produtividade da </w:t>
      </w:r>
      <w:r>
        <w:rPr>
          <w:spacing w:val="-2"/>
        </w:rPr>
        <w:t>Equipe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1065368</wp:posOffset>
            </wp:positionH>
            <wp:positionV relativeFrom="paragraph">
              <wp:posOffset>188122</wp:posOffset>
            </wp:positionV>
            <wp:extent cx="5240347" cy="55806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347" cy="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1145199</wp:posOffset>
            </wp:positionH>
            <wp:positionV relativeFrom="paragraph">
              <wp:posOffset>164745</wp:posOffset>
            </wp:positionV>
            <wp:extent cx="4958826" cy="77895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826" cy="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276" w:lineRule="auto"/>
        <w:ind w:left="23" w:right="33"/>
      </w:pPr>
      <w:r>
        <w:rPr/>
        <w:t>Ao cruzar o volume de contratos realizados por cada funcionário, o sistema revelou quem são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vendedores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maior</w:t>
      </w:r>
      <w:r>
        <w:rPr>
          <w:spacing w:val="-3"/>
        </w:rPr>
        <w:t> </w:t>
      </w:r>
      <w:r>
        <w:rPr/>
        <w:t>taxa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conversão.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insight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diretoria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meritocracia: os dados apoiam decisões sobre quem deve receber comissões maiores ou quem precisa de treinamento. Além disso, a análise do custo salarial por cargo permite verificar se a estrutura administrativa está equilibrada em relação ao faturamento gerado pela equipe de </w:t>
      </w:r>
      <w:r>
        <w:rPr>
          <w:spacing w:val="-2"/>
        </w:rPr>
        <w:t>vendas.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182867</wp:posOffset>
            </wp:positionV>
            <wp:extent cx="1466850" cy="18002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2933700</wp:posOffset>
            </wp:positionH>
            <wp:positionV relativeFrom="paragraph">
              <wp:posOffset>504719</wp:posOffset>
            </wp:positionV>
            <wp:extent cx="2638425" cy="12001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23" w:val="left" w:leader="none"/>
        </w:tabs>
        <w:spacing w:line="240" w:lineRule="auto" w:before="80" w:after="0"/>
        <w:ind w:left="223" w:right="0" w:hanging="200"/>
        <w:jc w:val="left"/>
      </w:pPr>
      <w:r>
        <w:rPr/>
        <w:t>– Desgaste de Ativos e Manutenção </w:t>
      </w:r>
      <w:r>
        <w:rPr>
          <w:spacing w:val="-2"/>
        </w:rPr>
        <w:t>Preventiva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1053387</wp:posOffset>
            </wp:positionH>
            <wp:positionV relativeFrom="paragraph">
              <wp:posOffset>186787</wp:posOffset>
            </wp:positionV>
            <wp:extent cx="4064443" cy="245306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443" cy="245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276" w:lineRule="auto"/>
        <w:ind w:left="23" w:right="36"/>
      </w:pPr>
      <w:r>
        <w:rPr/>
        <w:t>A consulta que calcula a quilometragem média rodada por veículo fornece um diagnóstico real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frota.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insight</w:t>
      </w:r>
      <w:r>
        <w:rPr>
          <w:spacing w:val="-3"/>
        </w:rPr>
        <w:t> </w:t>
      </w:r>
      <w:r>
        <w:rPr/>
        <w:t>prático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extensão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útil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carros:</w:t>
      </w:r>
      <w:r>
        <w:rPr>
          <w:spacing w:val="-3"/>
        </w:rPr>
        <w:t> </w:t>
      </w:r>
      <w:r>
        <w:rPr/>
        <w:t>veículos</w:t>
      </w:r>
      <w:r>
        <w:rPr>
          <w:spacing w:val="-3"/>
        </w:rPr>
        <w:t> </w:t>
      </w:r>
      <w:r>
        <w:rPr/>
        <w:t>que atingem altas quilometragens em pouco tempo devem ter um cronograma de manutenção mais rigoroso para evitar desvalorização excessiva. Isso ajuda a concessionária a decidir o momento exato de vender um veículo seminovo antes que ele comece a dar prejuízo com manutenções corretivas caras.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228180</wp:posOffset>
            </wp:positionV>
            <wp:extent cx="3505200" cy="6191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1072082</wp:posOffset>
            </wp:positionV>
            <wp:extent cx="4657725" cy="22479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23" w:val="left" w:leader="none"/>
        </w:tabs>
        <w:spacing w:line="240" w:lineRule="auto" w:before="80" w:after="0"/>
        <w:ind w:left="223" w:right="0" w:hanging="200"/>
        <w:jc w:val="left"/>
      </w:pPr>
      <w:r>
        <w:rPr/>
        <w:t>– Perfil de Consumo e Fidelização de </w:t>
      </w:r>
      <w:r>
        <w:rPr>
          <w:spacing w:val="-2"/>
        </w:rPr>
        <w:t>Clientes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1067912</wp:posOffset>
            </wp:positionH>
            <wp:positionV relativeFrom="paragraph">
              <wp:posOffset>216444</wp:posOffset>
            </wp:positionV>
            <wp:extent cx="3928411" cy="162115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411" cy="162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76" w:lineRule="auto" w:before="1"/>
        <w:ind w:left="23" w:right="36"/>
      </w:pPr>
      <w:r>
        <w:rPr/>
        <w:t>Através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junção</w:t>
      </w:r>
      <w:r>
        <w:rPr>
          <w:spacing w:val="-4"/>
        </w:rPr>
        <w:t> </w:t>
      </w:r>
      <w:r>
        <w:rPr/>
        <w:t>(Joins)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tabelas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clientes,</w:t>
      </w:r>
      <w:r>
        <w:rPr>
          <w:spacing w:val="-4"/>
        </w:rPr>
        <w:t> </w:t>
      </w:r>
      <w:r>
        <w:rPr/>
        <w:t>contratos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veículos, foi possível mapear quais clientes preferem categorias de luxo (como SUVs e Sedans premium) e quais buscam economia. O insight aqui é o marketing direcionado: a VelozCar pode</w:t>
      </w:r>
      <w:r>
        <w:rPr>
          <w:spacing w:val="-3"/>
        </w:rPr>
        <w:t> </w:t>
      </w:r>
      <w:r>
        <w:rPr/>
        <w:t>usar</w:t>
      </w:r>
      <w:r>
        <w:rPr>
          <w:spacing w:val="-3"/>
        </w:rPr>
        <w:t> </w:t>
      </w:r>
      <w:r>
        <w:rPr/>
        <w:t>essa</w:t>
      </w:r>
      <w:r>
        <w:rPr>
          <w:spacing w:val="-3"/>
        </w:rPr>
        <w:t> </w:t>
      </w:r>
      <w:r>
        <w:rPr/>
        <w:t>informação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enviar</w:t>
      </w:r>
      <w:r>
        <w:rPr>
          <w:spacing w:val="-3"/>
        </w:rPr>
        <w:t> </w:t>
      </w:r>
      <w:r>
        <w:rPr/>
        <w:t>ofertas</w:t>
      </w:r>
      <w:r>
        <w:rPr>
          <w:spacing w:val="-3"/>
        </w:rPr>
        <w:t> </w:t>
      </w:r>
      <w:r>
        <w:rPr/>
        <w:t>personalizadas.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cliente</w:t>
      </w:r>
      <w:r>
        <w:rPr>
          <w:spacing w:val="-3"/>
        </w:rPr>
        <w:t> </w:t>
      </w:r>
      <w:r>
        <w:rPr/>
        <w:t>tem</w:t>
      </w:r>
      <w:r>
        <w:rPr>
          <w:spacing w:val="-3"/>
        </w:rPr>
        <w:t> </w:t>
      </w:r>
      <w:r>
        <w:rPr/>
        <w:t>histórico de alugar veículos da marca Jeep, a concessionária pode oferecer uma condição especial quando um novo modelo da mesma marca entrar na frota.</w:t>
      </w:r>
    </w:p>
    <w:p>
      <w:pPr>
        <w:pStyle w:val="BodyText"/>
        <w:spacing w:before="37"/>
      </w:pPr>
    </w:p>
    <w:p>
      <w:pPr>
        <w:pStyle w:val="BodyText"/>
        <w:spacing w:before="1"/>
        <w:ind w:left="23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933450</wp:posOffset>
            </wp:positionH>
            <wp:positionV relativeFrom="paragraph">
              <wp:posOffset>389069</wp:posOffset>
            </wp:positionV>
            <wp:extent cx="5734050" cy="206692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23" w:val="left" w:leader="none"/>
        </w:tabs>
        <w:spacing w:line="240" w:lineRule="auto" w:before="80" w:after="0"/>
        <w:ind w:left="223" w:right="0" w:hanging="200"/>
        <w:jc w:val="left"/>
      </w:pPr>
      <w:r>
        <w:rPr/>
        <w:t>– Rentabilidade por </w:t>
      </w:r>
      <w:r>
        <w:rPr>
          <w:spacing w:val="-2"/>
        </w:rPr>
        <w:t>Veículo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23"/>
      </w:pPr>
      <w:r>
        <w:rPr/>
        <w:t>Apresenta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>
          <w:spacing w:val="-2"/>
        </w:rPr>
        <w:t>base: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1052052</wp:posOffset>
            </wp:positionH>
            <wp:positionV relativeFrom="paragraph">
              <wp:posOffset>222398</wp:posOffset>
            </wp:positionV>
            <wp:extent cx="4736837" cy="131759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837" cy="131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76" w:lineRule="auto"/>
        <w:ind w:left="23"/>
      </w:pPr>
      <w:r>
        <w:rPr/>
        <w:t>A análise dos custos acumulados em oficina por cada carro permite identificar "veículos detratores"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lucro.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insight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monitoramento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ROI</w:t>
      </w:r>
      <w:r>
        <w:rPr>
          <w:spacing w:val="-4"/>
        </w:rPr>
        <w:t> </w:t>
      </w:r>
      <w:r>
        <w:rPr/>
        <w:t>(Retorno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Investimento):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o custo total de manutenção de um modelo Onix, por exemplo, estiver consumindo mais de 20% do que ele gera de receita em locações, o sistema sinaliza que a substituição desse ativo é urgente para manter a rentabilidade da operação.</w:t>
      </w:r>
    </w:p>
    <w:p>
      <w:pPr>
        <w:pStyle w:val="BodyText"/>
        <w:spacing w:before="38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933450</wp:posOffset>
            </wp:positionH>
            <wp:positionV relativeFrom="paragraph">
              <wp:posOffset>388863</wp:posOffset>
            </wp:positionV>
            <wp:extent cx="5734049" cy="18954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Resultado</w:t>
      </w:r>
      <w:r>
        <w:rPr>
          <w:spacing w:val="-9"/>
        </w:rPr>
        <w:t> </w:t>
      </w:r>
      <w:r>
        <w:rPr>
          <w:spacing w:val="-2"/>
        </w:rPr>
        <w:t>exibido: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190487</wp:posOffset>
            </wp:positionV>
            <wp:extent cx="3171825" cy="8096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"/>
      <w:lvlJc w:val="left"/>
      <w:pPr>
        <w:ind w:left="223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06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3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9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6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53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9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26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12" w:hanging="20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303" w:hanging="28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8" w:hanging="28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7" w:hanging="2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35" w:hanging="2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4" w:hanging="2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93" w:hanging="2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71" w:hanging="2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0" w:hanging="2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28" w:hanging="28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23" w:hanging="20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23" w:hanging="20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terms:created xsi:type="dcterms:W3CDTF">2026-03-22T02:01:27Z</dcterms:created>
  <dcterms:modified xsi:type="dcterms:W3CDTF">2026-03-22T02:01:27Z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2026-03-22T00:00:00Z</vt:filetime>
  </property>
</Properties>
</file>