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Calibri" w:hAnsi="Calibri"/>
          <w:b/>
          <w:color w:val="2E74B5"/>
          <w:sz w:val="20"/>
        </w:rPr>
        <w:t>ARCHITECTURE OVERVIEW</w:t>
      </w:r>
    </w:p>
    <w:p>
      <w:pPr>
        <w:pStyle w:val="Title"/>
        <w:keepNext/>
      </w:pPr>
      <w:r>
        <w:t>Revised Renovation Scope and Estimate Architecture</w:t>
      </w:r>
    </w:p>
    <w:p>
      <w:pPr>
        <w:pStyle w:val="Subtitle"/>
        <w:keepNext/>
      </w:pPr>
      <w:r>
        <w:t>A high-level design for evidence review, renovation work definition, and package-based estimating</w:t>
      </w:r>
    </w:p>
    <w:p>
      <w:pPr>
        <w:spacing w:before="0" w:after="40" w:line="252" w:lineRule="auto"/>
      </w:pPr>
      <w:r>
        <w:rPr>
          <w:rFonts w:ascii="Calibri" w:hAnsi="Calibri"/>
          <w:b/>
          <w:color w:val="202020"/>
        </w:rPr>
        <w:t xml:space="preserve">Status: </w:t>
      </w:r>
      <w:r>
        <w:rPr>
          <w:rFonts w:ascii="Calibri" w:hAnsi="Calibri"/>
          <w:color w:val="202020"/>
        </w:rPr>
        <w:t>Draft for discussion</w:t>
      </w:r>
    </w:p>
    <w:p>
      <w:pPr>
        <w:spacing w:before="0" w:after="40" w:line="252" w:lineRule="auto"/>
      </w:pPr>
      <w:r>
        <w:rPr>
          <w:rFonts w:ascii="Calibri" w:hAnsi="Calibri"/>
          <w:b/>
          <w:color w:val="202020"/>
        </w:rPr>
        <w:t xml:space="preserve">Date: </w:t>
      </w:r>
      <w:r>
        <w:rPr>
          <w:rFonts w:ascii="Calibri" w:hAnsi="Calibri"/>
          <w:color w:val="202020"/>
        </w:rPr>
        <w:t>August 14, 2026</w:t>
      </w:r>
    </w:p>
    <w:p>
      <w:pPr>
        <w:spacing w:before="0" w:after="40" w:line="252" w:lineRule="auto"/>
      </w:pPr>
      <w:r>
        <w:rPr>
          <w:rFonts w:ascii="Calibri" w:hAnsi="Calibri"/>
          <w:b/>
          <w:color w:val="202020"/>
        </w:rPr>
        <w:t xml:space="preserve">Scope: </w:t>
      </w:r>
      <w:r>
        <w:rPr>
          <w:rFonts w:ascii="Calibri" w:hAnsi="Calibri"/>
          <w:color w:val="202020"/>
        </w:rPr>
        <w:t>Conceptual architecture; implementation details intentionally excluded</w:t>
      </w:r>
    </w:p>
    <w:p>
      <w:pPr>
        <w:spacing w:before="0" w:after="40" w:line="252" w:lineRule="auto"/>
      </w:pPr>
      <w:r>
        <w:rPr>
          <w:rFonts w:ascii="Calibri" w:hAnsi="Calibri"/>
          <w:b/>
          <w:color w:val="202020"/>
        </w:rPr>
        <w:t xml:space="preserve">Purpose: </w:t>
      </w:r>
      <w:r>
        <w:rPr>
          <w:rFonts w:ascii="Calibri" w:hAnsi="Calibri"/>
          <w:color w:val="202020"/>
        </w:rPr>
        <w:t>Preserve hallucination resistance while improving scope clarity and reducing package-verification authority</w:t>
      </w:r>
    </w:p>
    <w:p>
      <w:pPr>
        <w:spacing w:before="160" w:after="200"/>
        <w:pBdr>
          <w:bottom w:val="single" w:sz="8" w:space="5" w:color="D9DEE5"/>
        </w:pBdr>
      </w:pPr>
    </w:p>
    <w:p>
      <w:pPr>
        <w:pStyle w:val="Heading1"/>
        <w:keepNext/>
      </w:pPr>
      <w:r>
        <w:t>Executive summary</w:t>
      </w:r>
    </w:p>
    <w:p>
      <w:pPr>
        <w:spacing w:before="0" w:after="120" w:line="264" w:lineRule="auto"/>
      </w:pPr>
      <w:r>
        <w:rPr>
          <w:rFonts w:ascii="Calibri" w:hAnsi="Calibri"/>
          <w:i w:val="0"/>
          <w:color w:val="202020"/>
        </w:rPr>
        <w:t>The revised architecture retains packages as a valuable corroboration, bundling, and reconciliation mechanism, but removes their role as the sole authority over whether an observed condition is true. The system is organized around three durable layers: observed conditions, renovation work items, and packages with estimates.</w:t>
      </w:r>
    </w:p>
    <w:p>
      <w:pPr>
        <w:spacing w:before="0" w:after="120" w:line="264" w:lineRule="auto"/>
      </w:pPr>
      <w:r>
        <w:rPr>
          <w:rFonts w:ascii="Calibri" w:hAnsi="Calibri"/>
          <w:i w:val="0"/>
          <w:color w:val="202020"/>
        </w:rPr>
        <w:t>Terra reviews whether individual conditions appear visible in the available photographic evidence. Deterministic policy translates reviewed conditions into renovation work and constructs package candidates. Sol then performs the higher-level review of whether the proposed work forms a coherent renovation package. A package decision affects bundling and allowances; it does not erase reviewed underlying work.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1F4D78"/>
              </w:rPr>
              <w:t xml:space="preserve">Core principle. </w:t>
            </w:r>
            <w:r>
              <w:rPr>
                <w:rFonts w:ascii="Calibri" w:hAnsi="Calibri"/>
                <w:color w:val="202020"/>
              </w:rPr>
              <w:t>Terra reviews visible conditions. Deterministic rules define work. Sol reviews packages. Packages organize and reconcile scope; they do not decide condition truth.</w:t>
            </w:r>
          </w:p>
        </w:tc>
      </w:tr>
    </w:tbl>
    <w:p>
      <w:pPr>
        <w:spacing w:after="0"/>
      </w:pPr>
    </w:p>
    <w:p>
      <w:r>
        <w:br w:type="page"/>
      </w:r>
    </w:p>
    <w:p>
      <w:pPr>
        <w:pStyle w:val="Heading1"/>
        <w:keepNext/>
      </w:pPr>
      <w:r>
        <w:t>Why the architecture is changing</w:t>
      </w:r>
    </w:p>
    <w:p>
      <w:pPr>
        <w:spacing w:before="0" w:after="120" w:line="264" w:lineRule="auto"/>
      </w:pPr>
      <w:r>
        <w:rPr>
          <w:rFonts w:ascii="Calibri" w:hAnsi="Calibri"/>
          <w:i w:val="0"/>
          <w:color w:val="202020"/>
        </w:rPr>
        <w:t>The current package system was designed for two sound reasons: to prevent a single hallucinated observation from immediately contaminating an estimate, and to concentrate expensive premium-model review into a small number of package-level calls. Those constraints shaped a package-first verification design.</w:t>
      </w:r>
    </w:p>
    <w:p>
      <w:pPr>
        <w:spacing w:before="0" w:after="120" w:line="264" w:lineRule="auto"/>
      </w:pPr>
      <w:r>
        <w:rPr>
          <w:rFonts w:ascii="Calibri" w:hAnsi="Calibri"/>
          <w:i w:val="0"/>
          <w:color w:val="202020"/>
        </w:rPr>
        <w:t>With broad Terra availability, condition-level review is now practical. At the same time, experience with package verification shows that a single package decision can carry too much authority, especially when standalone and package-only observations follow different paths. The revised design keeps the original hallucination safeguards while narrowing the consequences of any one package verdict.</w:t>
      </w:r>
    </w:p>
    <w:p>
      <w:pPr>
        <w:pStyle w:val="Heading2"/>
        <w:keepNext/>
      </w:pPr>
      <w:r>
        <w:t>Design goals</w:t>
      </w:r>
    </w:p>
    <w:p>
      <w:pPr>
        <w:numPr>
          <w:ilvl w:val="0"/>
          <w:numId w:val="10"/>
        </w:numPr>
        <w:spacing w:after="160" w:line="280" w:lineRule="auto"/>
      </w:pPr>
      <w:r>
        <w:rPr>
          <w:rFonts w:ascii="Calibri" w:hAnsi="Calibri"/>
          <w:color w:val="202020"/>
        </w:rPr>
        <w:t>Preserve resistance to isolated hallucinated observations.</w:t>
      </w:r>
    </w:p>
    <w:p>
      <w:pPr>
        <w:numPr>
          <w:ilvl w:val="0"/>
          <w:numId w:val="10"/>
        </w:numPr>
        <w:spacing w:after="160" w:line="280" w:lineRule="auto"/>
      </w:pPr>
      <w:r>
        <w:rPr>
          <w:rFonts w:ascii="Calibri" w:hAnsi="Calibri"/>
          <w:color w:val="202020"/>
        </w:rPr>
        <w:t>Represent the renovation work implied by reviewed conditions more clearly.</w:t>
      </w:r>
    </w:p>
    <w:p>
      <w:pPr>
        <w:numPr>
          <w:ilvl w:val="0"/>
          <w:numId w:val="10"/>
        </w:numPr>
        <w:spacing w:after="160" w:line="280" w:lineRule="auto"/>
      </w:pPr>
      <w:r>
        <w:rPr>
          <w:rFonts w:ascii="Calibri" w:hAnsi="Calibri"/>
          <w:color w:val="202020"/>
        </w:rPr>
        <w:t>Prevent a rejected or uncertain package from silently deleting legitimate work.</w:t>
      </w:r>
    </w:p>
    <w:p>
      <w:pPr>
        <w:numPr>
          <w:ilvl w:val="0"/>
          <w:numId w:val="10"/>
        </w:numPr>
        <w:spacing w:after="160" w:line="280" w:lineRule="auto"/>
      </w:pPr>
      <w:r>
        <w:rPr>
          <w:rFonts w:ascii="Calibri" w:hAnsi="Calibri"/>
          <w:color w:val="202020"/>
        </w:rPr>
        <w:t>Use Terra for broad condition review and Sol where higher-level judgment is most valuable.</w:t>
      </w:r>
    </w:p>
    <w:p>
      <w:pPr>
        <w:numPr>
          <w:ilvl w:val="0"/>
          <w:numId w:val="10"/>
        </w:numPr>
        <w:spacing w:after="160" w:line="280" w:lineRule="auto"/>
      </w:pPr>
      <w:r>
        <w:rPr>
          <w:rFonts w:ascii="Calibri" w:hAnsi="Calibri"/>
          <w:color w:val="202020"/>
        </w:rPr>
        <w:t>Keep the conceptual model simple enough to reason about, audit, and evolve.</w:t>
      </w:r>
    </w:p>
    <w:p>
      <w:pPr>
        <w:numPr>
          <w:ilvl w:val="0"/>
          <w:numId w:val="10"/>
        </w:numPr>
        <w:spacing w:after="160" w:line="280" w:lineRule="auto"/>
      </w:pPr>
      <w:r>
        <w:rPr>
          <w:rFonts w:ascii="Calibri" w:hAnsi="Calibri"/>
          <w:color w:val="202020"/>
        </w:rPr>
        <w:t>Support better cost estimation without claiming contractor-bid precision from photographs alone.</w:t>
      </w:r>
    </w:p>
    <w:p>
      <w:pPr>
        <w:pStyle w:val="Heading1"/>
        <w:keepNext/>
      </w:pPr>
      <w:r>
        <w:t>Architecture at a glance</w:t>
      </w:r>
    </w:p>
    <w:p>
      <w:pPr>
        <w:spacing w:before="160" w:after="240"/>
        <w:jc w:val="center"/>
      </w:pPr>
      <w:r>
        <w:rPr>
          <w:rFonts w:ascii="Calibri" w:hAnsi="Calibri"/>
          <w:b/>
          <w:color w:val="1F4D78"/>
          <w:sz w:val="26"/>
        </w:rPr>
        <w:t>OBSERVED CONDITIONS   &gt;   WORK ITEMS   &gt;   PACKAGES &amp; ESTIMATE</w:t>
      </w:r>
    </w:p>
    <w:p>
      <w:pPr>
        <w:spacing w:before="0" w:after="120" w:line="264" w:lineRule="auto"/>
      </w:pPr>
      <w:r>
        <w:rPr>
          <w:rFonts w:ascii="Calibri" w:hAnsi="Calibri"/>
          <w:i w:val="0"/>
          <w:color w:val="202020"/>
        </w:rPr>
        <w:t>The layers are deliberately few. Each has one primary responsibility and a clear boundary. Model review, deterministic policy, and cost reconciliation operate across the layers without collapsing them into one decision.</w:t>
      </w:r>
    </w:p>
    <w:tbl>
      <w:tblPr>
        <w:tblStyle w:val="TableGrid"/>
        <w:tblW w:type="dxa" w:w="9360"/>
        <w:tblLayout w:type="fixed"/>
        <w:tblLook w:firstColumn="1" w:firstRow="1" w:lastColumn="0" w:lastRow="0" w:noHBand="0" w:noVBand="1" w:val="04A0"/>
        <w:jc w:val="left"/>
        <w:tblInd w:w="120" w:type="dxa"/>
      </w:tblPr>
      <w:tblGrid>
        <w:gridCol w:w="1900"/>
        <w:gridCol w:w="3800"/>
        <w:gridCol w:w="3660"/>
      </w:tblGrid>
      <w:tr>
        <w:trPr>
          <w:tblHeader w:val="true"/>
        </w:trPr>
        <w:tc>
          <w:tcPr>
            <w:tcW w:type="dxa" w:w="1900"/>
            <w:tcMar>
              <w:top w:w="80" w:type="dxa"/>
              <w:start w:w="120" w:type="dxa"/>
              <w:bottom w:w="80" w:type="dxa"/>
              <w:end w:w="120" w:type="dxa"/>
            </w:tcMar>
            <w:vAlign w:val="center"/>
            <w:shd w:fill="F2F4F7"/>
          </w:tcPr>
          <w:p>
            <w:pPr>
              <w:spacing w:after="0"/>
              <w:jc w:val="left"/>
            </w:pPr>
            <w:r>
              <w:rPr>
                <w:rFonts w:ascii="Calibri" w:hAnsi="Calibri"/>
                <w:b/>
                <w:color w:val="1F4D78"/>
                <w:sz w:val="21"/>
              </w:rPr>
              <w:t>Layer</w:t>
            </w:r>
          </w:p>
        </w:tc>
        <w:tc>
          <w:tcPr>
            <w:tcW w:type="dxa" w:w="3800"/>
            <w:tcMar>
              <w:top w:w="80" w:type="dxa"/>
              <w:start w:w="120" w:type="dxa"/>
              <w:bottom w:w="80" w:type="dxa"/>
              <w:end w:w="120" w:type="dxa"/>
            </w:tcMar>
            <w:vAlign w:val="center"/>
            <w:shd w:fill="F2F4F7"/>
          </w:tcPr>
          <w:p>
            <w:pPr>
              <w:spacing w:after="0"/>
              <w:jc w:val="left"/>
            </w:pPr>
            <w:r>
              <w:rPr>
                <w:rFonts w:ascii="Calibri" w:hAnsi="Calibri"/>
                <w:b/>
                <w:color w:val="1F4D78"/>
                <w:sz w:val="21"/>
              </w:rPr>
              <w:t>Primary responsibility</w:t>
            </w:r>
          </w:p>
        </w:tc>
        <w:tc>
          <w:tcPr>
            <w:tcW w:type="dxa" w:w="3660"/>
            <w:tcMar>
              <w:top w:w="80" w:type="dxa"/>
              <w:start w:w="120" w:type="dxa"/>
              <w:bottom w:w="80" w:type="dxa"/>
              <w:end w:w="120" w:type="dxa"/>
            </w:tcMar>
            <w:vAlign w:val="center"/>
            <w:shd w:fill="F2F4F7"/>
          </w:tcPr>
          <w:p>
            <w:pPr>
              <w:spacing w:after="0"/>
              <w:jc w:val="left"/>
            </w:pPr>
            <w:r>
              <w:rPr>
                <w:rFonts w:ascii="Calibri" w:hAnsi="Calibri"/>
                <w:b/>
                <w:color w:val="1F4D78"/>
                <w:sz w:val="21"/>
              </w:rPr>
              <w:t>Boundary</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020"/>
                <w:sz w:val="20"/>
              </w:rPr>
              <w:t>Observed condition</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Records what appears visible, where it appears, and which photos support it.</w:t>
            </w:r>
          </w:p>
        </w:tc>
        <w:tc>
          <w:tcPr>
            <w:tcW w:type="dxa" w:w="3660"/>
            <w:tcMar>
              <w:top w:w="80" w:type="dxa"/>
              <w:start w:w="120" w:type="dxa"/>
              <w:bottom w:w="80" w:type="dxa"/>
              <w:end w:w="120" w:type="dxa"/>
            </w:tcMar>
            <w:vAlign w:val="center"/>
          </w:tcPr>
          <w:p>
            <w:pPr>
              <w:spacing w:after="0" w:line="252" w:lineRule="auto"/>
            </w:pPr>
            <w:r>
              <w:rPr>
                <w:rFonts w:ascii="Calibri" w:hAnsi="Calibri"/>
                <w:color w:val="202020"/>
                <w:sz w:val="20"/>
              </w:rPr>
              <w:t>Does not decide renovation scope, package membership, or price.</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020"/>
                <w:sz w:val="20"/>
              </w:rPr>
              <w:t>Work item</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Expresses the renovation action implied by an accepted condition in estimating-friendly terms.</w:t>
            </w:r>
          </w:p>
        </w:tc>
        <w:tc>
          <w:tcPr>
            <w:tcW w:type="dxa" w:w="3660"/>
            <w:tcMar>
              <w:top w:w="80" w:type="dxa"/>
              <w:start w:w="120" w:type="dxa"/>
              <w:bottom w:w="80" w:type="dxa"/>
              <w:end w:w="120" w:type="dxa"/>
            </w:tcMar>
            <w:vAlign w:val="center"/>
          </w:tcPr>
          <w:p>
            <w:pPr>
              <w:spacing w:after="0" w:line="252" w:lineRule="auto"/>
            </w:pPr>
            <w:r>
              <w:rPr>
                <w:rFonts w:ascii="Calibri" w:hAnsi="Calibri"/>
                <w:color w:val="202020"/>
                <w:sz w:val="20"/>
              </w:rPr>
              <w:t>Does not decide whether a broader room or property package is coherent.</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202020"/>
                <w:sz w:val="20"/>
              </w:rPr>
              <w:t>Package and estimate</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Groups reviewed work, reconciles overlap, and presents a coherent allowance or budget range.</w:t>
            </w:r>
          </w:p>
        </w:tc>
        <w:tc>
          <w:tcPr>
            <w:tcW w:type="dxa" w:w="3660"/>
            <w:tcMar>
              <w:top w:w="80" w:type="dxa"/>
              <w:start w:w="120" w:type="dxa"/>
              <w:bottom w:w="80" w:type="dxa"/>
              <w:end w:w="120" w:type="dxa"/>
            </w:tcMar>
            <w:vAlign w:val="center"/>
          </w:tcPr>
          <w:p>
            <w:pPr>
              <w:spacing w:after="0" w:line="252" w:lineRule="auto"/>
            </w:pPr>
            <w:r>
              <w:rPr>
                <w:rFonts w:ascii="Calibri" w:hAnsi="Calibri"/>
                <w:color w:val="202020"/>
                <w:sz w:val="20"/>
              </w:rPr>
              <w:t>Does not overwrite the truth or disposition of its underlying conditions.</w:t>
            </w:r>
          </w:p>
        </w:tc>
      </w:tr>
    </w:tbl>
    <w:p>
      <w:pPr>
        <w:pStyle w:val="Heading1"/>
        <w:keepNext/>
      </w:pPr>
      <w:r>
        <w:t>Layer 1: observed conditions</w:t>
      </w:r>
    </w:p>
    <w:p>
      <w:pPr>
        <w:spacing w:before="0" w:after="120" w:line="264" w:lineRule="auto"/>
      </w:pPr>
      <w:r>
        <w:rPr>
          <w:rFonts w:ascii="Calibri" w:hAnsi="Calibri"/>
          <w:i w:val="0"/>
          <w:color w:val="202020"/>
        </w:rPr>
        <w:t>The condition layer is the canonical record of what the analysis believes may be visible. It keeps the observed condition separate from the renovation response. The same condition seen across multiple views is aggregated into one condition instance for the relevant physical room, area, or component rather than producing duplicate work or duplicate packages.</w:t>
      </w:r>
    </w:p>
    <w:p>
      <w:pPr>
        <w:pStyle w:val="Heading2"/>
        <w:keepNext/>
      </w:pPr>
      <w:r>
        <w:t>Evidence and corroboration</w:t>
      </w:r>
    </w:p>
    <w:p>
      <w:pPr>
        <w:spacing w:before="0" w:after="120" w:line="264" w:lineRule="auto"/>
      </w:pPr>
      <w:r>
        <w:rPr>
          <w:rFonts w:ascii="Calibri" w:hAnsi="Calibri"/>
          <w:i w:val="0"/>
          <w:color w:val="202020"/>
        </w:rPr>
        <w:t>The architecture does not rely on an LLM-generated confidence score. Evidence strength is derived from observable facts such as the number of distinct supporting photographs, whether those photographs represent genuinely different views, and whether the evidence belongs to the same physical estimate unit.</w:t>
      </w:r>
    </w:p>
    <w:p>
      <w:pPr>
        <w:spacing w:before="0" w:after="120" w:line="264" w:lineRule="auto"/>
      </w:pPr>
      <w:r>
        <w:rPr>
          <w:rFonts w:ascii="Calibri" w:hAnsi="Calibri"/>
          <w:i w:val="0"/>
          <w:color w:val="202020"/>
        </w:rPr>
        <w:t>Multiple photographs of the same condition in the same room strengthen one condition instance. The same condition in different rooms creates separate condition instances, which may later contribute to separate room packages or a property-level rollup.</w:t>
      </w:r>
    </w:p>
    <w:p>
      <w:pPr>
        <w:pStyle w:val="Heading2"/>
        <w:keepNext/>
      </w:pPr>
      <w:r>
        <w:t>Terra condition review</w:t>
      </w:r>
    </w:p>
    <w:p>
      <w:pPr>
        <w:spacing w:before="0" w:after="120" w:line="264" w:lineRule="auto"/>
      </w:pPr>
      <w:r>
        <w:rPr>
          <w:rFonts w:ascii="Calibri" w:hAnsi="Calibri"/>
          <w:i w:val="0"/>
          <w:color w:val="202020"/>
        </w:rPr>
        <w:t>Terra reviews candidate conditions against their relevant photos. Its role is intentionally narrow: determine whether the claimed condition appears visible, appears unsupported, or cannot be assessed from the available imagery. Terra does not generate self-confidence, choose renovation packages, or assign dollars.</w:t>
      </w:r>
    </w:p>
    <w:p>
      <w:pPr>
        <w:spacing w:before="0" w:after="120" w:line="264" w:lineRule="auto"/>
      </w:pPr>
      <w:r>
        <w:rPr>
          <w:rFonts w:ascii="Calibri" w:hAnsi="Calibri"/>
          <w:i w:val="0"/>
          <w:color w:val="202020"/>
        </w:rPr>
        <w:t>Deterministic policy interprets the review result together with objective evidence strength. Accepted conditions may proceed to work definition; unsupported conditions are excluded; conditions that cannot be assessed remain visible in an uncertainty or inspection lane. High-consequence single-view conditions may be escalated for additional review rather than immediately entering the estimate.</w:t>
      </w:r>
    </w:p>
    <w:p>
      <w:pPr>
        <w:pStyle w:val="Heading1"/>
        <w:keepNext/>
      </w:pPr>
      <w:r>
        <w:t>Layer 2: renovation work items</w:t>
      </w:r>
    </w:p>
    <w:p>
      <w:pPr>
        <w:spacing w:before="0" w:after="120" w:line="264" w:lineRule="auto"/>
      </w:pPr>
      <w:r>
        <w:rPr>
          <w:rFonts w:ascii="Calibri" w:hAnsi="Calibri"/>
          <w:i w:val="0"/>
          <w:color w:val="202020"/>
        </w:rPr>
        <w:t>The work-item layer translates an accepted condition into the kind of renovation action an estimator can recognize. It separates the statement that a condition exists from the decision about what response it implies. Examples include cleaning, refinishing, repairing, replacing, testing, or inspecting a component.</w:t>
      </w:r>
    </w:p>
    <w:p>
      <w:pPr>
        <w:spacing w:before="0" w:after="120" w:line="264" w:lineRule="auto"/>
      </w:pPr>
      <w:r>
        <w:rPr>
          <w:rFonts w:ascii="Calibri" w:hAnsi="Calibri"/>
          <w:i w:val="0"/>
          <w:color w:val="202020"/>
        </w:rPr>
        <w:t>This layer is the natural evolution of the existing catalog. The current catalog already contains valuable observation definitions, work-item codes, trade groupings, cost information, unit policies, and package relationships. The revised knowledge model separates these concepts logically so that condition detection, work definition, package eligibility, and pricing no longer depend on the same field or route.</w:t>
      </w:r>
    </w:p>
    <w:p>
      <w:pPr>
        <w:pStyle w:val="Heading2"/>
        <w:keepNext/>
      </w:pPr>
      <w:r>
        <w:t>Catalog direction</w:t>
      </w:r>
    </w:p>
    <w:p>
      <w:pPr>
        <w:spacing w:before="0" w:after="120" w:line="264" w:lineRule="auto"/>
      </w:pPr>
      <w:r>
        <w:rPr>
          <w:rFonts w:ascii="Calibri" w:hAnsi="Calibri"/>
          <w:i w:val="0"/>
          <w:color w:val="202020"/>
        </w:rPr>
        <w:t>At a conceptual level, the revised catalog distinguishes three kinds of knowledge: what can be observed, what renovation work an accepted observation may imply, and how work items may participate in packages. Existing catalog knowledge can be migrated and reused rather than discarded, while the current package-only versus standalone divide is retired.</w:t>
      </w:r>
    </w:p>
    <w:p>
      <w:pPr>
        <w:spacing w:before="0" w:after="120" w:line="264" w:lineRule="auto"/>
      </w:pPr>
      <w:r>
        <w:rPr>
          <w:rFonts w:ascii="Calibri" w:hAnsi="Calibri"/>
          <w:i w:val="0"/>
          <w:color w:val="202020"/>
        </w:rPr>
        <w:t>Every potentially relevant condition must reach an explicit disposition: renovation work, inspection or uncertainty, optional or no-action evidence, or exclusion. No condition should disappear merely because a package was not created.</w:t>
      </w:r>
    </w:p>
    <w:p>
      <w:pPr>
        <w:pStyle w:val="Heading1"/>
        <w:keepNext/>
      </w:pPr>
      <w:r>
        <w:t>Layer 3: packages and estimates</w:t>
      </w:r>
    </w:p>
    <w:p>
      <w:pPr>
        <w:spacing w:before="0" w:after="120" w:line="264" w:lineRule="auto"/>
      </w:pPr>
      <w:r>
        <w:rPr>
          <w:rFonts w:ascii="Calibri" w:hAnsi="Calibri"/>
          <w:i w:val="0"/>
          <w:color w:val="202020"/>
        </w:rPr>
        <w:t>Packages remain a central product and estimating concept. They summarize related work into room-level or property-level scopes, apply corroboration rules, consolidate overlapping work, prevent double counting, and provide understandable budget allowances where photographic inputs cannot support contractor-level precision.</w:t>
      </w:r>
    </w:p>
    <w:p>
      <w:pPr>
        <w:spacing w:before="0" w:after="120" w:line="264" w:lineRule="auto"/>
      </w:pPr>
      <w:r>
        <w:rPr>
          <w:rFonts w:ascii="Calibri" w:hAnsi="Calibri"/>
          <w:i w:val="0"/>
          <w:color w:val="202020"/>
        </w:rPr>
        <w:t>Package candidates are constructed from reviewed work items using deterministic rules. Existing ideas such as drivers, supports, package strength, room identity, whole-home rollups, absorption, and cost floors remain useful. The key difference is that these concepts operate on reviewed work rather than serving as the only path by which a condition can survive.</w:t>
      </w:r>
    </w:p>
    <w:p>
      <w:pPr>
        <w:pStyle w:val="Heading2"/>
        <w:keepNext/>
      </w:pPr>
      <w:r>
        <w:t>Sol package review</w:t>
      </w:r>
    </w:p>
    <w:p>
      <w:pPr>
        <w:spacing w:before="0" w:after="120" w:line="264" w:lineRule="auto"/>
      </w:pPr>
      <w:r>
        <w:rPr>
          <w:rFonts w:ascii="Calibri" w:hAnsi="Calibri"/>
          <w:i w:val="0"/>
          <w:color w:val="202020"/>
        </w:rPr>
        <w:t>Sol provides the higher-level judgment that is difficult to encode fully with local rules. It reviews whether the proposed work forms a coherent renovation package, whether scopes should be combined or separated, and whether the overall package characterization is appropriate for the visible breadth of work.</w:t>
      </w:r>
    </w:p>
    <w:p>
      <w:pPr>
        <w:spacing w:before="0" w:after="120" w:line="264" w:lineRule="auto"/>
      </w:pPr>
      <w:r>
        <w:rPr>
          <w:rFonts w:ascii="Calibri" w:hAnsi="Calibri"/>
          <w:i w:val="0"/>
          <w:color w:val="202020"/>
        </w:rPr>
        <w:t>An approved package may replace or reconcile its underlying standalone allowances. A rejected or uncertain package removes the package-level treatment but leaves accepted work items available as standalone scope. Sol therefore remains valuable without retaining authority to erase condition truth.</w:t>
      </w:r>
    </w:p>
    <w:p>
      <w:pPr>
        <w:pStyle w:val="Heading1"/>
        <w:keepNext/>
      </w:pPr>
      <w:r>
        <w:t>Decision ownership</w:t>
      </w:r>
    </w:p>
    <w:p>
      <w:pPr>
        <w:spacing w:before="0" w:after="120" w:line="264" w:lineRule="auto"/>
      </w:pPr>
      <w:r>
        <w:rPr>
          <w:rFonts w:ascii="Calibri" w:hAnsi="Calibri"/>
          <w:i w:val="0"/>
          <w:color w:val="202020"/>
        </w:rPr>
        <w:t>The architecture is simplest when each participant has a narrow and explicit decision boundary.</w:t>
      </w:r>
    </w:p>
    <w:tbl>
      <w:tblPr>
        <w:tblStyle w:val="TableGrid"/>
        <w:tblW w:type="dxa" w:w="9360"/>
        <w:tblLayout w:type="fixed"/>
        <w:tblLook w:firstColumn="1" w:firstRow="1" w:lastColumn="0" w:lastRow="0" w:noHBand="0" w:noVBand="1" w:val="04A0"/>
        <w:jc w:val="left"/>
        <w:tblInd w:w="120" w:type="dxa"/>
      </w:tblPr>
      <w:tblGrid>
        <w:gridCol w:w="1750"/>
        <w:gridCol w:w="3800"/>
        <w:gridCol w:w="3810"/>
      </w:tblGrid>
      <w:tr>
        <w:trPr>
          <w:tblHeader w:val="true"/>
        </w:trPr>
        <w:tc>
          <w:tcPr>
            <w:tcW w:type="dxa" w:w="1750"/>
            <w:tcMar>
              <w:top w:w="80" w:type="dxa"/>
              <w:start w:w="120" w:type="dxa"/>
              <w:bottom w:w="80" w:type="dxa"/>
              <w:end w:w="120" w:type="dxa"/>
            </w:tcMar>
            <w:vAlign w:val="center"/>
            <w:shd w:fill="F2F4F7"/>
          </w:tcPr>
          <w:p>
            <w:pPr>
              <w:spacing w:after="0"/>
            </w:pPr>
            <w:r>
              <w:rPr>
                <w:rFonts w:ascii="Calibri" w:hAnsi="Calibri"/>
                <w:b/>
                <w:color w:val="1F4D78"/>
                <w:sz w:val="21"/>
              </w:rPr>
              <w:t>Decision owner</w:t>
            </w:r>
          </w:p>
        </w:tc>
        <w:tc>
          <w:tcPr>
            <w:tcW w:type="dxa" w:w="3800"/>
            <w:tcMar>
              <w:top w:w="80" w:type="dxa"/>
              <w:start w:w="120" w:type="dxa"/>
              <w:bottom w:w="80" w:type="dxa"/>
              <w:end w:w="120" w:type="dxa"/>
            </w:tcMar>
            <w:vAlign w:val="center"/>
            <w:shd w:fill="F2F4F7"/>
          </w:tcPr>
          <w:p>
            <w:pPr>
              <w:spacing w:after="0"/>
            </w:pPr>
            <w:r>
              <w:rPr>
                <w:rFonts w:ascii="Calibri" w:hAnsi="Calibri"/>
                <w:b/>
                <w:color w:val="1F4D78"/>
                <w:sz w:val="21"/>
              </w:rPr>
              <w:t>Decides</w:t>
            </w:r>
          </w:p>
        </w:tc>
        <w:tc>
          <w:tcPr>
            <w:tcW w:type="dxa" w:w="3810"/>
            <w:tcMar>
              <w:top w:w="80" w:type="dxa"/>
              <w:start w:w="120" w:type="dxa"/>
              <w:bottom w:w="80" w:type="dxa"/>
              <w:end w:w="120" w:type="dxa"/>
            </w:tcMar>
            <w:vAlign w:val="center"/>
            <w:shd w:fill="F2F4F7"/>
          </w:tcPr>
          <w:p>
            <w:pPr>
              <w:spacing w:after="0"/>
            </w:pPr>
            <w:r>
              <w:rPr>
                <w:rFonts w:ascii="Calibri" w:hAnsi="Calibri"/>
                <w:b/>
                <w:color w:val="1F4D78"/>
                <w:sz w:val="21"/>
              </w:rPr>
              <w:t>Does not decide</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020"/>
                <w:sz w:val="20"/>
              </w:rPr>
              <w:t>Terra</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Whether individual conditions appear supported by the submitted photographic evidence.</w:t>
            </w:r>
          </w:p>
        </w:tc>
        <w:tc>
          <w:tcPr>
            <w:tcW w:type="dxa" w:w="3810"/>
            <w:tcMar>
              <w:top w:w="80" w:type="dxa"/>
              <w:start w:w="120" w:type="dxa"/>
              <w:bottom w:w="80" w:type="dxa"/>
              <w:end w:w="120" w:type="dxa"/>
            </w:tcMar>
            <w:vAlign w:val="center"/>
          </w:tcPr>
          <w:p>
            <w:pPr>
              <w:spacing w:after="0" w:line="252" w:lineRule="auto"/>
            </w:pPr>
            <w:r>
              <w:rPr>
                <w:rFonts w:ascii="Calibri" w:hAnsi="Calibri"/>
                <w:color w:val="202020"/>
                <w:sz w:val="20"/>
              </w:rPr>
              <w:t>Renovation scope, package coherence, cost, or model confidence.</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020"/>
                <w:sz w:val="20"/>
              </w:rPr>
              <w:t>Deterministic policy</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How evidence strength affects disposition; how reviewed conditions map to work and package candidates.</w:t>
            </w:r>
          </w:p>
        </w:tc>
        <w:tc>
          <w:tcPr>
            <w:tcW w:type="dxa" w:w="3810"/>
            <w:tcMar>
              <w:top w:w="80" w:type="dxa"/>
              <w:start w:w="120" w:type="dxa"/>
              <w:bottom w:w="80" w:type="dxa"/>
              <w:end w:w="120" w:type="dxa"/>
            </w:tcMar>
            <w:vAlign w:val="center"/>
          </w:tcPr>
          <w:p>
            <w:pPr>
              <w:spacing w:after="0" w:line="252" w:lineRule="auto"/>
            </w:pPr>
            <w:r>
              <w:rPr>
                <w:rFonts w:ascii="Calibri" w:hAnsi="Calibri"/>
                <w:color w:val="202020"/>
                <w:sz w:val="20"/>
              </w:rPr>
              <w:t>Whether an image visually supports a claim.</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020"/>
                <w:sz w:val="20"/>
              </w:rPr>
              <w:t>Sol</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Whether proposed work forms a coherent package and whether package-level treatment is appropriate.</w:t>
            </w:r>
          </w:p>
        </w:tc>
        <w:tc>
          <w:tcPr>
            <w:tcW w:type="dxa" w:w="3810"/>
            <w:tcMar>
              <w:top w:w="80" w:type="dxa"/>
              <w:start w:w="120" w:type="dxa"/>
              <w:bottom w:w="80" w:type="dxa"/>
              <w:end w:w="120" w:type="dxa"/>
            </w:tcMar>
            <w:vAlign w:val="center"/>
          </w:tcPr>
          <w:p>
            <w:pPr>
              <w:spacing w:after="0" w:line="252" w:lineRule="auto"/>
            </w:pPr>
            <w:r>
              <w:rPr>
                <w:rFonts w:ascii="Calibri" w:hAnsi="Calibri"/>
                <w:color w:val="202020"/>
                <w:sz w:val="20"/>
              </w:rPr>
              <w:t>Whether underlying accepted conditions cease to exist.</w:t>
            </w:r>
          </w:p>
        </w:tc>
      </w:tr>
      <w:tr>
        <w:tc>
          <w:tcPr>
            <w:tcW w:type="dxa" w:w="1750"/>
            <w:tcMar>
              <w:top w:w="80" w:type="dxa"/>
              <w:start w:w="120" w:type="dxa"/>
              <w:bottom w:w="80" w:type="dxa"/>
              <w:end w:w="120" w:type="dxa"/>
            </w:tcMar>
            <w:vAlign w:val="center"/>
          </w:tcPr>
          <w:p>
            <w:pPr>
              <w:spacing w:after="0" w:line="252" w:lineRule="auto"/>
            </w:pPr>
            <w:r>
              <w:rPr>
                <w:rFonts w:ascii="Calibri" w:hAnsi="Calibri"/>
                <w:color w:val="202020"/>
                <w:sz w:val="20"/>
              </w:rPr>
              <w:t>Cost and reconciliation</w:t>
            </w:r>
          </w:p>
        </w:tc>
        <w:tc>
          <w:tcPr>
            <w:tcW w:type="dxa" w:w="3800"/>
            <w:tcMar>
              <w:top w:w="80" w:type="dxa"/>
              <w:start w:w="120" w:type="dxa"/>
              <w:bottom w:w="80" w:type="dxa"/>
              <w:end w:w="120" w:type="dxa"/>
            </w:tcMar>
            <w:vAlign w:val="center"/>
          </w:tcPr>
          <w:p>
            <w:pPr>
              <w:spacing w:after="0" w:line="252" w:lineRule="auto"/>
            </w:pPr>
            <w:r>
              <w:rPr>
                <w:rFonts w:ascii="Calibri" w:hAnsi="Calibri"/>
                <w:color w:val="202020"/>
                <w:sz w:val="20"/>
              </w:rPr>
              <w:t>How work and approved packages contribute to the final allowance without double counting.</w:t>
            </w:r>
          </w:p>
        </w:tc>
        <w:tc>
          <w:tcPr>
            <w:tcW w:type="dxa" w:w="3810"/>
            <w:tcMar>
              <w:top w:w="80" w:type="dxa"/>
              <w:start w:w="120" w:type="dxa"/>
              <w:bottom w:w="80" w:type="dxa"/>
              <w:end w:w="120" w:type="dxa"/>
            </w:tcMar>
            <w:vAlign w:val="center"/>
          </w:tcPr>
          <w:p>
            <w:pPr>
              <w:spacing w:after="0" w:line="252" w:lineRule="auto"/>
            </w:pPr>
            <w:r>
              <w:rPr>
                <w:rFonts w:ascii="Calibri" w:hAnsi="Calibri"/>
                <w:color w:val="202020"/>
                <w:sz w:val="20"/>
              </w:rPr>
              <w:t>Visual truth or package coherence.</w:t>
            </w:r>
          </w:p>
        </w:tc>
      </w:tr>
    </w:tbl>
    <w:p>
      <w:pPr>
        <w:pStyle w:val="Heading1"/>
        <w:keepNext/>
      </w:pPr>
      <w:r>
        <w:t>Hallucination resistance in the revised design</w:t>
      </w:r>
    </w:p>
    <w:p>
      <w:pPr>
        <w:spacing w:before="0" w:after="120" w:line="264" w:lineRule="auto"/>
      </w:pPr>
      <w:r>
        <w:rPr>
          <w:rFonts w:ascii="Calibri" w:hAnsi="Calibri"/>
          <w:i w:val="0"/>
          <w:color w:val="202020"/>
        </w:rPr>
        <w:t>The revised architecture does not abandon the original defense against hallucinations. It moves that defense earlier and makes it more explicit. Raw observations do not directly create renovation dollars. They must be consolidated into condition instances, reviewed against photographic evidence, and pass deterministic evidence policy before they become work.</w:t>
      </w:r>
    </w:p>
    <w:p>
      <w:pPr>
        <w:numPr>
          <w:ilvl w:val="0"/>
          <w:numId w:val="10"/>
        </w:numPr>
        <w:spacing w:after="160" w:line="280" w:lineRule="auto"/>
      </w:pPr>
      <w:r>
        <w:rPr>
          <w:rFonts w:ascii="Calibri" w:hAnsi="Calibri"/>
          <w:color w:val="202020"/>
        </w:rPr>
        <w:t>A repeated observation from duplicate or near-duplicate imagery is not treated as independent corroboration.</w:t>
      </w:r>
    </w:p>
    <w:p>
      <w:pPr>
        <w:numPr>
          <w:ilvl w:val="0"/>
          <w:numId w:val="10"/>
        </w:numPr>
        <w:spacing w:after="160" w:line="280" w:lineRule="auto"/>
      </w:pPr>
      <w:r>
        <w:rPr>
          <w:rFonts w:ascii="Calibri" w:hAnsi="Calibri"/>
          <w:color w:val="202020"/>
        </w:rPr>
        <w:t>A single high-consequence observation can be withheld or escalated rather than immediately priced.</w:t>
      </w:r>
    </w:p>
    <w:p>
      <w:pPr>
        <w:numPr>
          <w:ilvl w:val="0"/>
          <w:numId w:val="10"/>
        </w:numPr>
        <w:spacing w:after="160" w:line="280" w:lineRule="auto"/>
      </w:pPr>
      <w:r>
        <w:rPr>
          <w:rFonts w:ascii="Calibri" w:hAnsi="Calibri"/>
          <w:color w:val="202020"/>
        </w:rPr>
        <w:t>Packages continue to require sufficient reviewed breadth, such as an accepted driver or multiple supporting work items.</w:t>
      </w:r>
    </w:p>
    <w:p>
      <w:pPr>
        <w:numPr>
          <w:ilvl w:val="0"/>
          <w:numId w:val="10"/>
        </w:numPr>
        <w:spacing w:after="160" w:line="280" w:lineRule="auto"/>
      </w:pPr>
      <w:r>
        <w:rPr>
          <w:rFonts w:ascii="Calibri" w:hAnsi="Calibri"/>
          <w:color w:val="202020"/>
        </w:rPr>
        <w:t>Package review cannot silently remove accepted underlying work.</w:t>
      </w:r>
    </w:p>
    <w:p>
      <w:pPr>
        <w:numPr>
          <w:ilvl w:val="0"/>
          <w:numId w:val="10"/>
        </w:numPr>
        <w:spacing w:after="160" w:line="280" w:lineRule="auto"/>
      </w:pPr>
      <w:r>
        <w:rPr>
          <w:rFonts w:ascii="Calibri" w:hAnsi="Calibri"/>
          <w:color w:val="202020"/>
        </w:rPr>
        <w:t>Uncertain conditions remain auditable instead of being treated as either confirmed dollars or invisible zero-dollar outcomes.</w:t>
      </w:r>
    </w:p>
    <w:p>
      <w:pPr>
        <w:pStyle w:val="Heading1"/>
        <w:keepNext/>
      </w:pPr>
      <w:r>
        <w:t>Architectural invariants</w:t>
      </w:r>
    </w:p>
    <w:p>
      <w:pPr>
        <w:numPr>
          <w:ilvl w:val="0"/>
          <w:numId w:val="10"/>
        </w:numPr>
        <w:spacing w:after="160" w:line="280" w:lineRule="auto"/>
      </w:pPr>
      <w:r>
        <w:rPr>
          <w:rFonts w:ascii="Calibri" w:hAnsi="Calibri"/>
          <w:color w:val="202020"/>
        </w:rPr>
        <w:t>Every observed condition reaches an explicit final disposition.</w:t>
      </w:r>
    </w:p>
    <w:p>
      <w:pPr>
        <w:numPr>
          <w:ilvl w:val="0"/>
          <w:numId w:val="10"/>
        </w:numPr>
        <w:spacing w:after="160" w:line="280" w:lineRule="auto"/>
      </w:pPr>
      <w:r>
        <w:rPr>
          <w:rFonts w:ascii="Calibri" w:hAnsi="Calibri"/>
          <w:color w:val="202020"/>
        </w:rPr>
        <w:t>Evidence strength is derived from objective corroboration, not model-generated confidence.</w:t>
      </w:r>
    </w:p>
    <w:p>
      <w:pPr>
        <w:numPr>
          <w:ilvl w:val="0"/>
          <w:numId w:val="10"/>
        </w:numPr>
        <w:spacing w:after="160" w:line="280" w:lineRule="auto"/>
      </w:pPr>
      <w:r>
        <w:rPr>
          <w:rFonts w:ascii="Calibri" w:hAnsi="Calibri"/>
          <w:color w:val="202020"/>
        </w:rPr>
        <w:t>One physical condition produces one condition instance per relevant estimate unit, regardless of photo count.</w:t>
      </w:r>
    </w:p>
    <w:p>
      <w:pPr>
        <w:numPr>
          <w:ilvl w:val="0"/>
          <w:numId w:val="10"/>
        </w:numPr>
        <w:spacing w:after="160" w:line="280" w:lineRule="auto"/>
      </w:pPr>
      <w:r>
        <w:rPr>
          <w:rFonts w:ascii="Calibri" w:hAnsi="Calibri"/>
          <w:color w:val="202020"/>
        </w:rPr>
        <w:t>Every accepted condition maps to work, inspection, or an explicit no-action outcome.</w:t>
      </w:r>
    </w:p>
    <w:p>
      <w:pPr>
        <w:numPr>
          <w:ilvl w:val="0"/>
          <w:numId w:val="10"/>
        </w:numPr>
        <w:spacing w:after="160" w:line="280" w:lineRule="auto"/>
      </w:pPr>
      <w:r>
        <w:rPr>
          <w:rFonts w:ascii="Calibri" w:hAnsi="Calibri"/>
          <w:color w:val="202020"/>
        </w:rPr>
        <w:t>Package decisions affect bundling and allowances, not condition truth.</w:t>
      </w:r>
    </w:p>
    <w:p>
      <w:pPr>
        <w:numPr>
          <w:ilvl w:val="0"/>
          <w:numId w:val="10"/>
        </w:numPr>
        <w:spacing w:after="160" w:line="280" w:lineRule="auto"/>
      </w:pPr>
      <w:r>
        <w:rPr>
          <w:rFonts w:ascii="Calibri" w:hAnsi="Calibri"/>
          <w:color w:val="202020"/>
        </w:rPr>
        <w:t>Rejected or uncertain packages fall back to accepted child work rather than deleting it.</w:t>
      </w:r>
    </w:p>
    <w:p>
      <w:pPr>
        <w:numPr>
          <w:ilvl w:val="0"/>
          <w:numId w:val="10"/>
        </w:numPr>
        <w:spacing w:after="160" w:line="280" w:lineRule="auto"/>
      </w:pPr>
      <w:r>
        <w:rPr>
          <w:rFonts w:ascii="Calibri" w:hAnsi="Calibri"/>
          <w:color w:val="202020"/>
        </w:rPr>
        <w:t>Final totals reconcile without double counting between standalone work and approved packages.</w:t>
      </w:r>
    </w:p>
    <w:p>
      <w:pPr>
        <w:pStyle w:val="Heading1"/>
        <w:keepNext/>
      </w:pPr>
      <w:r>
        <w:t>Expected outcomes</w:t>
      </w:r>
    </w:p>
    <w:p>
      <w:pPr>
        <w:keepNext/>
        <w:numPr>
          <w:ilvl w:val="0"/>
          <w:numId w:val="10"/>
        </w:numPr>
        <w:spacing w:after="160" w:line="280" w:lineRule="auto"/>
      </w:pPr>
      <w:r>
        <w:rPr>
          <w:rFonts w:ascii="Calibri" w:hAnsi="Calibri"/>
          <w:color w:val="202020"/>
        </w:rPr>
        <w:t>Stronger hallucination control without relying on package rejection as the only safeguard.</w:t>
      </w:r>
    </w:p>
    <w:p>
      <w:pPr>
        <w:keepNext/>
        <w:numPr>
          <w:ilvl w:val="0"/>
          <w:numId w:val="10"/>
        </w:numPr>
        <w:spacing w:after="160" w:line="280" w:lineRule="auto"/>
      </w:pPr>
      <w:r>
        <w:rPr>
          <w:rFonts w:ascii="Calibri" w:hAnsi="Calibri"/>
          <w:color w:val="202020"/>
        </w:rPr>
        <w:t>More complete and explainable renovation scope, including work that does not form a package.</w:t>
      </w:r>
    </w:p>
    <w:p>
      <w:pPr>
        <w:keepNext/>
        <w:numPr>
          <w:ilvl w:val="0"/>
          <w:numId w:val="10"/>
        </w:numPr>
        <w:spacing w:after="160" w:line="280" w:lineRule="auto"/>
      </w:pPr>
      <w:r>
        <w:rPr>
          <w:rFonts w:ascii="Calibri" w:hAnsi="Calibri"/>
          <w:color w:val="202020"/>
        </w:rPr>
        <w:t>Lower sensitivity of final estimates to stochastic package-level model decisions.</w:t>
      </w:r>
    </w:p>
    <w:p>
      <w:pPr>
        <w:keepNext/>
        <w:numPr>
          <w:ilvl w:val="0"/>
          <w:numId w:val="10"/>
        </w:numPr>
        <w:spacing w:after="160" w:line="280" w:lineRule="auto"/>
      </w:pPr>
      <w:r>
        <w:rPr>
          <w:rFonts w:ascii="Calibri" w:hAnsi="Calibri"/>
          <w:color w:val="202020"/>
        </w:rPr>
        <w:t>Clearer separation between visible evidence, renovation judgment, and cost presentation.</w:t>
      </w:r>
    </w:p>
    <w:p>
      <w:pPr>
        <w:numPr>
          <w:ilvl w:val="0"/>
          <w:numId w:val="10"/>
        </w:numPr>
        <w:spacing w:after="160" w:line="280" w:lineRule="auto"/>
      </w:pPr>
      <w:r>
        <w:rPr>
          <w:rFonts w:ascii="Calibri" w:hAnsi="Calibri"/>
          <w:color w:val="202020"/>
        </w:rPr>
        <w:t>A practical foundation for improving quantity assumptions and cost ranges over time.</w:t>
      </w:r>
    </w:p>
    <w:p>
      <w:pPr>
        <w:pStyle w:val="Heading1"/>
        <w:keepNext/>
      </w:pPr>
      <w:r>
        <w:t>Limitations and non-goals</w:t>
      </w:r>
    </w:p>
    <w:p>
      <w:pPr>
        <w:spacing w:before="0" w:after="120" w:line="264" w:lineRule="auto"/>
      </w:pPr>
      <w:r>
        <w:rPr>
          <w:rFonts w:ascii="Calibri" w:hAnsi="Calibri"/>
          <w:i w:val="0"/>
          <w:color w:val="202020"/>
        </w:rPr>
        <w:t>The architecture is intended to produce a more accurate estimating-grade scope abstraction, not a contractor-ready bid. Photographs alone cannot reliably reveal hidden damage, precise dimensions, substrate conditions, local code requirements, access constraints, or contractor-specific minimums.</w:t>
      </w:r>
    </w:p>
    <w:p>
      <w:pPr>
        <w:numPr>
          <w:ilvl w:val="0"/>
          <w:numId w:val="10"/>
        </w:numPr>
        <w:spacing w:after="160" w:line="280" w:lineRule="auto"/>
      </w:pPr>
      <w:r>
        <w:rPr>
          <w:rFonts w:ascii="Calibri" w:hAnsi="Calibri"/>
          <w:color w:val="202020"/>
        </w:rPr>
        <w:t>It does not attempt to obtain reliable confidence percentages from an LLM.</w:t>
      </w:r>
    </w:p>
    <w:p>
      <w:pPr>
        <w:numPr>
          <w:ilvl w:val="0"/>
          <w:numId w:val="10"/>
        </w:numPr>
        <w:spacing w:after="160" w:line="280" w:lineRule="auto"/>
      </w:pPr>
      <w:r>
        <w:rPr>
          <w:rFonts w:ascii="Calibri" w:hAnsi="Calibri"/>
          <w:color w:val="202020"/>
        </w:rPr>
        <w:t>It does not assume every visible condition requires renovation work.</w:t>
      </w:r>
    </w:p>
    <w:p>
      <w:pPr>
        <w:numPr>
          <w:ilvl w:val="0"/>
          <w:numId w:val="10"/>
        </w:numPr>
        <w:spacing w:after="160" w:line="280" w:lineRule="auto"/>
      </w:pPr>
      <w:r>
        <w:rPr>
          <w:rFonts w:ascii="Calibri" w:hAnsi="Calibri"/>
          <w:color w:val="202020"/>
        </w:rPr>
        <w:t>It does not require precise labor-and-material assemblies before the scope model can improve.</w:t>
      </w:r>
    </w:p>
    <w:p>
      <w:pPr>
        <w:numPr>
          <w:ilvl w:val="0"/>
          <w:numId w:val="10"/>
        </w:numPr>
        <w:spacing w:after="160" w:line="280" w:lineRule="auto"/>
      </w:pPr>
      <w:r>
        <w:rPr>
          <w:rFonts w:ascii="Calibri" w:hAnsi="Calibri"/>
          <w:color w:val="202020"/>
        </w:rPr>
        <w:t>It does not eliminate allowances where the available evidence cannot support precise quantities.</w:t>
      </w:r>
    </w:p>
    <w:p>
      <w:pPr>
        <w:numPr>
          <w:ilvl w:val="0"/>
          <w:numId w:val="10"/>
        </w:numPr>
        <w:spacing w:after="160" w:line="280" w:lineRule="auto"/>
      </w:pPr>
      <w:r>
        <w:rPr>
          <w:rFonts w:ascii="Calibri" w:hAnsi="Calibri"/>
          <w:color w:val="202020"/>
        </w:rPr>
        <w:t>It does not remove Sol from the architecture; it concentrates Sol on package-level judgment where its broader reasoning is most useful.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1F4D78"/>
              </w:rPr>
              <w:t xml:space="preserve">Target state. </w:t>
            </w:r>
            <w:r>
              <w:rPr>
                <w:rFonts w:ascii="Calibri" w:hAnsi="Calibri"/>
                <w:color w:val="202020"/>
              </w:rPr>
              <w:t>A simple, auditable chain in which reviewed evidence becomes explicit renovation work, and coherent work becomes a package - without allowing package uncertainty to erase the underlying scope.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6666"/>
        <w:sz w:val="18"/>
      </w:rPr>
      <w:t xml:space="preserve">Draft for discussion  |  </w:t>
    </w:r>
    <w:r>
      <w:rPr>
        <w:rFonts w:ascii="Calibri" w:hAnsi="Calibri"/>
        <w:color w:val="66666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6666"/>
        <w:sz w:val="17"/>
      </w:rPr>
      <w:t>REVISED RENOVATION ARCHITECTURE  |  HIGH-LEVEL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b/>
      <w:i w:val="0"/>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b w:val="0"/>
      <w:i w:val="0"/>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Renovation Scope and Estimate Architecture</dc:title>
  <dc:subject>High-level conceptual architecture overview</dc:subject>
  <dc:creator>RealtorVision</dc:creator>
  <cp:keywords>renovation, architecture, condition review, work items, packages, estimates</cp:keywords>
  <dc:description>generated by python-docx</dc:description>
  <cp:lastModifiedBy/>
  <cp:revision>1</cp:revision>
  <dcterms:created xsi:type="dcterms:W3CDTF">2013-12-23T23:15:00Z</dcterms:created>
  <dcterms:modified xsi:type="dcterms:W3CDTF">2013-12-23T23:15:00Z</dcterms:modified>
  <cp:category/>
</cp:coreProperties>
</file>