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0"/>
        </w:rPr>
        <w:t>FAO-GREAT GREEN WALL / SAHEL</w:t>
      </w:r>
    </w:p>
    <w:p>
      <w:pPr>
        <w:pStyle w:val="Title"/>
      </w:pPr>
      <w:r>
        <w:t>RULEBOOK</w:t>
      </w:r>
    </w:p>
    <w:p>
      <w:pPr>
        <w:pStyle w:val="Subtitle"/>
      </w:pPr>
      <w:r>
        <w:t>Player-facing rules and quick reference</w:t>
      </w:r>
    </w:p>
    <w:p>
      <w:r>
        <w:t>VERSION 2.5  |  18 AUGUST 2026</w:t>
      </w:r>
    </w:p>
    <w:p>
      <w:pPr>
        <w:pStyle w:val="StatusLabel"/>
      </w:pPr>
      <w:r>
        <w:t>v2.5 | TTS HUMAN PLAYTEST CANDIDATE</w:t>
      </w:r>
    </w:p>
    <w:p>
      <w:r>
        <w:t>Consolidated after live Tabletop Simulator assembly; card production remains frozen at the named revisions.</w:t>
      </w:r>
    </w:p>
    <w:p>
      <w:pPr>
        <w:pStyle w:val="Heading1"/>
      </w:pPr>
      <w:r>
        <w:t>Document control</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vAlign w:val="center"/>
            <w:shd w:fill="DDE8E3"/>
          </w:tcPr>
          <w:p>
            <w:pPr>
              <w:spacing w:after="0"/>
            </w:pPr>
            <w:r/>
            <w:r>
              <w:rPr>
                <w:b/>
              </w:rPr>
              <w:t>Field</w:t>
            </w:r>
          </w:p>
        </w:tc>
        <w:tc>
          <w:tcPr>
            <w:tcW w:type="dxa" w:w="5128"/>
            <w:vAlign w:val="center"/>
            <w:shd w:fill="DDE8E3"/>
          </w:tcPr>
          <w:p>
            <w:pPr>
              <w:spacing w:after="0"/>
            </w:pPr>
            <w:r/>
            <w:r>
              <w:rPr>
                <w:b/>
              </w:rPr>
              <w:t>Value</w:t>
            </w:r>
          </w:p>
        </w:tc>
      </w:tr>
      <w:tr>
        <w:tc>
          <w:tcPr>
            <w:tcW w:type="dxa" w:w="5128"/>
            <w:vAlign w:val="center"/>
          </w:tcPr>
          <w:p>
            <w:pPr>
              <w:spacing w:after="0"/>
            </w:pPr>
            <w:r/>
            <w:r>
              <w:rPr>
                <w:b/>
              </w:rPr>
              <w:t>Version</w:t>
            </w:r>
          </w:p>
        </w:tc>
        <w:tc>
          <w:tcPr>
            <w:tcW w:type="dxa" w:w="5128"/>
            <w:vAlign w:val="center"/>
          </w:tcPr>
          <w:p>
            <w:pPr>
              <w:spacing w:after="0"/>
            </w:pPr>
            <w:r/>
            <w:r>
              <w:rPr>
                <w:b w:val="0"/>
              </w:rPr>
              <w:t>2.5</w:t>
            </w:r>
          </w:p>
        </w:tc>
      </w:tr>
      <w:tr>
        <w:tc>
          <w:tcPr>
            <w:tcW w:type="dxa" w:w="5128"/>
            <w:vAlign w:val="center"/>
          </w:tcPr>
          <w:p>
            <w:pPr>
              <w:spacing w:after="0"/>
            </w:pPr>
            <w:r/>
            <w:r>
              <w:rPr>
                <w:b/>
              </w:rPr>
              <w:t>Status</w:t>
            </w:r>
          </w:p>
        </w:tc>
        <w:tc>
          <w:tcPr>
            <w:tcW w:type="dxa" w:w="5128"/>
            <w:vAlign w:val="center"/>
          </w:tcPr>
          <w:p>
            <w:pPr>
              <w:spacing w:after="0"/>
            </w:pPr>
            <w:r/>
            <w:r>
              <w:rPr>
                <w:b w:val="0"/>
              </w:rPr>
              <w:t>TTS HUMAN PLAYTEST CANDIDATE</w:t>
            </w:r>
          </w:p>
        </w:tc>
      </w:tr>
      <w:tr>
        <w:tc>
          <w:tcPr>
            <w:tcW w:type="dxa" w:w="5128"/>
            <w:vAlign w:val="center"/>
          </w:tcPr>
          <w:p>
            <w:pPr>
              <w:spacing w:after="0"/>
            </w:pPr>
            <w:r/>
            <w:r>
              <w:rPr>
                <w:b/>
              </w:rPr>
              <w:t>Purpose</w:t>
            </w:r>
          </w:p>
        </w:tc>
        <w:tc>
          <w:tcPr>
            <w:tcW w:type="dxa" w:w="5128"/>
            <w:vAlign w:val="center"/>
          </w:tcPr>
          <w:p>
            <w:pPr>
              <w:spacing w:after="0"/>
            </w:pPr>
            <w:r/>
            <w:r>
              <w:rPr>
                <w:b w:val="0"/>
              </w:rPr>
              <w:t>Complete operating rules for the v2.5 Human Playtest Candidate.</w:t>
            </w:r>
          </w:p>
        </w:tc>
      </w:tr>
      <w:tr>
        <w:tc>
          <w:tcPr>
            <w:tcW w:type="dxa" w:w="5128"/>
            <w:vAlign w:val="center"/>
          </w:tcPr>
          <w:p>
            <w:pPr>
              <w:spacing w:after="0"/>
            </w:pPr>
            <w:r/>
            <w:r>
              <w:rPr>
                <w:b/>
              </w:rPr>
              <w:t>Authority</w:t>
            </w:r>
          </w:p>
        </w:tc>
        <w:tc>
          <w:tcPr>
            <w:tcW w:type="dxa" w:w="5128"/>
            <w:vAlign w:val="center"/>
          </w:tcPr>
          <w:p>
            <w:pPr>
              <w:spacing w:after="0"/>
            </w:pPr>
            <w:r/>
            <w:r>
              <w:rPr>
                <w:b w:val="0"/>
              </w:rPr>
              <w:t>v2.5 Master GDD + canonical card sources + approved rulings.</w:t>
            </w:r>
          </w:p>
        </w:tc>
      </w:tr>
      <w:tr>
        <w:tc>
          <w:tcPr>
            <w:tcW w:type="dxa" w:w="5128"/>
            <w:vAlign w:val="center"/>
          </w:tcPr>
          <w:p>
            <w:pPr>
              <w:spacing w:after="0"/>
            </w:pPr>
            <w:r/>
            <w:r>
              <w:rPr>
                <w:b/>
              </w:rPr>
              <w:t>Scope boundary</w:t>
            </w:r>
          </w:p>
        </w:tc>
        <w:tc>
          <w:tcPr>
            <w:tcW w:type="dxa" w:w="5128"/>
            <w:vAlign w:val="center"/>
          </w:tcPr>
          <w:p>
            <w:pPr>
              <w:spacing w:after="0"/>
            </w:pPr>
            <w:r/>
            <w:r>
              <w:rPr>
                <w:b w:val="0"/>
              </w:rPr>
              <w:t>Specific card text may create explicit exceptions.</w:t>
            </w:r>
          </w:p>
        </w:tc>
      </w:tr>
      <w:tr>
        <w:tc>
          <w:tcPr>
            <w:tcW w:type="dxa" w:w="5128"/>
            <w:vAlign w:val="center"/>
          </w:tcPr>
          <w:p>
            <w:pPr>
              <w:spacing w:after="0"/>
            </w:pPr>
            <w:r/>
            <w:r>
              <w:rPr>
                <w:b/>
              </w:rPr>
              <w:t>Empirical status</w:t>
            </w:r>
          </w:p>
        </w:tc>
        <w:tc>
          <w:tcPr>
            <w:tcW w:type="dxa" w:w="5128"/>
            <w:vAlign w:val="center"/>
          </w:tcPr>
          <w:p>
            <w:pPr>
              <w:spacing w:after="0"/>
            </w:pPr>
            <w:r/>
            <w:r>
              <w:rPr>
                <w:b w:val="0"/>
              </w:rPr>
              <w:t>TTS build exists; full Y1-Y4 integrated playtest pending.</w:t>
            </w:r>
          </w:p>
        </w:tc>
      </w:tr>
    </w:tbl>
    <w:p>
      <w:pPr>
        <w:pStyle w:val="Heading1"/>
      </w:pPr>
      <w:r>
        <w:t>1. Game at a glance</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vAlign w:val="center"/>
            <w:shd w:fill="DDE8E3"/>
          </w:tcPr>
          <w:p>
            <w:pPr>
              <w:spacing w:after="0"/>
            </w:pPr>
            <w:r/>
            <w:r>
              <w:rPr>
                <w:b/>
              </w:rPr>
              <w:t>Field</w:t>
            </w:r>
          </w:p>
        </w:tc>
        <w:tc>
          <w:tcPr>
            <w:tcW w:type="dxa" w:w="5128"/>
            <w:vAlign w:val="center"/>
            <w:shd w:fill="DDE8E3"/>
          </w:tcPr>
          <w:p>
            <w:pPr>
              <w:spacing w:after="0"/>
            </w:pPr>
            <w:r/>
            <w:r>
              <w:rPr>
                <w:b/>
              </w:rPr>
              <w:t>Rule</w:t>
            </w:r>
          </w:p>
        </w:tc>
      </w:tr>
      <w:tr>
        <w:tc>
          <w:tcPr>
            <w:tcW w:type="dxa" w:w="5128"/>
            <w:vAlign w:val="center"/>
          </w:tcPr>
          <w:p>
            <w:pPr>
              <w:spacing w:after="0"/>
            </w:pPr>
            <w:r/>
            <w:r>
              <w:rPr>
                <w:b w:val="0"/>
              </w:rPr>
              <w:t>Players</w:t>
            </w:r>
          </w:p>
        </w:tc>
        <w:tc>
          <w:tcPr>
            <w:tcW w:type="dxa" w:w="5128"/>
            <w:vAlign w:val="center"/>
          </w:tcPr>
          <w:p>
            <w:pPr>
              <w:spacing w:after="0"/>
            </w:pPr>
            <w:r/>
            <w:r>
              <w:rPr>
                <w:b w:val="0"/>
              </w:rPr>
              <w:t>Five actors: GOV, FAO, GMV, AGR, PAS.</w:t>
            </w:r>
          </w:p>
        </w:tc>
      </w:tr>
      <w:tr>
        <w:tc>
          <w:tcPr>
            <w:tcW w:type="dxa" w:w="5128"/>
            <w:vAlign w:val="center"/>
          </w:tcPr>
          <w:p>
            <w:pPr>
              <w:spacing w:after="0"/>
            </w:pPr>
            <w:r/>
            <w:r>
              <w:rPr>
                <w:b w:val="0"/>
              </w:rPr>
              <w:t>Length</w:t>
            </w:r>
          </w:p>
        </w:tc>
        <w:tc>
          <w:tcPr>
            <w:tcW w:type="dxa" w:w="5128"/>
            <w:vAlign w:val="center"/>
          </w:tcPr>
          <w:p>
            <w:pPr>
              <w:spacing w:after="0"/>
            </w:pPr>
            <w:r/>
            <w:r>
              <w:rPr>
                <w:b w:val="0"/>
              </w:rPr>
              <w:t>4 years x 6 bimonthly seasons = 24 seasons.</w:t>
            </w:r>
          </w:p>
        </w:tc>
      </w:tr>
      <w:tr>
        <w:tc>
          <w:tcPr>
            <w:tcW w:type="dxa" w:w="5128"/>
            <w:vAlign w:val="center"/>
          </w:tcPr>
          <w:p>
            <w:pPr>
              <w:spacing w:after="0"/>
            </w:pPr>
            <w:r/>
            <w:r>
              <w:rPr>
                <w:b w:val="0"/>
              </w:rPr>
              <w:t>Cycle order</w:t>
            </w:r>
          </w:p>
        </w:tc>
        <w:tc>
          <w:tcPr>
            <w:tcW w:type="dxa" w:w="5128"/>
            <w:vAlign w:val="center"/>
          </w:tcPr>
          <w:p>
            <w:pPr>
              <w:spacing w:after="0"/>
            </w:pPr>
            <w:r/>
            <w:r>
              <w:rPr>
                <w:b w:val="0"/>
              </w:rPr>
              <w:t>Negotiation Window -&gt; GOV -&gt; FAO -&gt; GMV -&gt; AGR -&gt; PAS.</w:t>
            </w:r>
          </w:p>
        </w:tc>
      </w:tr>
      <w:tr>
        <w:tc>
          <w:tcPr>
            <w:tcW w:type="dxa" w:w="5128"/>
            <w:vAlign w:val="center"/>
          </w:tcPr>
          <w:p>
            <w:pPr>
              <w:spacing w:after="0"/>
            </w:pPr>
            <w:r/>
            <w:r>
              <w:rPr>
                <w:b w:val="0"/>
              </w:rPr>
              <w:t>Action allowance</w:t>
            </w:r>
          </w:p>
        </w:tc>
        <w:tc>
          <w:tcPr>
            <w:tcW w:type="dxa" w:w="5128"/>
            <w:vAlign w:val="center"/>
          </w:tcPr>
          <w:p>
            <w:pPr>
              <w:spacing w:after="0"/>
            </w:pPr>
            <w:r/>
            <w:r>
              <w:rPr>
                <w:b w:val="0"/>
              </w:rPr>
              <w:t>One normal action or pass per actor per actor cycle.</w:t>
            </w:r>
          </w:p>
        </w:tc>
      </w:tr>
      <w:tr>
        <w:tc>
          <w:tcPr>
            <w:tcW w:type="dxa" w:w="5128"/>
            <w:vAlign w:val="center"/>
          </w:tcPr>
          <w:p>
            <w:pPr>
              <w:spacing w:after="0"/>
            </w:pPr>
            <w:r/>
            <w:r>
              <w:rPr>
                <w:b w:val="0"/>
              </w:rPr>
              <w:t>Personal objective</w:t>
            </w:r>
          </w:p>
        </w:tc>
        <w:tc>
          <w:tcPr>
            <w:tcW w:type="dxa" w:w="5128"/>
            <w:vAlign w:val="center"/>
          </w:tcPr>
          <w:p>
            <w:pPr>
              <w:spacing w:after="0"/>
            </w:pPr>
            <w:r/>
            <w:r>
              <w:rPr>
                <w:b w:val="0"/>
              </w:rPr>
              <w:t>One Secret Mission, hidden until Final Resolution.</w:t>
            </w:r>
          </w:p>
        </w:tc>
      </w:tr>
      <w:tr>
        <w:tc>
          <w:tcPr>
            <w:tcW w:type="dxa" w:w="5128"/>
            <w:vAlign w:val="center"/>
          </w:tcPr>
          <w:p>
            <w:pPr>
              <w:spacing w:after="0"/>
            </w:pPr>
            <w:r/>
            <w:r>
              <w:rPr>
                <w:b w:val="0"/>
              </w:rPr>
              <w:t>Victory</w:t>
            </w:r>
          </w:p>
        </w:tc>
        <w:tc>
          <w:tcPr>
            <w:tcW w:type="dxa" w:w="5128"/>
            <w:vAlign w:val="center"/>
          </w:tcPr>
          <w:p>
            <w:pPr>
              <w:spacing w:after="0"/>
            </w:pPr>
            <w:r/>
            <w:r>
              <w:rPr>
                <w:b w:val="0"/>
              </w:rPr>
              <w:t>Meet an eligible Victory Path; compare eligible scores only; equal highest scores are Joint Winners.</w:t>
            </w:r>
          </w:p>
        </w:tc>
      </w:tr>
    </w:tbl>
    <w:p>
      <w:pPr>
        <w:pStyle w:val="Heading1"/>
      </w:pPr>
      <w:r>
        <w:t>2. Fresh-session setup</w:t>
      </w:r>
    </w:p>
    <w:p>
      <w:pPr>
        <w:pStyle w:val="ListNumber"/>
      </w:pPr>
      <w:r>
        <w:t>Place the Common Board and five Actor Mats. Place all 30 Operational Presences in actor reserves, six per actor.</w:t>
      </w:r>
    </w:p>
    <w:p>
      <w:pPr>
        <w:pStyle w:val="ListNumber"/>
      </w:pPr>
      <w:r>
        <w:t>Place six Herds in CW, SW, CC, SC, CE and SE. North starts empty.</w:t>
      </w:r>
    </w:p>
    <w:p>
      <w:pPr>
        <w:pStyle w:val="ListNumber"/>
      </w:pPr>
      <w:r>
        <w:t>Give Funds/Capacity: GOV 2/3; FAO 2/2; GMV 2/3; AGR 1/2; PAS 1/2.</w:t>
      </w:r>
    </w:p>
    <w:p>
      <w:pPr>
        <w:pStyle w:val="ListNumber"/>
      </w:pPr>
      <w:r>
        <w:t>Give starting stock: FAO Protected Seed 2 + Feed 2 + Veterinary 2; AGR Protected Seed 2; PAS Protected Feed 2 + Veterinary 2.</w:t>
      </w:r>
    </w:p>
    <w:p>
      <w:pPr>
        <w:pStyle w:val="ListNumber"/>
      </w:pPr>
      <w:r>
        <w:t>Place General Resource Reserve: Seed 12, Feed 10, Veterinary 10. Place Common Water Reserve: Water 18.</w:t>
      </w:r>
    </w:p>
    <w:p>
      <w:pPr>
        <w:pStyle w:val="ListNumber"/>
      </w:pPr>
      <w:r>
        <w:t>Place Expiry 10, INACTIVE 8, Preventive Maintain 1, GOV Delimitation 19, Project Milestone 15, Project Support 15, Institutional Strengthening 4, Water Asset State Blocks 6 and Restoration State Blocks 13 in their current reserves.</w:t>
      </w:r>
    </w:p>
    <w:p>
      <w:pPr>
        <w:pStyle w:val="ListNumber"/>
      </w:pPr>
      <w:r>
        <w:t>Prepare Progress in canonical order and the six AGRHYMET/CILSS seasonal mini-decks JF, MA, MJ, JA, SO and ND.</w:t>
      </w:r>
    </w:p>
    <w:p>
      <w:pPr>
        <w:pStyle w:val="Heading1"/>
      </w:pPr>
      <w:r>
        <w:t>3. Card setup</w:t>
      </w:r>
    </w:p>
    <w:p>
      <w:pPr>
        <w:pStyle w:val="ListNumber"/>
      </w:pPr>
      <w:r>
        <w:t>Shuffle the 75-card Intervention deck. Leave Visible Discard and Covered Discard empty.</w:t>
      </w:r>
    </w:p>
    <w:p>
      <w:pPr>
        <w:pStyle w:val="ListNumber"/>
      </w:pPr>
      <w:r>
        <w:t>Each actor draws 4 Interventions privately, keeps 3 and returns 1 face down. Shuffle all five returns back into the common deck.</w:t>
      </w:r>
    </w:p>
    <w:p>
      <w:pPr>
        <w:pStyle w:val="ListNumber"/>
      </w:pPr>
      <w:r>
        <w:t>Each actor shuffles its own five Projects, draws 3, keeps 2 privately and removes the third from play. The two candidates remain available through Year 1.</w:t>
      </w:r>
    </w:p>
    <w:p>
      <w:pPr>
        <w:pStyle w:val="ListNumber"/>
      </w:pPr>
      <w:r>
        <w:t>Each actor shuffles its own five Secret Missions, takes 1 random card face down into its TTS Hidden Zone and removes the other four from play.</w:t>
      </w:r>
    </w:p>
    <w:p>
      <w:pPr>
        <w:pStyle w:val="ListNumber"/>
      </w:pPr>
      <w:r>
        <w:t>Use Y1 JANUARY-FEBRUARY as the Progress preview for Initial Preparation. In a fresh session ACTIVE PROGRESS remains empty until the Initial Preparation cycle ends.</w:t>
      </w:r>
    </w:p>
    <w:p>
      <w:pPr>
        <w:pStyle w:val="Heading1"/>
      </w:pPr>
      <w:r>
        <w:t>4. Initial Preparation cycle</w:t>
      </w:r>
    </w:p>
    <w:p>
      <w:r>
        <w:t>Run one pre-game Negotiation Window, then GOV -&gt; FAO -&gt; GMV -&gt; AGR -&gt; PAS. Each actor performs one legal normal action or passes using starting resources. This cycle grants no automatic recovery or replenishment. After PAS, move Y1 JANUARY-FEBRUARY into ACTIVE PROGRESS and expose Y1 MARCH-APRIL on top of the Progress Deck.</w:t>
      </w:r>
    </w:p>
    <w:p>
      <w:pPr>
        <w:pStyle w:val="Heading1"/>
      </w:pPr>
      <w:r>
        <w:t>5. Season Opening</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vAlign w:val="center"/>
            <w:shd w:fill="DDE8E3"/>
          </w:tcPr>
          <w:p>
            <w:pPr>
              <w:spacing w:after="0"/>
            </w:pPr>
            <w:r/>
            <w:r>
              <w:rPr>
                <w:b/>
              </w:rPr>
              <w:t>Order</w:t>
            </w:r>
          </w:p>
        </w:tc>
        <w:tc>
          <w:tcPr>
            <w:tcW w:type="dxa" w:w="3419"/>
            <w:vAlign w:val="center"/>
            <w:shd w:fill="DDE8E3"/>
          </w:tcPr>
          <w:p>
            <w:pPr>
              <w:spacing w:after="0"/>
            </w:pPr>
            <w:r/>
            <w:r>
              <w:rPr>
                <w:b/>
              </w:rPr>
              <w:t>Step</w:t>
            </w:r>
          </w:p>
        </w:tc>
        <w:tc>
          <w:tcPr>
            <w:tcW w:type="dxa" w:w="3419"/>
            <w:vAlign w:val="center"/>
            <w:shd w:fill="DDE8E3"/>
          </w:tcPr>
          <w:p>
            <w:pPr>
              <w:spacing w:after="0"/>
            </w:pPr>
            <w:r/>
            <w:r>
              <w:rPr>
                <w:b/>
              </w:rPr>
              <w:t>Procedure</w:t>
            </w:r>
          </w:p>
        </w:tc>
      </w:tr>
      <w:tr>
        <w:tc>
          <w:tcPr>
            <w:tcW w:type="dxa" w:w="3419"/>
            <w:vAlign w:val="center"/>
          </w:tcPr>
          <w:p>
            <w:pPr>
              <w:spacing w:after="0"/>
            </w:pPr>
            <w:r/>
            <w:r>
              <w:rPr>
                <w:b w:val="0"/>
              </w:rPr>
              <w:t>1</w:t>
            </w:r>
          </w:p>
        </w:tc>
        <w:tc>
          <w:tcPr>
            <w:tcW w:type="dxa" w:w="3419"/>
            <w:vAlign w:val="center"/>
          </w:tcPr>
          <w:p>
            <w:pPr>
              <w:spacing w:after="0"/>
            </w:pPr>
            <w:r/>
            <w:r>
              <w:rPr>
                <w:b w:val="0"/>
              </w:rPr>
              <w:t>ACTIVATE / CONFIRM PROGRESS</w:t>
            </w:r>
          </w:p>
        </w:tc>
        <w:tc>
          <w:tcPr>
            <w:tcW w:type="dxa" w:w="3419"/>
            <w:vAlign w:val="center"/>
          </w:tcPr>
          <w:p>
            <w:pPr>
              <w:spacing w:after="0"/>
            </w:pPr>
            <w:r/>
            <w:r>
              <w:rPr>
                <w:b w:val="0"/>
              </w:rPr>
              <w:t>Move/confirm the current Progress card in ACTIVE PROGRESS and apply its printed opening text.</w:t>
            </w:r>
          </w:p>
        </w:tc>
      </w:tr>
      <w:tr>
        <w:tc>
          <w:tcPr>
            <w:tcW w:type="dxa" w:w="3419"/>
            <w:vAlign w:val="center"/>
          </w:tcPr>
          <w:p>
            <w:pPr>
              <w:spacing w:after="0"/>
            </w:pPr>
            <w:r/>
            <w:r>
              <w:rPr>
                <w:b w:val="0"/>
              </w:rPr>
              <w:t>2</w:t>
            </w:r>
          </w:p>
        </w:tc>
        <w:tc>
          <w:tcPr>
            <w:tcW w:type="dxa" w:w="3419"/>
            <w:vAlign w:val="center"/>
          </w:tcPr>
          <w:p>
            <w:pPr>
              <w:spacing w:after="0"/>
            </w:pPr>
            <w:r/>
            <w:r>
              <w:rPr>
                <w:b w:val="0"/>
              </w:rPr>
              <w:t>RECOVER ORDINARY CAPACITY</w:t>
            </w:r>
          </w:p>
        </w:tc>
        <w:tc>
          <w:tcPr>
            <w:tcW w:type="dxa" w:w="3419"/>
            <w:vAlign w:val="center"/>
          </w:tcPr>
          <w:p>
            <w:pPr>
              <w:spacing w:after="0"/>
            </w:pPr>
            <w:r/>
            <w:r>
              <w:rPr>
                <w:b w:val="0"/>
              </w:rPr>
              <w:t>Return ordinary paid Capacity. Preserve YEAR END, annual or effect-based commitments.</w:t>
            </w:r>
          </w:p>
        </w:tc>
      </w:tr>
      <w:tr>
        <w:tc>
          <w:tcPr>
            <w:tcW w:type="dxa" w:w="3419"/>
            <w:vAlign w:val="center"/>
          </w:tcPr>
          <w:p>
            <w:pPr>
              <w:spacing w:after="0"/>
            </w:pPr>
            <w:r/>
            <w:r>
              <w:rPr>
                <w:b w:val="0"/>
              </w:rPr>
              <w:t>3</w:t>
            </w:r>
          </w:p>
        </w:tc>
        <w:tc>
          <w:tcPr>
            <w:tcW w:type="dxa" w:w="3419"/>
            <w:vAlign w:val="center"/>
          </w:tcPr>
          <w:p>
            <w:pPr>
              <w:spacing w:after="0"/>
            </w:pPr>
            <w:r/>
            <w:r>
              <w:rPr>
                <w:b w:val="0"/>
              </w:rPr>
              <w:t>ACTIVATE NEXT SEASON OUTPUTS</w:t>
            </w:r>
          </w:p>
        </w:tc>
        <w:tc>
          <w:tcPr>
            <w:tcW w:type="dxa" w:w="3419"/>
            <w:vAlign w:val="center"/>
          </w:tcPr>
          <w:p>
            <w:pPr>
              <w:spacing w:after="0"/>
            </w:pPr>
            <w:r/>
            <w:r>
              <w:rPr>
                <w:b w:val="0"/>
              </w:rPr>
              <w:t>Resolve legal delayed outputs.</w:t>
            </w:r>
          </w:p>
        </w:tc>
      </w:tr>
      <w:tr>
        <w:tc>
          <w:tcPr>
            <w:tcW w:type="dxa" w:w="3419"/>
            <w:vAlign w:val="center"/>
          </w:tcPr>
          <w:p>
            <w:pPr>
              <w:spacing w:after="0"/>
            </w:pPr>
            <w:r/>
            <w:r>
              <w:rPr>
                <w:b w:val="0"/>
              </w:rPr>
              <w:t>4</w:t>
            </w:r>
          </w:p>
        </w:tc>
        <w:tc>
          <w:tcPr>
            <w:tcW w:type="dxa" w:w="3419"/>
            <w:vAlign w:val="center"/>
          </w:tcPr>
          <w:p>
            <w:pPr>
              <w:spacing w:after="0"/>
            </w:pPr>
            <w:r/>
            <w:r>
              <w:rPr>
                <w:b w:val="0"/>
              </w:rPr>
              <w:t>ROTATE ELIGIBLE STATE BLOCKS</w:t>
            </w:r>
          </w:p>
        </w:tc>
        <w:tc>
          <w:tcPr>
            <w:tcW w:type="dxa" w:w="3419"/>
            <w:vAlign w:val="center"/>
          </w:tcPr>
          <w:p>
            <w:pPr>
              <w:spacing w:after="0"/>
            </w:pPr>
            <w:r/>
            <w:r>
              <w:rPr>
                <w:b w:val="0"/>
              </w:rPr>
              <w:t>Resolve WAIT faces before Water generation.</w:t>
            </w:r>
          </w:p>
        </w:tc>
      </w:tr>
      <w:tr>
        <w:tc>
          <w:tcPr>
            <w:tcW w:type="dxa" w:w="3419"/>
            <w:vAlign w:val="center"/>
          </w:tcPr>
          <w:p>
            <w:pPr>
              <w:spacing w:after="0"/>
            </w:pPr>
            <w:r/>
            <w:r>
              <w:rPr>
                <w:b w:val="0"/>
              </w:rPr>
              <w:t>5</w:t>
            </w:r>
          </w:p>
        </w:tc>
        <w:tc>
          <w:tcPr>
            <w:tcW w:type="dxa" w:w="3419"/>
            <w:vAlign w:val="center"/>
          </w:tcPr>
          <w:p>
            <w:pPr>
              <w:spacing w:after="0"/>
            </w:pPr>
            <w:r/>
            <w:r>
              <w:rPr>
                <w:b w:val="0"/>
              </w:rPr>
              <w:t>PAS STOCK TRANSFER</w:t>
            </w:r>
          </w:p>
        </w:tc>
        <w:tc>
          <w:tcPr>
            <w:tcW w:type="dxa" w:w="3419"/>
            <w:vAlign w:val="center"/>
          </w:tcPr>
          <w:p>
            <w:pPr>
              <w:spacing w:after="0"/>
            </w:pPr>
            <w:r/>
            <w:r>
              <w:rPr>
                <w:b w:val="0"/>
              </w:rPr>
              <w:t>Protected Feed/Veterinary -&gt; matching Deployable compartments, subject to type capacity.</w:t>
            </w:r>
          </w:p>
        </w:tc>
      </w:tr>
      <w:tr>
        <w:tc>
          <w:tcPr>
            <w:tcW w:type="dxa" w:w="3419"/>
            <w:vAlign w:val="center"/>
          </w:tcPr>
          <w:p>
            <w:pPr>
              <w:spacing w:after="0"/>
            </w:pPr>
            <w:r/>
            <w:r>
              <w:rPr>
                <w:b w:val="0"/>
              </w:rPr>
              <w:t>6</w:t>
            </w:r>
          </w:p>
        </w:tc>
        <w:tc>
          <w:tcPr>
            <w:tcW w:type="dxa" w:w="3419"/>
            <w:vAlign w:val="center"/>
          </w:tcPr>
          <w:p>
            <w:pPr>
              <w:spacing w:after="0"/>
            </w:pPr>
            <w:r/>
            <w:r>
              <w:rPr>
                <w:b w:val="0"/>
              </w:rPr>
              <w:t>REPLENISH FUNDS</w:t>
            </w:r>
          </w:p>
        </w:tc>
        <w:tc>
          <w:tcPr>
            <w:tcW w:type="dxa" w:w="3419"/>
            <w:vAlign w:val="center"/>
          </w:tcPr>
          <w:p>
            <w:pPr>
              <w:spacing w:after="0"/>
            </w:pPr>
            <w:r/>
            <w:r>
              <w:rPr>
                <w:b w:val="0"/>
              </w:rPr>
              <w:t>GOV +1; FAO +1; GMV +1; AGR +0; PAS +0.</w:t>
            </w:r>
          </w:p>
        </w:tc>
      </w:tr>
      <w:tr>
        <w:tc>
          <w:tcPr>
            <w:tcW w:type="dxa" w:w="3419"/>
            <w:vAlign w:val="center"/>
          </w:tcPr>
          <w:p>
            <w:pPr>
              <w:spacing w:after="0"/>
            </w:pPr>
            <w:r/>
            <w:r>
              <w:rPr>
                <w:b w:val="0"/>
              </w:rPr>
              <w:t>7</w:t>
            </w:r>
          </w:p>
        </w:tc>
        <w:tc>
          <w:tcPr>
            <w:tcW w:type="dxa" w:w="3419"/>
            <w:vAlign w:val="center"/>
          </w:tcPr>
          <w:p>
            <w:pPr>
              <w:spacing w:after="0"/>
            </w:pPr>
            <w:r/>
            <w:r>
              <w:rPr>
                <w:b w:val="0"/>
              </w:rPr>
              <w:t>RESET ONCE-PER-SEASON BENEFITS</w:t>
            </w:r>
          </w:p>
        </w:tc>
        <w:tc>
          <w:tcPr>
            <w:tcW w:type="dxa" w:w="3419"/>
            <w:vAlign w:val="center"/>
          </w:tcPr>
          <w:p>
            <w:pPr>
              <w:spacing w:after="0"/>
            </w:pPr>
            <w:r/>
            <w:r>
              <w:rPr>
                <w:b w:val="0"/>
              </w:rPr>
              <w:t>Reset eligible READY/USED seasonal benefits, including Strengthening states where applicable.</w:t>
            </w:r>
          </w:p>
        </w:tc>
      </w:tr>
      <w:tr>
        <w:tc>
          <w:tcPr>
            <w:tcW w:type="dxa" w:w="3419"/>
            <w:vAlign w:val="center"/>
          </w:tcPr>
          <w:p>
            <w:pPr>
              <w:spacing w:after="0"/>
            </w:pPr>
            <w:r/>
            <w:r>
              <w:rPr>
                <w:b w:val="0"/>
              </w:rPr>
              <w:t>8</w:t>
            </w:r>
          </w:p>
        </w:tc>
        <w:tc>
          <w:tcPr>
            <w:tcW w:type="dxa" w:w="3419"/>
            <w:vAlign w:val="center"/>
          </w:tcPr>
          <w:p>
            <w:pPr>
              <w:spacing w:after="0"/>
            </w:pPr>
            <w:r/>
            <w:r>
              <w:rPr>
                <w:b w:val="0"/>
              </w:rPr>
              <w:t>GENERATE COMMON WATER</w:t>
            </w:r>
          </w:p>
        </w:tc>
        <w:tc>
          <w:tcPr>
            <w:tcW w:type="dxa" w:w="3419"/>
            <w:vAlign w:val="center"/>
          </w:tcPr>
          <w:p>
            <w:pPr>
              <w:spacing w:after="0"/>
            </w:pPr>
            <w:r/>
            <w:r>
              <w:rPr>
                <w:b w:val="0"/>
              </w:rPr>
              <w:t>Natural Water Point 1; ACTIVE 2 total 2; ACTIVE 3 total 3; INACTIVE asset still total 1, modified only by active effects.</w:t>
            </w:r>
          </w:p>
        </w:tc>
      </w:tr>
    </w:tbl>
    <w:p>
      <w:pPr>
        <w:pStyle w:val="Heading1"/>
      </w:pPr>
      <w:r>
        <w:t>6. AGRHYMET/CILSS seasonal load</w:t>
      </w:r>
    </w:p>
    <w:tbl>
      <w:tblPr>
        <w:tblStyle w:val="TableGrid"/>
        <w:tblW w:type="auto" w:w="0"/>
        <w:jc w:val="center"/>
        <w:tblLook w:firstColumn="1" w:firstRow="1" w:lastColumn="0" w:lastRow="0" w:noHBand="0" w:noVBand="1" w:val="04A0"/>
      </w:tblPr>
      <w:tblGrid>
        <w:gridCol w:w="3419"/>
        <w:gridCol w:w="3419"/>
        <w:gridCol w:w="3419"/>
      </w:tblGrid>
      <w:tr>
        <w:trPr>
          <w:tblHeader w:val="true"/>
        </w:trPr>
        <w:tc>
          <w:tcPr>
            <w:tcW w:type="dxa" w:w="3419"/>
            <w:vAlign w:val="center"/>
            <w:shd w:fill="DDE8E3"/>
          </w:tcPr>
          <w:p>
            <w:pPr>
              <w:spacing w:after="0"/>
            </w:pPr>
            <w:r/>
            <w:r>
              <w:rPr>
                <w:b/>
              </w:rPr>
              <w:t>Year</w:t>
            </w:r>
          </w:p>
        </w:tc>
        <w:tc>
          <w:tcPr>
            <w:tcW w:type="dxa" w:w="3419"/>
            <w:vAlign w:val="center"/>
            <w:shd w:fill="DDE8E3"/>
          </w:tcPr>
          <w:p>
            <w:pPr>
              <w:spacing w:after="0"/>
            </w:pPr>
            <w:r/>
            <w:r>
              <w:rPr>
                <w:b/>
              </w:rPr>
              <w:t>Pairs</w:t>
            </w:r>
          </w:p>
        </w:tc>
        <w:tc>
          <w:tcPr>
            <w:tcW w:type="dxa" w:w="3419"/>
            <w:vAlign w:val="center"/>
            <w:shd w:fill="DDE8E3"/>
          </w:tcPr>
          <w:p>
            <w:pPr>
              <w:spacing w:after="0"/>
            </w:pPr>
            <w:r/>
            <w:r>
              <w:rPr>
                <w:b/>
              </w:rPr>
              <w:t>Procedure</w:t>
            </w:r>
          </w:p>
        </w:tc>
      </w:tr>
      <w:tr>
        <w:tc>
          <w:tcPr>
            <w:tcW w:type="dxa" w:w="3419"/>
            <w:vAlign w:val="center"/>
          </w:tcPr>
          <w:p>
            <w:pPr>
              <w:spacing w:after="0"/>
            </w:pPr>
            <w:r/>
            <w:r>
              <w:rPr>
                <w:b w:val="0"/>
              </w:rPr>
              <w:t>Y1</w:t>
            </w:r>
          </w:p>
        </w:tc>
        <w:tc>
          <w:tcPr>
            <w:tcW w:type="dxa" w:w="3419"/>
            <w:vAlign w:val="center"/>
          </w:tcPr>
          <w:p>
            <w:pPr>
              <w:spacing w:after="0"/>
            </w:pPr>
            <w:r/>
            <w:r>
              <w:rPr>
                <w:b w:val="0"/>
              </w:rPr>
              <w:t>0</w:t>
            </w:r>
          </w:p>
        </w:tc>
        <w:tc>
          <w:tcPr>
            <w:tcW w:type="dxa" w:w="3419"/>
            <w:vAlign w:val="center"/>
          </w:tcPr>
          <w:p>
            <w:pPr>
              <w:spacing w:after="0"/>
            </w:pPr>
            <w:r/>
            <w:r>
              <w:rPr>
                <w:b w:val="0"/>
              </w:rPr>
              <w:t>Run one ordinary actor cycle under Active Progress only. Reveal zero AGRHYMET/CILSS cards.</w:t>
            </w:r>
          </w:p>
        </w:tc>
      </w:tr>
      <w:tr>
        <w:tc>
          <w:tcPr>
            <w:tcW w:type="dxa" w:w="3419"/>
            <w:vAlign w:val="center"/>
          </w:tcPr>
          <w:p>
            <w:pPr>
              <w:spacing w:after="0"/>
            </w:pPr>
            <w:r/>
            <w:r>
              <w:rPr>
                <w:b w:val="0"/>
              </w:rPr>
              <w:t>Y2</w:t>
            </w:r>
          </w:p>
        </w:tc>
        <w:tc>
          <w:tcPr>
            <w:tcW w:type="dxa" w:w="3419"/>
            <w:vAlign w:val="center"/>
          </w:tcPr>
          <w:p>
            <w:pPr>
              <w:spacing w:after="0"/>
            </w:pPr>
            <w:r/>
            <w:r>
              <w:rPr>
                <w:b w:val="0"/>
              </w:rPr>
              <w:t>1</w:t>
            </w:r>
          </w:p>
        </w:tc>
        <w:tc>
          <w:tcPr>
            <w:tcW w:type="dxa" w:w="3419"/>
            <w:vAlign w:val="center"/>
          </w:tcPr>
          <w:p>
            <w:pPr>
              <w:spacing w:after="0"/>
            </w:pPr>
            <w:r/>
            <w:r>
              <w:rPr>
                <w:b w:val="0"/>
              </w:rPr>
              <w:t>Reveal Forecast 1 -&gt; complete actor cycle -&gt; reveal paired Outcome 1.</w:t>
            </w:r>
          </w:p>
        </w:tc>
      </w:tr>
      <w:tr>
        <w:tc>
          <w:tcPr>
            <w:tcW w:type="dxa" w:w="3419"/>
            <w:vAlign w:val="center"/>
          </w:tcPr>
          <w:p>
            <w:pPr>
              <w:spacing w:after="0"/>
            </w:pPr>
            <w:r/>
            <w:r>
              <w:rPr>
                <w:b w:val="0"/>
              </w:rPr>
              <w:t>Y3</w:t>
            </w:r>
          </w:p>
        </w:tc>
        <w:tc>
          <w:tcPr>
            <w:tcW w:type="dxa" w:w="3419"/>
            <w:vAlign w:val="center"/>
          </w:tcPr>
          <w:p>
            <w:pPr>
              <w:spacing w:after="0"/>
            </w:pPr>
            <w:r/>
            <w:r>
              <w:rPr>
                <w:b w:val="0"/>
              </w:rPr>
              <w:t>2</w:t>
            </w:r>
          </w:p>
        </w:tc>
        <w:tc>
          <w:tcPr>
            <w:tcW w:type="dxa" w:w="3419"/>
            <w:vAlign w:val="center"/>
          </w:tcPr>
          <w:p>
            <w:pPr>
              <w:spacing w:after="0"/>
            </w:pPr>
            <w:r/>
            <w:r>
              <w:rPr>
                <w:b w:val="0"/>
              </w:rPr>
              <w:t>Resolve pair 1 completely, then pair 2 completely.</w:t>
            </w:r>
          </w:p>
        </w:tc>
      </w:tr>
      <w:tr>
        <w:tc>
          <w:tcPr>
            <w:tcW w:type="dxa" w:w="3419"/>
            <w:vAlign w:val="center"/>
          </w:tcPr>
          <w:p>
            <w:pPr>
              <w:spacing w:after="0"/>
            </w:pPr>
            <w:r/>
            <w:r>
              <w:rPr>
                <w:b w:val="0"/>
              </w:rPr>
              <w:t>Y4</w:t>
            </w:r>
          </w:p>
        </w:tc>
        <w:tc>
          <w:tcPr>
            <w:tcW w:type="dxa" w:w="3419"/>
            <w:vAlign w:val="center"/>
          </w:tcPr>
          <w:p>
            <w:pPr>
              <w:spacing w:after="0"/>
            </w:pPr>
            <w:r/>
            <w:r>
              <w:rPr>
                <w:b w:val="0"/>
              </w:rPr>
              <w:t>3</w:t>
            </w:r>
          </w:p>
        </w:tc>
        <w:tc>
          <w:tcPr>
            <w:tcW w:type="dxa" w:w="3419"/>
            <w:vAlign w:val="center"/>
          </w:tcPr>
          <w:p>
            <w:pPr>
              <w:spacing w:after="0"/>
            </w:pPr>
            <w:r/>
            <w:r>
              <w:rPr>
                <w:b w:val="0"/>
              </w:rPr>
              <w:t>Resolve pairs 1, 2 and 3 completely in sequence.</w:t>
            </w:r>
          </w:p>
        </w:tc>
      </w:tr>
    </w:tbl>
    <w:p>
      <w:r>
        <w:t>A Forecast grants information and a preparation opportunity through the normal actor cycle. It grants no extra action. Any mitigation requiring physical proof must exist before the paired Outcome is revealed.</w:t>
      </w:r>
    </w:p>
    <w:p>
      <w:pPr>
        <w:pStyle w:val="Heading1"/>
      </w:pPr>
      <w:r>
        <w:t>7. Negotiation Window and Intervention hand management</w:t>
      </w:r>
    </w:p>
    <w:p>
      <w:pPr>
        <w:pStyle w:val="ListBullet"/>
      </w:pPr>
      <w:r>
        <w:t>Exactly one Negotiation Window occurs before GOV in every complete actor cycle.</w:t>
      </w:r>
    </w:p>
    <w:p>
      <w:pPr>
        <w:pStyle w:val="ListBullet"/>
      </w:pPr>
      <w:r>
        <w:t>Ownership transfers happen in that Window unless a printed action explicitly transfers ownership later in the cycle.</w:t>
      </w:r>
    </w:p>
    <w:p>
      <w:pPr>
        <w:pStyle w:val="ListBullet"/>
      </w:pPr>
      <w:r>
        <w:t>Before an actor takes its normal action, that acting actor may make at most one Intervention hand-management operation: Blind Replacement, Take Visible Discard, or none.</w:t>
      </w:r>
    </w:p>
    <w:p>
      <w:pPr>
        <w:pStyle w:val="ListBullet"/>
      </w:pPr>
      <w:r>
        <w:t>Blind Replacement: place one hand card as the new face-up Visible Discard; move the previous visible card face down to Covered Discard; draw one blind replacement.</w:t>
      </w:r>
    </w:p>
    <w:p>
      <w:pPr>
        <w:pStyle w:val="ListBullet"/>
      </w:pPr>
      <w:r>
        <w:t>Take Visible Discard: set the visible target aside, replace it with one hand card, then take the target. The original discarder cannot directly reacquire its current visible card.</w:t>
      </w:r>
    </w:p>
    <w:p>
      <w:pPr>
        <w:pStyle w:val="ListBullet"/>
      </w:pPr>
      <w:r>
        <w:t>A declared Intervention stays outside the hand. Draw one replacement immediately when it completes or fails.</w:t>
      </w:r>
    </w:p>
    <w:p>
      <w:pPr>
        <w:pStyle w:val="ListBullet"/>
      </w:pPr>
      <w:r>
        <w:t>If the deck empties, reshuffle only eligible Covered Discard cards. Keep the current Visible Discard and all declared/active/completed/failed cards out of the reshuffle.</w:t>
      </w:r>
    </w:p>
    <w:p>
      <w:pPr>
        <w:pStyle w:val="Heading1"/>
      </w:pPr>
      <w:r>
        <w:t>8. Common actor procedure</w:t>
      </w:r>
    </w:p>
    <w:p>
      <w:pPr>
        <w:pStyle w:val="ListNumber"/>
      </w:pPr>
      <w:r>
        <w:t>Read Active Progress, active AGRHYMET/CILSS effects and current object states.</w:t>
      </w:r>
    </w:p>
    <w:p>
      <w:pPr>
        <w:pStyle w:val="ListNumber"/>
      </w:pPr>
      <w:r>
        <w:t>Choose one legal action and exact source/target.</w:t>
      </w:r>
    </w:p>
    <w:p>
      <w:pPr>
        <w:pStyle w:val="ListNumber"/>
      </w:pPr>
      <w:r>
        <w:t>Verify Presence, component capacity and physical availability.</w:t>
      </w:r>
    </w:p>
    <w:p>
      <w:pPr>
        <w:pStyle w:val="ListNumber"/>
      </w:pPr>
      <w:r>
        <w:t>Calculate final Capacity cost: base + mandatory increases - all valid reductions, minimum 0.</w:t>
      </w:r>
    </w:p>
    <w:p>
      <w:pPr>
        <w:pStyle w:val="ListNumber"/>
      </w:pPr>
      <w:r>
        <w:t>Pay Funds/inputs and move only the same physical components required.</w:t>
      </w:r>
    </w:p>
    <w:p>
      <w:pPr>
        <w:pStyle w:val="ListNumber"/>
      </w:pPr>
      <w:r>
        <w:t>Build or update visible physical evidence.</w:t>
      </w:r>
    </w:p>
    <w:p>
      <w:pPr>
        <w:pStyle w:val="ListNumber"/>
      </w:pPr>
      <w:r>
        <w:t>Finish the action; passing banks no action and grants no recovery.</w:t>
      </w:r>
    </w:p>
    <w:p>
      <w:pPr>
        <w:pStyle w:val="Heading1"/>
      </w:pPr>
      <w:r>
        <w:t>9. Action reference</w:t>
      </w:r>
    </w:p>
    <w:p>
      <w:pPr>
        <w:pStyle w:val="Heading2"/>
      </w:pPr>
      <w:r>
        <w:t>GOV</w:t>
      </w:r>
    </w:p>
    <w:tbl>
      <w:tblPr>
        <w:tblStyle w:val="TableGrid"/>
        <w:tblW w:type="auto" w:w="0"/>
        <w:jc w:val="center"/>
        <w:tblLook w:firstColumn="1" w:firstRow="1" w:lastColumn="0" w:lastRow="0" w:noHBand="0" w:noVBand="1" w:val="04A0"/>
      </w:tblPr>
      <w:tblGrid>
        <w:gridCol w:w="2051"/>
        <w:gridCol w:w="2051"/>
        <w:gridCol w:w="2051"/>
        <w:gridCol w:w="2051"/>
        <w:gridCol w:w="2051"/>
      </w:tblGrid>
      <w:tr>
        <w:trPr>
          <w:tblHeader w:val="true"/>
        </w:trPr>
        <w:tc>
          <w:tcPr>
            <w:tcW w:type="dxa" w:w="2051"/>
            <w:vAlign w:val="center"/>
            <w:shd w:fill="DDE8E3"/>
          </w:tcPr>
          <w:p>
            <w:pPr>
              <w:spacing w:after="0"/>
            </w:pPr>
            <w:r/>
            <w:r>
              <w:rPr>
                <w:b/>
              </w:rPr>
              <w:t>Action</w:t>
            </w:r>
          </w:p>
        </w:tc>
        <w:tc>
          <w:tcPr>
            <w:tcW w:type="dxa" w:w="2051"/>
            <w:vAlign w:val="center"/>
            <w:shd w:fill="DDE8E3"/>
          </w:tcPr>
          <w:p>
            <w:pPr>
              <w:spacing w:after="0"/>
            </w:pPr>
            <w:r/>
            <w:r>
              <w:rPr>
                <w:b/>
              </w:rPr>
              <w:t>Timing</w:t>
            </w:r>
          </w:p>
        </w:tc>
        <w:tc>
          <w:tcPr>
            <w:tcW w:type="dxa" w:w="2051"/>
            <w:vAlign w:val="center"/>
            <w:shd w:fill="DDE8E3"/>
          </w:tcPr>
          <w:p>
            <w:pPr>
              <w:spacing w:after="0"/>
            </w:pPr>
            <w:r/>
            <w:r>
              <w:rPr>
                <w:b/>
              </w:rPr>
              <w:t>Base cost/input</w:t>
            </w:r>
          </w:p>
        </w:tc>
        <w:tc>
          <w:tcPr>
            <w:tcW w:type="dxa" w:w="2051"/>
            <w:vAlign w:val="center"/>
            <w:shd w:fill="DDE8E3"/>
          </w:tcPr>
          <w:p>
            <w:pPr>
              <w:spacing w:after="0"/>
            </w:pPr>
            <w:r/>
            <w:r>
              <w:rPr>
                <w:b/>
              </w:rPr>
              <w:t>Scale</w:t>
            </w:r>
          </w:p>
        </w:tc>
        <w:tc>
          <w:tcPr>
            <w:tcW w:type="dxa" w:w="2051"/>
            <w:vAlign w:val="center"/>
            <w:shd w:fill="DDE8E3"/>
          </w:tcPr>
          <w:p>
            <w:pPr>
              <w:spacing w:after="0"/>
            </w:pPr>
            <w:r/>
            <w:r>
              <w:rPr>
                <w:b/>
              </w:rPr>
              <w:t>Physical evidence</w:t>
            </w:r>
          </w:p>
        </w:tc>
      </w:tr>
      <w:tr>
        <w:tc>
          <w:tcPr>
            <w:tcW w:type="dxa" w:w="2051"/>
            <w:vAlign w:val="center"/>
          </w:tcPr>
          <w:p>
            <w:pPr>
              <w:spacing w:after="0"/>
            </w:pPr>
            <w:r/>
            <w:r>
              <w:rPr>
                <w:b w:val="0"/>
              </w:rPr>
              <w:t>AUTHORIZE</w:t>
            </w:r>
          </w:p>
        </w:tc>
        <w:tc>
          <w:tcPr>
            <w:tcW w:type="dxa" w:w="2051"/>
            <w:vAlign w:val="center"/>
          </w:tcPr>
          <w:p>
            <w:pPr>
              <w:spacing w:after="0"/>
            </w:pPr>
            <w:r/>
            <w:r>
              <w:rPr>
                <w:b w:val="0"/>
              </w:rPr>
              <w:t>IMMEDIATE</w:t>
            </w:r>
          </w:p>
        </w:tc>
        <w:tc>
          <w:tcPr>
            <w:tcW w:type="dxa" w:w="2051"/>
            <w:vAlign w:val="center"/>
          </w:tcPr>
          <w:p>
            <w:pPr>
              <w:spacing w:after="0"/>
            </w:pPr>
            <w:r/>
            <w:r>
              <w:rPr>
                <w:b w:val="0"/>
              </w:rPr>
              <w:t>0 Funds; 1 Capacity</w:t>
            </w:r>
          </w:p>
        </w:tc>
        <w:tc>
          <w:tcPr>
            <w:tcW w:type="dxa" w:w="2051"/>
            <w:vAlign w:val="center"/>
          </w:tcPr>
          <w:p>
            <w:pPr>
              <w:spacing w:after="0"/>
            </w:pPr>
            <w:r/>
            <w:r>
              <w:rPr>
                <w:b w:val="0"/>
              </w:rPr>
              <w:t>Territorial Cell/Site</w:t>
            </w:r>
          </w:p>
        </w:tc>
        <w:tc>
          <w:tcPr>
            <w:tcW w:type="dxa" w:w="2051"/>
            <w:vAlign w:val="center"/>
          </w:tcPr>
          <w:p>
            <w:pPr>
              <w:spacing w:after="0"/>
            </w:pPr>
            <w:r/>
            <w:r>
              <w:rPr>
                <w:b w:val="0"/>
              </w:rPr>
              <w:t>Designate the same GOV Presence as Authority.</w:t>
            </w:r>
          </w:p>
        </w:tc>
      </w:tr>
      <w:tr>
        <w:tc>
          <w:tcPr>
            <w:tcW w:type="dxa" w:w="2051"/>
            <w:vAlign w:val="center"/>
          </w:tcPr>
          <w:p>
            <w:pPr>
              <w:spacing w:after="0"/>
            </w:pPr>
            <w:r/>
            <w:r>
              <w:rPr>
                <w:b w:val="0"/>
              </w:rPr>
              <w:t>ALLOCATE</w:t>
            </w:r>
          </w:p>
        </w:tc>
        <w:tc>
          <w:tcPr>
            <w:tcW w:type="dxa" w:w="2051"/>
            <w:vAlign w:val="center"/>
          </w:tcPr>
          <w:p>
            <w:pPr>
              <w:spacing w:after="0"/>
            </w:pPr>
            <w:r/>
            <w:r>
              <w:rPr>
                <w:b w:val="0"/>
              </w:rPr>
              <w:t>IMMEDIATE</w:t>
            </w:r>
          </w:p>
        </w:tc>
        <w:tc>
          <w:tcPr>
            <w:tcW w:type="dxa" w:w="2051"/>
            <w:vAlign w:val="center"/>
          </w:tcPr>
          <w:p>
            <w:pPr>
              <w:spacing w:after="0"/>
            </w:pPr>
            <w:r/>
            <w:r>
              <w:rPr>
                <w:b w:val="0"/>
              </w:rPr>
              <w:t>1 Capacity; earmark 1-3 Funds</w:t>
            </w:r>
          </w:p>
        </w:tc>
        <w:tc>
          <w:tcPr>
            <w:tcW w:type="dxa" w:w="2051"/>
            <w:vAlign w:val="center"/>
          </w:tcPr>
          <w:p>
            <w:pPr>
              <w:spacing w:after="0"/>
            </w:pPr>
            <w:r/>
            <w:r>
              <w:rPr>
                <w:b w:val="0"/>
              </w:rPr>
              <w:t>Target-bound finance</w:t>
            </w:r>
          </w:p>
        </w:tc>
        <w:tc>
          <w:tcPr>
            <w:tcW w:type="dxa" w:w="2051"/>
            <w:vAlign w:val="center"/>
          </w:tcPr>
          <w:p>
            <w:pPr>
              <w:spacing w:after="0"/>
            </w:pPr>
            <w:r/>
            <w:r>
              <w:rPr>
                <w:b w:val="0"/>
              </w:rPr>
              <w:t>Actual Fund tokens stay uniquely located and bound.</w:t>
            </w:r>
          </w:p>
        </w:tc>
      </w:tr>
      <w:tr>
        <w:tc>
          <w:tcPr>
            <w:tcW w:type="dxa" w:w="2051"/>
            <w:vAlign w:val="center"/>
          </w:tcPr>
          <w:p>
            <w:pPr>
              <w:spacing w:after="0"/>
            </w:pPr>
            <w:r/>
            <w:r>
              <w:rPr>
                <w:b w:val="0"/>
              </w:rPr>
              <w:t>DELIMIT</w:t>
            </w:r>
          </w:p>
        </w:tc>
        <w:tc>
          <w:tcPr>
            <w:tcW w:type="dxa" w:w="2051"/>
            <w:vAlign w:val="center"/>
          </w:tcPr>
          <w:p>
            <w:pPr>
              <w:spacing w:after="0"/>
            </w:pPr>
            <w:r/>
            <w:r>
              <w:rPr>
                <w:b w:val="0"/>
              </w:rPr>
              <w:t>IMMEDIATE</w:t>
            </w:r>
          </w:p>
        </w:tc>
        <w:tc>
          <w:tcPr>
            <w:tcW w:type="dxa" w:w="2051"/>
            <w:vAlign w:val="center"/>
          </w:tcPr>
          <w:p>
            <w:pPr>
              <w:spacing w:after="0"/>
            </w:pPr>
            <w:r/>
            <w:r>
              <w:rPr>
                <w:b w:val="0"/>
              </w:rPr>
              <w:t>0 Funds baseline; 2 Capacity</w:t>
            </w:r>
          </w:p>
        </w:tc>
        <w:tc>
          <w:tcPr>
            <w:tcW w:type="dxa" w:w="2051"/>
            <w:vAlign w:val="center"/>
          </w:tcPr>
          <w:p>
            <w:pPr>
              <w:spacing w:after="0"/>
            </w:pPr>
            <w:r/>
            <w:r>
              <w:rPr>
                <w:b w:val="0"/>
              </w:rPr>
              <w:t>Cell or printed Connection</w:t>
            </w:r>
          </w:p>
        </w:tc>
        <w:tc>
          <w:tcPr>
            <w:tcW w:type="dxa" w:w="2051"/>
            <w:vAlign w:val="center"/>
          </w:tcPr>
          <w:p>
            <w:pPr>
              <w:spacing w:after="0"/>
            </w:pPr>
            <w:r/>
            <w:r>
              <w:rPr>
                <w:b w:val="0"/>
              </w:rPr>
              <w:t>Place one Corridor or Land-Use Area disc; the disc occupies one Presence component slot.</w:t>
            </w:r>
          </w:p>
        </w:tc>
      </w:tr>
      <w:tr>
        <w:tc>
          <w:tcPr>
            <w:tcW w:type="dxa" w:w="2051"/>
            <w:vAlign w:val="center"/>
          </w:tcPr>
          <w:p>
            <w:pPr>
              <w:spacing w:after="0"/>
            </w:pPr>
            <w:r/>
            <w:r>
              <w:rPr>
                <w:b w:val="0"/>
              </w:rPr>
              <w:t>DEPLOY</w:t>
            </w:r>
          </w:p>
        </w:tc>
        <w:tc>
          <w:tcPr>
            <w:tcW w:type="dxa" w:w="2051"/>
            <w:vAlign w:val="center"/>
          </w:tcPr>
          <w:p>
            <w:pPr>
              <w:spacing w:after="0"/>
            </w:pPr>
            <w:r/>
            <w:r>
              <w:rPr>
                <w:b w:val="0"/>
              </w:rPr>
              <w:t>NEXT SEASON / YEAR END commitment</w:t>
            </w:r>
          </w:p>
        </w:tc>
        <w:tc>
          <w:tcPr>
            <w:tcW w:type="dxa" w:w="2051"/>
            <w:vAlign w:val="center"/>
          </w:tcPr>
          <w:p>
            <w:pPr>
              <w:spacing w:after="0"/>
            </w:pPr>
            <w:r/>
            <w:r>
              <w:rPr>
                <w:b w:val="0"/>
              </w:rPr>
              <w:t>1 Fund; 1 Capacity</w:t>
            </w:r>
          </w:p>
        </w:tc>
        <w:tc>
          <w:tcPr>
            <w:tcW w:type="dxa" w:w="2051"/>
            <w:vAlign w:val="center"/>
          </w:tcPr>
          <w:p>
            <w:pPr>
              <w:spacing w:after="0"/>
            </w:pPr>
            <w:r/>
            <w:r>
              <w:rPr>
                <w:b w:val="0"/>
              </w:rPr>
              <w:t>Macroregion W/C/E</w:t>
            </w:r>
          </w:p>
        </w:tc>
        <w:tc>
          <w:tcPr>
            <w:tcW w:type="dxa" w:w="2051"/>
            <w:vAlign w:val="center"/>
          </w:tcPr>
          <w:p>
            <w:pPr>
              <w:spacing w:after="0"/>
            </w:pPr>
            <w:r/>
            <w:r>
              <w:rPr>
                <w:b w:val="0"/>
              </w:rPr>
              <w:t>Regional READY/USED benefit; Deploy Capacity remains committed until year transition.</w:t>
            </w:r>
          </w:p>
        </w:tc>
      </w:tr>
      <w:tr>
        <w:tc>
          <w:tcPr>
            <w:tcW w:type="dxa" w:w="2051"/>
            <w:vAlign w:val="center"/>
          </w:tcPr>
          <w:p>
            <w:pPr>
              <w:spacing w:after="0"/>
            </w:pPr>
            <w:r/>
            <w:r>
              <w:rPr>
                <w:b w:val="0"/>
              </w:rPr>
              <w:t>SUBSIDIZE</w:t>
            </w:r>
          </w:p>
        </w:tc>
        <w:tc>
          <w:tcPr>
            <w:tcW w:type="dxa" w:w="2051"/>
            <w:vAlign w:val="center"/>
          </w:tcPr>
          <w:p>
            <w:pPr>
              <w:spacing w:after="0"/>
            </w:pPr>
            <w:r/>
            <w:r>
              <w:rPr>
                <w:b w:val="0"/>
              </w:rPr>
              <w:t>IMMEDIATE</w:t>
            </w:r>
          </w:p>
        </w:tc>
        <w:tc>
          <w:tcPr>
            <w:tcW w:type="dxa" w:w="2051"/>
            <w:vAlign w:val="center"/>
          </w:tcPr>
          <w:p>
            <w:pPr>
              <w:spacing w:after="0"/>
            </w:pPr>
            <w:r/>
            <w:r>
              <w:rPr>
                <w:b w:val="0"/>
              </w:rPr>
              <w:t>1 Capacity; transfer 1-2 Funds</w:t>
            </w:r>
          </w:p>
        </w:tc>
        <w:tc>
          <w:tcPr>
            <w:tcW w:type="dxa" w:w="2051"/>
            <w:vAlign w:val="center"/>
          </w:tcPr>
          <w:p>
            <w:pPr>
              <w:spacing w:after="0"/>
            </w:pPr>
            <w:r/>
            <w:r>
              <w:rPr>
                <w:b w:val="0"/>
              </w:rPr>
              <w:t>Actor-to-actor</w:t>
            </w:r>
          </w:p>
        </w:tc>
        <w:tc>
          <w:tcPr>
            <w:tcW w:type="dxa" w:w="2051"/>
            <w:vAlign w:val="center"/>
          </w:tcPr>
          <w:p>
            <w:pPr>
              <w:spacing w:after="0"/>
            </w:pPr>
            <w:r/>
            <w:r>
              <w:rPr>
                <w:b w:val="0"/>
              </w:rPr>
              <w:t>Move actual Funds to beneficiary earmarked area.</w:t>
            </w:r>
          </w:p>
        </w:tc>
      </w:tr>
    </w:tbl>
    <w:p>
      <w:pPr>
        <w:pStyle w:val="Heading2"/>
      </w:pPr>
      <w:r>
        <w:t>FAO</w:t>
      </w:r>
    </w:p>
    <w:tbl>
      <w:tblPr>
        <w:tblStyle w:val="TableGrid"/>
        <w:tblW w:type="auto" w:w="0"/>
        <w:jc w:val="center"/>
        <w:tblLook w:firstColumn="1" w:firstRow="1" w:lastColumn="0" w:lastRow="0" w:noHBand="0" w:noVBand="1" w:val="04A0"/>
      </w:tblPr>
      <w:tblGrid>
        <w:gridCol w:w="2051"/>
        <w:gridCol w:w="2051"/>
        <w:gridCol w:w="2051"/>
        <w:gridCol w:w="2051"/>
        <w:gridCol w:w="2051"/>
      </w:tblGrid>
      <w:tr>
        <w:trPr>
          <w:tblHeader w:val="true"/>
        </w:trPr>
        <w:tc>
          <w:tcPr>
            <w:tcW w:type="dxa" w:w="2051"/>
            <w:vAlign w:val="center"/>
            <w:shd w:fill="DDE8E3"/>
          </w:tcPr>
          <w:p>
            <w:pPr>
              <w:spacing w:after="0"/>
            </w:pPr>
            <w:r/>
            <w:r>
              <w:rPr>
                <w:b/>
              </w:rPr>
              <w:t>Action</w:t>
            </w:r>
          </w:p>
        </w:tc>
        <w:tc>
          <w:tcPr>
            <w:tcW w:type="dxa" w:w="2051"/>
            <w:vAlign w:val="center"/>
            <w:shd w:fill="DDE8E3"/>
          </w:tcPr>
          <w:p>
            <w:pPr>
              <w:spacing w:after="0"/>
            </w:pPr>
            <w:r/>
            <w:r>
              <w:rPr>
                <w:b/>
              </w:rPr>
              <w:t>Timing</w:t>
            </w:r>
          </w:p>
        </w:tc>
        <w:tc>
          <w:tcPr>
            <w:tcW w:type="dxa" w:w="2051"/>
            <w:vAlign w:val="center"/>
            <w:shd w:fill="DDE8E3"/>
          </w:tcPr>
          <w:p>
            <w:pPr>
              <w:spacing w:after="0"/>
            </w:pPr>
            <w:r/>
            <w:r>
              <w:rPr>
                <w:b/>
              </w:rPr>
              <w:t>Base cost/input</w:t>
            </w:r>
          </w:p>
        </w:tc>
        <w:tc>
          <w:tcPr>
            <w:tcW w:type="dxa" w:w="2051"/>
            <w:vAlign w:val="center"/>
            <w:shd w:fill="DDE8E3"/>
          </w:tcPr>
          <w:p>
            <w:pPr>
              <w:spacing w:after="0"/>
            </w:pPr>
            <w:r/>
            <w:r>
              <w:rPr>
                <w:b/>
              </w:rPr>
              <w:t>Scale</w:t>
            </w:r>
          </w:p>
        </w:tc>
        <w:tc>
          <w:tcPr>
            <w:tcW w:type="dxa" w:w="2051"/>
            <w:vAlign w:val="center"/>
            <w:shd w:fill="DDE8E3"/>
          </w:tcPr>
          <w:p>
            <w:pPr>
              <w:spacing w:after="0"/>
            </w:pPr>
            <w:r/>
            <w:r>
              <w:rPr>
                <w:b/>
              </w:rPr>
              <w:t>Physical evidence</w:t>
            </w:r>
          </w:p>
        </w:tc>
      </w:tr>
      <w:tr>
        <w:tc>
          <w:tcPr>
            <w:tcW w:type="dxa" w:w="2051"/>
            <w:vAlign w:val="center"/>
          </w:tcPr>
          <w:p>
            <w:pPr>
              <w:spacing w:after="0"/>
            </w:pPr>
            <w:r/>
            <w:r>
              <w:rPr>
                <w:b w:val="0"/>
              </w:rPr>
              <w:t>ACCOMPANY</w:t>
            </w:r>
          </w:p>
        </w:tc>
        <w:tc>
          <w:tcPr>
            <w:tcW w:type="dxa" w:w="2051"/>
            <w:vAlign w:val="center"/>
          </w:tcPr>
          <w:p>
            <w:pPr>
              <w:spacing w:after="0"/>
            </w:pPr>
            <w:r/>
            <w:r>
              <w:rPr>
                <w:b w:val="0"/>
              </w:rPr>
              <w:t>IMMEDIATE</w:t>
            </w:r>
          </w:p>
        </w:tc>
        <w:tc>
          <w:tcPr>
            <w:tcW w:type="dxa" w:w="2051"/>
            <w:vAlign w:val="center"/>
          </w:tcPr>
          <w:p>
            <w:pPr>
              <w:spacing w:after="0"/>
            </w:pPr>
            <w:r/>
            <w:r>
              <w:rPr>
                <w:b w:val="0"/>
              </w:rPr>
              <w:t>0 Funds; 1 Capacity</w:t>
            </w:r>
          </w:p>
        </w:tc>
        <w:tc>
          <w:tcPr>
            <w:tcW w:type="dxa" w:w="2051"/>
            <w:vAlign w:val="center"/>
          </w:tcPr>
          <w:p>
            <w:pPr>
              <w:spacing w:after="0"/>
            </w:pPr>
            <w:r/>
            <w:r>
              <w:rPr>
                <w:b w:val="0"/>
              </w:rPr>
              <w:t>Territorial Cell/Site</w:t>
            </w:r>
          </w:p>
        </w:tc>
        <w:tc>
          <w:tcPr>
            <w:tcW w:type="dxa" w:w="2051"/>
            <w:vAlign w:val="center"/>
          </w:tcPr>
          <w:p>
            <w:pPr>
              <w:spacing w:after="0"/>
            </w:pPr>
            <w:r/>
            <w:r>
              <w:rPr>
                <w:b w:val="0"/>
              </w:rPr>
              <w:t>Use/place FAO Presence and designate Technical Support.</w:t>
            </w:r>
          </w:p>
        </w:tc>
      </w:tr>
      <w:tr>
        <w:tc>
          <w:tcPr>
            <w:tcW w:type="dxa" w:w="2051"/>
            <w:vAlign w:val="center"/>
          </w:tcPr>
          <w:p>
            <w:pPr>
              <w:spacing w:after="0"/>
            </w:pPr>
            <w:r/>
            <w:r>
              <w:rPr>
                <w:b w:val="0"/>
              </w:rPr>
              <w:t>MOBILIZE</w:t>
            </w:r>
          </w:p>
        </w:tc>
        <w:tc>
          <w:tcPr>
            <w:tcW w:type="dxa" w:w="2051"/>
            <w:vAlign w:val="center"/>
          </w:tcPr>
          <w:p>
            <w:pPr>
              <w:spacing w:after="0"/>
            </w:pPr>
            <w:r/>
            <w:r>
              <w:rPr>
                <w:b w:val="0"/>
              </w:rPr>
              <w:t>NEXT SEASON</w:t>
            </w:r>
          </w:p>
        </w:tc>
        <w:tc>
          <w:tcPr>
            <w:tcW w:type="dxa" w:w="2051"/>
            <w:vAlign w:val="center"/>
          </w:tcPr>
          <w:p>
            <w:pPr>
              <w:spacing w:after="0"/>
            </w:pPr>
            <w:r/>
            <w:r>
              <w:rPr>
                <w:b w:val="0"/>
              </w:rPr>
              <w:t>1 Fund per component; 1 Capacity</w:t>
            </w:r>
          </w:p>
        </w:tc>
        <w:tc>
          <w:tcPr>
            <w:tcW w:type="dxa" w:w="2051"/>
            <w:vAlign w:val="center"/>
          </w:tcPr>
          <w:p>
            <w:pPr>
              <w:spacing w:after="0"/>
            </w:pPr>
            <w:r/>
            <w:r>
              <w:rPr>
                <w:b w:val="0"/>
              </w:rPr>
              <w:t>Actor Mat -&gt; Common Board</w:t>
            </w:r>
          </w:p>
        </w:tc>
        <w:tc>
          <w:tcPr>
            <w:tcW w:type="dxa" w:w="2051"/>
            <w:vAlign w:val="center"/>
          </w:tcPr>
          <w:p>
            <w:pPr>
              <w:spacing w:after="0"/>
            </w:pPr>
            <w:r/>
            <w:r>
              <w:rPr>
                <w:b w:val="0"/>
              </w:rPr>
              <w:t>Move the same 1-2 eligible inputs into MOBILIZE - NEXT SEASON. On activation place them on the printed Common Board destination and start expiry there.</w:t>
            </w:r>
          </w:p>
        </w:tc>
      </w:tr>
      <w:tr>
        <w:tc>
          <w:tcPr>
            <w:tcW w:type="dxa" w:w="2051"/>
            <w:vAlign w:val="center"/>
          </w:tcPr>
          <w:p>
            <w:pPr>
              <w:spacing w:after="0"/>
            </w:pPr>
            <w:r/>
            <w:r>
              <w:rPr>
                <w:b w:val="0"/>
              </w:rPr>
              <w:t>DISTRIBUTE</w:t>
            </w:r>
          </w:p>
        </w:tc>
        <w:tc>
          <w:tcPr>
            <w:tcW w:type="dxa" w:w="2051"/>
            <w:vAlign w:val="center"/>
          </w:tcPr>
          <w:p>
            <w:pPr>
              <w:spacing w:after="0"/>
            </w:pPr>
            <w:r/>
            <w:r>
              <w:rPr>
                <w:b w:val="0"/>
              </w:rPr>
              <w:t>IMMEDIATE</w:t>
            </w:r>
          </w:p>
        </w:tc>
        <w:tc>
          <w:tcPr>
            <w:tcW w:type="dxa" w:w="2051"/>
            <w:vAlign w:val="center"/>
          </w:tcPr>
          <w:p>
            <w:pPr>
              <w:spacing w:after="0"/>
            </w:pPr>
            <w:r/>
            <w:r>
              <w:rPr>
                <w:b w:val="0"/>
              </w:rPr>
              <w:t>1 Fund first +1 second; 1 Capacity</w:t>
            </w:r>
          </w:p>
        </w:tc>
        <w:tc>
          <w:tcPr>
            <w:tcW w:type="dxa" w:w="2051"/>
            <w:vAlign w:val="center"/>
          </w:tcPr>
          <w:p>
            <w:pPr>
              <w:spacing w:after="0"/>
            </w:pPr>
            <w:r/>
            <w:r>
              <w:rPr>
                <w:b w:val="0"/>
              </w:rPr>
              <w:t>Eligible FAO source -&gt; recipient</w:t>
            </w:r>
          </w:p>
        </w:tc>
        <w:tc>
          <w:tcPr>
            <w:tcW w:type="dxa" w:w="2051"/>
            <w:vAlign w:val="center"/>
          </w:tcPr>
          <w:p>
            <w:pPr>
              <w:spacing w:after="0"/>
            </w:pPr>
            <w:r/>
            <w:r>
              <w:rPr>
                <w:b w:val="0"/>
              </w:rPr>
              <w:t>Ownership transfers immediately. AGR Seed enters AGR Deployable; PAS Feed/Veterinary enters matching PAS Deployable, unless printed text states another destination.</w:t>
            </w:r>
          </w:p>
        </w:tc>
      </w:tr>
      <w:tr>
        <w:tc>
          <w:tcPr>
            <w:tcW w:type="dxa" w:w="2051"/>
            <w:vAlign w:val="center"/>
          </w:tcPr>
          <w:p>
            <w:pPr>
              <w:spacing w:after="0"/>
            </w:pPr>
            <w:r/>
            <w:r>
              <w:rPr>
                <w:b w:val="0"/>
              </w:rPr>
              <w:t>PREPOSITION</w:t>
            </w:r>
          </w:p>
        </w:tc>
        <w:tc>
          <w:tcPr>
            <w:tcW w:type="dxa" w:w="2051"/>
            <w:vAlign w:val="center"/>
          </w:tcPr>
          <w:p>
            <w:pPr>
              <w:spacing w:after="0"/>
            </w:pPr>
            <w:r/>
            <w:r>
              <w:rPr>
                <w:b w:val="0"/>
              </w:rPr>
              <w:t>IMMEDIATE</w:t>
            </w:r>
          </w:p>
        </w:tc>
        <w:tc>
          <w:tcPr>
            <w:tcW w:type="dxa" w:w="2051"/>
            <w:vAlign w:val="center"/>
          </w:tcPr>
          <w:p>
            <w:pPr>
              <w:spacing w:after="0"/>
            </w:pPr>
            <w:r/>
            <w:r>
              <w:rPr>
                <w:b w:val="0"/>
              </w:rPr>
              <w:t>1 Fund; 1 Capacity</w:t>
            </w:r>
          </w:p>
        </w:tc>
        <w:tc>
          <w:tcPr>
            <w:tcW w:type="dxa" w:w="2051"/>
            <w:vAlign w:val="center"/>
          </w:tcPr>
          <w:p>
            <w:pPr>
              <w:spacing w:after="0"/>
            </w:pPr>
            <w:r/>
            <w:r>
              <w:rPr>
                <w:b w:val="0"/>
              </w:rPr>
              <w:t>Territorial Cell/Site</w:t>
            </w:r>
          </w:p>
        </w:tc>
        <w:tc>
          <w:tcPr>
            <w:tcW w:type="dxa" w:w="2051"/>
            <w:vAlign w:val="center"/>
          </w:tcPr>
          <w:p>
            <w:pPr>
              <w:spacing w:after="0"/>
            </w:pPr>
            <w:r/>
            <w:r>
              <w:rPr>
                <w:b w:val="0"/>
              </w:rPr>
              <w:t>Place up to 2 eligible inputs with FAO Presence; expiry starts at -2 on the Common Board.</w:t>
            </w:r>
          </w:p>
        </w:tc>
      </w:tr>
      <w:tr>
        <w:tc>
          <w:tcPr>
            <w:tcW w:type="dxa" w:w="2051"/>
            <w:vAlign w:val="center"/>
          </w:tcPr>
          <w:p>
            <w:pPr>
              <w:spacing w:after="0"/>
            </w:pPr>
            <w:r/>
            <w:r>
              <w:rPr>
                <w:b w:val="0"/>
              </w:rPr>
              <w:t>FORM</w:t>
            </w:r>
          </w:p>
        </w:tc>
        <w:tc>
          <w:tcPr>
            <w:tcW w:type="dxa" w:w="2051"/>
            <w:vAlign w:val="center"/>
          </w:tcPr>
          <w:p>
            <w:pPr>
              <w:spacing w:after="0"/>
            </w:pPr>
            <w:r/>
            <w:r>
              <w:rPr>
                <w:b w:val="0"/>
              </w:rPr>
              <w:t>NEXT SEASON</w:t>
            </w:r>
          </w:p>
        </w:tc>
        <w:tc>
          <w:tcPr>
            <w:tcW w:type="dxa" w:w="2051"/>
            <w:vAlign w:val="center"/>
          </w:tcPr>
          <w:p>
            <w:pPr>
              <w:spacing w:after="0"/>
            </w:pPr>
            <w:r/>
            <w:r>
              <w:rPr>
                <w:b w:val="0"/>
              </w:rPr>
              <w:t>2 FAO Funds; 1 FAO +1 AGR Capacity</w:t>
            </w:r>
          </w:p>
        </w:tc>
        <w:tc>
          <w:tcPr>
            <w:tcW w:type="dxa" w:w="2051"/>
            <w:vAlign w:val="center"/>
          </w:tcPr>
          <w:p>
            <w:pPr>
              <w:spacing w:after="0"/>
            </w:pPr>
            <w:r/>
            <w:r>
              <w:rPr>
                <w:b w:val="0"/>
              </w:rPr>
              <w:t>FAO/AGR Actor Mats</w:t>
            </w:r>
          </w:p>
        </w:tc>
        <w:tc>
          <w:tcPr>
            <w:tcW w:type="dxa" w:w="2051"/>
            <w:vAlign w:val="center"/>
          </w:tcPr>
          <w:p>
            <w:pPr>
              <w:spacing w:after="0"/>
            </w:pPr>
            <w:r/>
            <w:r>
              <w:rPr>
                <w:b w:val="0"/>
              </w:rPr>
              <w:t>Move one Institutional Strengthening disc through training to AGR Available at activation.</w:t>
            </w:r>
          </w:p>
        </w:tc>
      </w:tr>
    </w:tbl>
    <w:p>
      <w:pPr>
        <w:pStyle w:val="Heading2"/>
      </w:pPr>
      <w:r>
        <w:t>GMV</w:t>
      </w:r>
    </w:p>
    <w:tbl>
      <w:tblPr>
        <w:tblStyle w:val="TableGrid"/>
        <w:tblW w:type="auto" w:w="0"/>
        <w:jc w:val="center"/>
        <w:tblLook w:firstColumn="1" w:firstRow="1" w:lastColumn="0" w:lastRow="0" w:noHBand="0" w:noVBand="1" w:val="04A0"/>
      </w:tblPr>
      <w:tblGrid>
        <w:gridCol w:w="2051"/>
        <w:gridCol w:w="2051"/>
        <w:gridCol w:w="2051"/>
        <w:gridCol w:w="2051"/>
        <w:gridCol w:w="2051"/>
      </w:tblGrid>
      <w:tr>
        <w:trPr>
          <w:tblHeader w:val="true"/>
        </w:trPr>
        <w:tc>
          <w:tcPr>
            <w:tcW w:type="dxa" w:w="2051"/>
            <w:vAlign w:val="center"/>
            <w:shd w:fill="DDE8E3"/>
          </w:tcPr>
          <w:p>
            <w:pPr>
              <w:spacing w:after="0"/>
            </w:pPr>
            <w:r/>
            <w:r>
              <w:rPr>
                <w:b/>
              </w:rPr>
              <w:t>Action</w:t>
            </w:r>
          </w:p>
        </w:tc>
        <w:tc>
          <w:tcPr>
            <w:tcW w:type="dxa" w:w="2051"/>
            <w:vAlign w:val="center"/>
            <w:shd w:fill="DDE8E3"/>
          </w:tcPr>
          <w:p>
            <w:pPr>
              <w:spacing w:after="0"/>
            </w:pPr>
            <w:r/>
            <w:r>
              <w:rPr>
                <w:b/>
              </w:rPr>
              <w:t>Timing</w:t>
            </w:r>
          </w:p>
        </w:tc>
        <w:tc>
          <w:tcPr>
            <w:tcW w:type="dxa" w:w="2051"/>
            <w:vAlign w:val="center"/>
            <w:shd w:fill="DDE8E3"/>
          </w:tcPr>
          <w:p>
            <w:pPr>
              <w:spacing w:after="0"/>
            </w:pPr>
            <w:r/>
            <w:r>
              <w:rPr>
                <w:b/>
              </w:rPr>
              <w:t>Base cost/input</w:t>
            </w:r>
          </w:p>
        </w:tc>
        <w:tc>
          <w:tcPr>
            <w:tcW w:type="dxa" w:w="2051"/>
            <w:vAlign w:val="center"/>
            <w:shd w:fill="DDE8E3"/>
          </w:tcPr>
          <w:p>
            <w:pPr>
              <w:spacing w:after="0"/>
            </w:pPr>
            <w:r/>
            <w:r>
              <w:rPr>
                <w:b/>
              </w:rPr>
              <w:t>Scale</w:t>
            </w:r>
          </w:p>
        </w:tc>
        <w:tc>
          <w:tcPr>
            <w:tcW w:type="dxa" w:w="2051"/>
            <w:vAlign w:val="center"/>
            <w:shd w:fill="DDE8E3"/>
          </w:tcPr>
          <w:p>
            <w:pPr>
              <w:spacing w:after="0"/>
            </w:pPr>
            <w:r/>
            <w:r>
              <w:rPr>
                <w:b/>
              </w:rPr>
              <w:t>Physical evidence</w:t>
            </w:r>
          </w:p>
        </w:tc>
      </w:tr>
      <w:tr>
        <w:tc>
          <w:tcPr>
            <w:tcW w:type="dxa" w:w="2051"/>
            <w:vAlign w:val="center"/>
          </w:tcPr>
          <w:p>
            <w:pPr>
              <w:spacing w:after="0"/>
            </w:pPr>
            <w:r/>
            <w:r>
              <w:rPr>
                <w:b w:val="0"/>
              </w:rPr>
              <w:t>INVEST</w:t>
            </w:r>
          </w:p>
        </w:tc>
        <w:tc>
          <w:tcPr>
            <w:tcW w:type="dxa" w:w="2051"/>
            <w:vAlign w:val="center"/>
          </w:tcPr>
          <w:p>
            <w:pPr>
              <w:spacing w:after="0"/>
            </w:pPr>
            <w:r/>
            <w:r>
              <w:rPr>
                <w:b w:val="0"/>
              </w:rPr>
              <w:t>IMMEDIATE</w:t>
            </w:r>
          </w:p>
        </w:tc>
        <w:tc>
          <w:tcPr>
            <w:tcW w:type="dxa" w:w="2051"/>
            <w:vAlign w:val="center"/>
          </w:tcPr>
          <w:p>
            <w:pPr>
              <w:spacing w:after="0"/>
            </w:pPr>
            <w:r/>
            <w:r>
              <w:rPr>
                <w:b w:val="0"/>
              </w:rPr>
              <w:t>Earmark 1-3 Funds; 1 Capacity</w:t>
            </w:r>
          </w:p>
        </w:tc>
        <w:tc>
          <w:tcPr>
            <w:tcW w:type="dxa" w:w="2051"/>
            <w:vAlign w:val="center"/>
          </w:tcPr>
          <w:p>
            <w:pPr>
              <w:spacing w:after="0"/>
            </w:pPr>
            <w:r/>
            <w:r>
              <w:rPr>
                <w:b w:val="0"/>
              </w:rPr>
              <w:t>Territorial Site</w:t>
            </w:r>
          </w:p>
        </w:tc>
        <w:tc>
          <w:tcPr>
            <w:tcW w:type="dxa" w:w="2051"/>
            <w:vAlign w:val="center"/>
          </w:tcPr>
          <w:p>
            <w:pPr>
              <w:spacing w:after="0"/>
            </w:pPr>
            <w:r/>
            <w:r>
              <w:rPr>
                <w:b w:val="0"/>
              </w:rPr>
              <w:t>No asset is created; actual Funds remain bound at the site.</w:t>
            </w:r>
          </w:p>
        </w:tc>
      </w:tr>
      <w:tr>
        <w:tc>
          <w:tcPr>
            <w:tcW w:type="dxa" w:w="2051"/>
            <w:vAlign w:val="center"/>
          </w:tcPr>
          <w:p>
            <w:pPr>
              <w:spacing w:after="0"/>
            </w:pPr>
            <w:r/>
            <w:r>
              <w:rPr>
                <w:b w:val="0"/>
              </w:rPr>
              <w:t>RESTORE</w:t>
            </w:r>
          </w:p>
        </w:tc>
        <w:tc>
          <w:tcPr>
            <w:tcW w:type="dxa" w:w="2051"/>
            <w:vAlign w:val="center"/>
          </w:tcPr>
          <w:p>
            <w:pPr>
              <w:spacing w:after="0"/>
            </w:pPr>
            <w:r/>
            <w:r>
              <w:rPr>
                <w:b w:val="0"/>
              </w:rPr>
              <w:t>NEXT SEASON</w:t>
            </w:r>
          </w:p>
        </w:tc>
        <w:tc>
          <w:tcPr>
            <w:tcW w:type="dxa" w:w="2051"/>
            <w:vAlign w:val="center"/>
          </w:tcPr>
          <w:p>
            <w:pPr>
              <w:spacing w:after="0"/>
            </w:pPr>
            <w:r/>
            <w:r>
              <w:rPr>
                <w:b w:val="0"/>
              </w:rPr>
              <w:t>2 site Funds; 2 Capacity</w:t>
            </w:r>
          </w:p>
        </w:tc>
        <w:tc>
          <w:tcPr>
            <w:tcW w:type="dxa" w:w="2051"/>
            <w:vAlign w:val="center"/>
          </w:tcPr>
          <w:p>
            <w:pPr>
              <w:spacing w:after="0"/>
            </w:pPr>
            <w:r/>
            <w:r>
              <w:rPr>
                <w:b w:val="0"/>
              </w:rPr>
              <w:t>Territorial Site</w:t>
            </w:r>
          </w:p>
        </w:tc>
        <w:tc>
          <w:tcPr>
            <w:tcW w:type="dxa" w:w="2051"/>
            <w:vAlign w:val="center"/>
          </w:tcPr>
          <w:p>
            <w:pPr>
              <w:spacing w:after="0"/>
            </w:pPr>
            <w:r/>
            <w:r>
              <w:rPr>
                <w:b w:val="0"/>
              </w:rPr>
              <w:t>Place/rotate one Restoration State Block: WAIT RESTORE -&gt; PREPARED.</w:t>
            </w:r>
          </w:p>
        </w:tc>
      </w:tr>
      <w:tr>
        <w:tc>
          <w:tcPr>
            <w:tcW w:type="dxa" w:w="2051"/>
            <w:vAlign w:val="center"/>
          </w:tcPr>
          <w:p>
            <w:pPr>
              <w:spacing w:after="0"/>
            </w:pPr>
            <w:r/>
            <w:r>
              <w:rPr>
                <w:b w:val="0"/>
              </w:rPr>
              <w:t>ESTABLISH</w:t>
            </w:r>
          </w:p>
        </w:tc>
        <w:tc>
          <w:tcPr>
            <w:tcW w:type="dxa" w:w="2051"/>
            <w:vAlign w:val="center"/>
          </w:tcPr>
          <w:p>
            <w:pPr>
              <w:spacing w:after="0"/>
            </w:pPr>
            <w:r/>
            <w:r>
              <w:rPr>
                <w:b w:val="0"/>
              </w:rPr>
              <w:t>NEXT SEASON</w:t>
            </w:r>
          </w:p>
        </w:tc>
        <w:tc>
          <w:tcPr>
            <w:tcW w:type="dxa" w:w="2051"/>
            <w:vAlign w:val="center"/>
          </w:tcPr>
          <w:p>
            <w:pPr>
              <w:spacing w:after="0"/>
            </w:pPr>
            <w:r/>
            <w:r>
              <w:rPr>
                <w:b w:val="0"/>
              </w:rPr>
              <w:t>2 site Funds; 1 Capacity</w:t>
            </w:r>
          </w:p>
        </w:tc>
        <w:tc>
          <w:tcPr>
            <w:tcW w:type="dxa" w:w="2051"/>
            <w:vAlign w:val="center"/>
          </w:tcPr>
          <w:p>
            <w:pPr>
              <w:spacing w:after="0"/>
            </w:pPr>
            <w:r/>
            <w:r>
              <w:rPr>
                <w:b w:val="0"/>
              </w:rPr>
              <w:t>Prepared Restoration Site</w:t>
            </w:r>
          </w:p>
        </w:tc>
        <w:tc>
          <w:tcPr>
            <w:tcW w:type="dxa" w:w="2051"/>
            <w:vAlign w:val="center"/>
          </w:tcPr>
          <w:p>
            <w:pPr>
              <w:spacing w:after="0"/>
            </w:pPr>
            <w:r/>
            <w:r>
              <w:rPr>
                <w:b w:val="0"/>
              </w:rPr>
              <w:t>Rotate the same block: WAIT ESTABLISH -&gt; ESTABLISHED.</w:t>
            </w:r>
          </w:p>
        </w:tc>
      </w:tr>
      <w:tr>
        <w:tc>
          <w:tcPr>
            <w:tcW w:type="dxa" w:w="2051"/>
            <w:vAlign w:val="center"/>
          </w:tcPr>
          <w:p>
            <w:pPr>
              <w:spacing w:after="0"/>
            </w:pPr>
            <w:r/>
            <w:r>
              <w:rPr>
                <w:b w:val="0"/>
              </w:rPr>
              <w:t>HARVEST WATER</w:t>
            </w:r>
          </w:p>
        </w:tc>
        <w:tc>
          <w:tcPr>
            <w:tcW w:type="dxa" w:w="2051"/>
            <w:vAlign w:val="center"/>
          </w:tcPr>
          <w:p>
            <w:pPr>
              <w:spacing w:after="0"/>
            </w:pPr>
            <w:r/>
            <w:r>
              <w:rPr>
                <w:b w:val="0"/>
              </w:rPr>
              <w:t>NEXT SEASON</w:t>
            </w:r>
          </w:p>
        </w:tc>
        <w:tc>
          <w:tcPr>
            <w:tcW w:type="dxa" w:w="2051"/>
            <w:vAlign w:val="center"/>
          </w:tcPr>
          <w:p>
            <w:pPr>
              <w:spacing w:after="0"/>
            </w:pPr>
            <w:r/>
            <w:r>
              <w:rPr>
                <w:b w:val="0"/>
              </w:rPr>
              <w:t>New 3 site Funds +2 Cap; Upgrade 2+2</w:t>
            </w:r>
          </w:p>
        </w:tc>
        <w:tc>
          <w:tcPr>
            <w:tcW w:type="dxa" w:w="2051"/>
            <w:vAlign w:val="center"/>
          </w:tcPr>
          <w:p>
            <w:pPr>
              <w:spacing w:after="0"/>
            </w:pPr>
            <w:r/>
            <w:r>
              <w:rPr>
                <w:b w:val="0"/>
              </w:rPr>
              <w:t>Water Point Site</w:t>
            </w:r>
          </w:p>
        </w:tc>
        <w:tc>
          <w:tcPr>
            <w:tcW w:type="dxa" w:w="2051"/>
            <w:vAlign w:val="center"/>
          </w:tcPr>
          <w:p>
            <w:pPr>
              <w:spacing w:after="0"/>
            </w:pPr>
            <w:r/>
            <w:r>
              <w:rPr>
                <w:b w:val="0"/>
              </w:rPr>
              <w:t>Water Asset State Block: WAIT BUILD -&gt; ACTIVE 2 or WAIT UPGRADE -&gt; ACTIVE 3 before Water generation.</w:t>
            </w:r>
          </w:p>
        </w:tc>
      </w:tr>
      <w:tr>
        <w:tc>
          <w:tcPr>
            <w:tcW w:type="dxa" w:w="2051"/>
            <w:vAlign w:val="center"/>
          </w:tcPr>
          <w:p>
            <w:pPr>
              <w:spacing w:after="0"/>
            </w:pPr>
            <w:r/>
            <w:r>
              <w:rPr>
                <w:b w:val="0"/>
              </w:rPr>
              <w:t>MAINTAIN</w:t>
            </w:r>
          </w:p>
        </w:tc>
        <w:tc>
          <w:tcPr>
            <w:tcW w:type="dxa" w:w="2051"/>
            <w:vAlign w:val="center"/>
          </w:tcPr>
          <w:p>
            <w:pPr>
              <w:spacing w:after="0"/>
            </w:pPr>
            <w:r/>
            <w:r>
              <w:rPr>
                <w:b w:val="0"/>
              </w:rPr>
              <w:t>IMMEDIATE</w:t>
            </w:r>
          </w:p>
        </w:tc>
        <w:tc>
          <w:tcPr>
            <w:tcW w:type="dxa" w:w="2051"/>
            <w:vAlign w:val="center"/>
          </w:tcPr>
          <w:p>
            <w:pPr>
              <w:spacing w:after="0"/>
            </w:pPr>
            <w:r/>
            <w:r>
              <w:rPr>
                <w:b w:val="0"/>
              </w:rPr>
              <w:t>Preventive 1+1; corrective 2+2</w:t>
            </w:r>
          </w:p>
        </w:tc>
        <w:tc>
          <w:tcPr>
            <w:tcW w:type="dxa" w:w="2051"/>
            <w:vAlign w:val="center"/>
          </w:tcPr>
          <w:p>
            <w:pPr>
              <w:spacing w:after="0"/>
            </w:pPr>
            <w:r/>
            <w:r>
              <w:rPr>
                <w:b w:val="0"/>
              </w:rPr>
              <w:t>Eligible Water Asset / Restoration Site</w:t>
            </w:r>
          </w:p>
        </w:tc>
        <w:tc>
          <w:tcPr>
            <w:tcW w:type="dxa" w:w="2051"/>
            <w:vAlign w:val="center"/>
          </w:tcPr>
          <w:p>
            <w:pPr>
              <w:spacing w:after="0"/>
            </w:pPr>
            <w:r/>
            <w:r>
              <w:rPr>
                <w:b w:val="0"/>
              </w:rPr>
              <w:t>Preventive uses the single purple wrench marker until Resolution; corrective removes INACTIVE as printed.</w:t>
            </w:r>
          </w:p>
        </w:tc>
      </w:tr>
    </w:tbl>
    <w:p>
      <w:pPr>
        <w:pStyle w:val="Heading2"/>
      </w:pPr>
      <w:r>
        <w:t>AGR</w:t>
      </w:r>
    </w:p>
    <w:tbl>
      <w:tblPr>
        <w:tblStyle w:val="TableGrid"/>
        <w:tblW w:type="auto" w:w="0"/>
        <w:jc w:val="center"/>
        <w:tblLook w:firstColumn="1" w:firstRow="1" w:lastColumn="0" w:lastRow="0" w:noHBand="0" w:noVBand="1" w:val="04A0"/>
      </w:tblPr>
      <w:tblGrid>
        <w:gridCol w:w="2051"/>
        <w:gridCol w:w="2051"/>
        <w:gridCol w:w="2051"/>
        <w:gridCol w:w="2051"/>
        <w:gridCol w:w="2051"/>
      </w:tblGrid>
      <w:tr>
        <w:trPr>
          <w:tblHeader w:val="true"/>
        </w:trPr>
        <w:tc>
          <w:tcPr>
            <w:tcW w:type="dxa" w:w="2051"/>
            <w:vAlign w:val="center"/>
            <w:shd w:fill="DDE8E3"/>
          </w:tcPr>
          <w:p>
            <w:pPr>
              <w:spacing w:after="0"/>
            </w:pPr>
            <w:r/>
            <w:r>
              <w:rPr>
                <w:b/>
              </w:rPr>
              <w:t>Action</w:t>
            </w:r>
          </w:p>
        </w:tc>
        <w:tc>
          <w:tcPr>
            <w:tcW w:type="dxa" w:w="2051"/>
            <w:vAlign w:val="center"/>
            <w:shd w:fill="DDE8E3"/>
          </w:tcPr>
          <w:p>
            <w:pPr>
              <w:spacing w:after="0"/>
            </w:pPr>
            <w:r/>
            <w:r>
              <w:rPr>
                <w:b/>
              </w:rPr>
              <w:t>Timing</w:t>
            </w:r>
          </w:p>
        </w:tc>
        <w:tc>
          <w:tcPr>
            <w:tcW w:type="dxa" w:w="2051"/>
            <w:vAlign w:val="center"/>
            <w:shd w:fill="DDE8E3"/>
          </w:tcPr>
          <w:p>
            <w:pPr>
              <w:spacing w:after="0"/>
            </w:pPr>
            <w:r/>
            <w:r>
              <w:rPr>
                <w:b/>
              </w:rPr>
              <w:t>Base cost/input</w:t>
            </w:r>
          </w:p>
        </w:tc>
        <w:tc>
          <w:tcPr>
            <w:tcW w:type="dxa" w:w="2051"/>
            <w:vAlign w:val="center"/>
            <w:shd w:fill="DDE8E3"/>
          </w:tcPr>
          <w:p>
            <w:pPr>
              <w:spacing w:after="0"/>
            </w:pPr>
            <w:r/>
            <w:r>
              <w:rPr>
                <w:b/>
              </w:rPr>
              <w:t>Scale</w:t>
            </w:r>
          </w:p>
        </w:tc>
        <w:tc>
          <w:tcPr>
            <w:tcW w:type="dxa" w:w="2051"/>
            <w:vAlign w:val="center"/>
            <w:shd w:fill="DDE8E3"/>
          </w:tcPr>
          <w:p>
            <w:pPr>
              <w:spacing w:after="0"/>
            </w:pPr>
            <w:r/>
            <w:r>
              <w:rPr>
                <w:b/>
              </w:rPr>
              <w:t>Physical evidence</w:t>
            </w:r>
          </w:p>
        </w:tc>
      </w:tr>
      <w:tr>
        <w:tc>
          <w:tcPr>
            <w:tcW w:type="dxa" w:w="2051"/>
            <w:vAlign w:val="center"/>
          </w:tcPr>
          <w:p>
            <w:pPr>
              <w:spacing w:after="0"/>
            </w:pPr>
            <w:r/>
            <w:r>
              <w:rPr>
                <w:b w:val="0"/>
              </w:rPr>
              <w:t>SOW</w:t>
            </w:r>
          </w:p>
        </w:tc>
        <w:tc>
          <w:tcPr>
            <w:tcW w:type="dxa" w:w="2051"/>
            <w:vAlign w:val="center"/>
          </w:tcPr>
          <w:p>
            <w:pPr>
              <w:spacing w:after="0"/>
            </w:pPr>
            <w:r/>
            <w:r>
              <w:rPr>
                <w:b w:val="0"/>
              </w:rPr>
              <w:t>NEXT SEASON</w:t>
            </w:r>
          </w:p>
        </w:tc>
        <w:tc>
          <w:tcPr>
            <w:tcW w:type="dxa" w:w="2051"/>
            <w:vAlign w:val="center"/>
          </w:tcPr>
          <w:p>
            <w:pPr>
              <w:spacing w:after="0"/>
            </w:pPr>
            <w:r/>
            <w:r>
              <w:rPr>
                <w:b w:val="0"/>
              </w:rPr>
              <w:t>0 Funds; 1 Capacity</w:t>
            </w:r>
          </w:p>
        </w:tc>
        <w:tc>
          <w:tcPr>
            <w:tcW w:type="dxa" w:w="2051"/>
            <w:vAlign w:val="center"/>
          </w:tcPr>
          <w:p>
            <w:pPr>
              <w:spacing w:after="0"/>
            </w:pPr>
            <w:r/>
            <w:r>
              <w:rPr>
                <w:b w:val="0"/>
              </w:rPr>
              <w:t>Territorial Cell/Site with AGR Presence</w:t>
            </w:r>
          </w:p>
        </w:tc>
        <w:tc>
          <w:tcPr>
            <w:tcW w:type="dxa" w:w="2051"/>
            <w:vAlign w:val="center"/>
          </w:tcPr>
          <w:p>
            <w:pPr>
              <w:spacing w:after="0"/>
            </w:pPr>
            <w:r/>
            <w:r>
              <w:rPr>
                <w:b w:val="0"/>
              </w:rPr>
              <w:t>Move the same legal Seed cube to SOWING; at activation it becomes ACTIVE CROP. No crop proxy.</w:t>
            </w:r>
          </w:p>
        </w:tc>
      </w:tr>
      <w:tr>
        <w:tc>
          <w:tcPr>
            <w:tcW w:type="dxa" w:w="2051"/>
            <w:vAlign w:val="center"/>
          </w:tcPr>
          <w:p>
            <w:pPr>
              <w:spacing w:after="0"/>
            </w:pPr>
            <w:r/>
            <w:r>
              <w:rPr>
                <w:b w:val="0"/>
              </w:rPr>
              <w:t>MULTIPLY</w:t>
            </w:r>
          </w:p>
        </w:tc>
        <w:tc>
          <w:tcPr>
            <w:tcW w:type="dxa" w:w="2051"/>
            <w:vAlign w:val="center"/>
          </w:tcPr>
          <w:p>
            <w:pPr>
              <w:spacing w:after="0"/>
            </w:pPr>
            <w:r/>
            <w:r>
              <w:rPr>
                <w:b w:val="0"/>
              </w:rPr>
              <w:t>NEXT SEASON</w:t>
            </w:r>
          </w:p>
        </w:tc>
        <w:tc>
          <w:tcPr>
            <w:tcW w:type="dxa" w:w="2051"/>
            <w:vAlign w:val="center"/>
          </w:tcPr>
          <w:p>
            <w:pPr>
              <w:spacing w:after="0"/>
            </w:pPr>
            <w:r/>
            <w:r>
              <w:rPr>
                <w:b w:val="0"/>
              </w:rPr>
              <w:t>1 Fund; 1 Capacity</w:t>
            </w:r>
          </w:p>
        </w:tc>
        <w:tc>
          <w:tcPr>
            <w:tcW w:type="dxa" w:w="2051"/>
            <w:vAlign w:val="center"/>
          </w:tcPr>
          <w:p>
            <w:pPr>
              <w:spacing w:after="0"/>
            </w:pPr>
            <w:r/>
            <w:r>
              <w:rPr>
                <w:b w:val="0"/>
              </w:rPr>
              <w:t>AGR Actor Mat</w:t>
            </w:r>
          </w:p>
        </w:tc>
        <w:tc>
          <w:tcPr>
            <w:tcW w:type="dxa" w:w="2051"/>
            <w:vAlign w:val="center"/>
          </w:tcPr>
          <w:p>
            <w:pPr>
              <w:spacing w:after="0"/>
            </w:pPr>
            <w:r/>
            <w:r>
              <w:rPr>
                <w:b w:val="0"/>
              </w:rPr>
              <w:t>Move one real Seed into the action-specific pending state. At activation place two real Seeds in Deployable if both spaces are available; net +1 Seed.</w:t>
            </w:r>
          </w:p>
        </w:tc>
      </w:tr>
      <w:tr>
        <w:tc>
          <w:tcPr>
            <w:tcW w:type="dxa" w:w="2051"/>
            <w:vAlign w:val="center"/>
          </w:tcPr>
          <w:p>
            <w:pPr>
              <w:spacing w:after="0"/>
            </w:pPr>
            <w:r/>
            <w:r>
              <w:rPr>
                <w:b w:val="0"/>
              </w:rPr>
              <w:t>IRRIGATE</w:t>
            </w:r>
          </w:p>
        </w:tc>
        <w:tc>
          <w:tcPr>
            <w:tcW w:type="dxa" w:w="2051"/>
            <w:vAlign w:val="center"/>
          </w:tcPr>
          <w:p>
            <w:pPr>
              <w:spacing w:after="0"/>
            </w:pPr>
            <w:r/>
            <w:r>
              <w:rPr>
                <w:b w:val="0"/>
              </w:rPr>
              <w:t>IMMEDIATE</w:t>
            </w:r>
          </w:p>
        </w:tc>
        <w:tc>
          <w:tcPr>
            <w:tcW w:type="dxa" w:w="2051"/>
            <w:vAlign w:val="center"/>
          </w:tcPr>
          <w:p>
            <w:pPr>
              <w:spacing w:after="0"/>
            </w:pPr>
            <w:r/>
            <w:r>
              <w:rPr>
                <w:b w:val="0"/>
              </w:rPr>
              <w:t>0 Funds; 1 Capacity</w:t>
            </w:r>
          </w:p>
        </w:tc>
        <w:tc>
          <w:tcPr>
            <w:tcW w:type="dxa" w:w="2051"/>
            <w:vAlign w:val="center"/>
          </w:tcPr>
          <w:p>
            <w:pPr>
              <w:spacing w:after="0"/>
            </w:pPr>
            <w:r/>
            <w:r>
              <w:rPr>
                <w:b w:val="0"/>
              </w:rPr>
              <w:t>Same cell Active Crop</w:t>
            </w:r>
          </w:p>
        </w:tc>
        <w:tc>
          <w:tcPr>
            <w:tcW w:type="dxa" w:w="2051"/>
            <w:vAlign w:val="center"/>
          </w:tcPr>
          <w:p>
            <w:pPr>
              <w:spacing w:after="0"/>
            </w:pPr>
            <w:r/>
            <w:r>
              <w:rPr>
                <w:b w:val="0"/>
              </w:rPr>
              <w:t>Move Common Water to Crop as Seasonal Support. Paid AGR Capacity stays in the interstitial territorial cluster until normal Season Opening.</w:t>
            </w:r>
          </w:p>
        </w:tc>
      </w:tr>
      <w:tr>
        <w:tc>
          <w:tcPr>
            <w:tcW w:type="dxa" w:w="2051"/>
            <w:vAlign w:val="center"/>
          </w:tcPr>
          <w:p>
            <w:pPr>
              <w:spacing w:after="0"/>
            </w:pPr>
            <w:r/>
            <w:r>
              <w:rPr>
                <w:b w:val="0"/>
              </w:rPr>
              <w:t>STORE</w:t>
            </w:r>
          </w:p>
        </w:tc>
        <w:tc>
          <w:tcPr>
            <w:tcW w:type="dxa" w:w="2051"/>
            <w:vAlign w:val="center"/>
          </w:tcPr>
          <w:p>
            <w:pPr>
              <w:spacing w:after="0"/>
            </w:pPr>
            <w:r/>
            <w:r>
              <w:rPr>
                <w:b w:val="0"/>
              </w:rPr>
              <w:t>IMMEDIATE</w:t>
            </w:r>
          </w:p>
        </w:tc>
        <w:tc>
          <w:tcPr>
            <w:tcW w:type="dxa" w:w="2051"/>
            <w:vAlign w:val="center"/>
          </w:tcPr>
          <w:p>
            <w:pPr>
              <w:spacing w:after="0"/>
            </w:pPr>
            <w:r/>
            <w:r>
              <w:rPr>
                <w:b w:val="0"/>
              </w:rPr>
              <w:t>0 Funds; 1 Capacity</w:t>
            </w:r>
          </w:p>
        </w:tc>
        <w:tc>
          <w:tcPr>
            <w:tcW w:type="dxa" w:w="2051"/>
            <w:vAlign w:val="center"/>
          </w:tcPr>
          <w:p>
            <w:pPr>
              <w:spacing w:after="0"/>
            </w:pPr>
            <w:r/>
            <w:r>
              <w:rPr>
                <w:b w:val="0"/>
              </w:rPr>
              <w:t>AGR Actor Mat</w:t>
            </w:r>
          </w:p>
        </w:tc>
        <w:tc>
          <w:tcPr>
            <w:tcW w:type="dxa" w:w="2051"/>
            <w:vAlign w:val="center"/>
          </w:tcPr>
          <w:p>
            <w:pPr>
              <w:spacing w:after="0"/>
            </w:pPr>
            <w:r/>
            <w:r>
              <w:rPr>
                <w:b w:val="0"/>
              </w:rPr>
              <w:t>Move up to 2 Deployable Seeds to Protected within cap 4; personal stock has no automatic expiry.</w:t>
            </w:r>
          </w:p>
        </w:tc>
      </w:tr>
      <w:tr>
        <w:tc>
          <w:tcPr>
            <w:tcW w:type="dxa" w:w="2051"/>
            <w:vAlign w:val="center"/>
          </w:tcPr>
          <w:p>
            <w:pPr>
              <w:spacing w:after="0"/>
            </w:pPr>
            <w:r/>
            <w:r>
              <w:rPr>
                <w:b w:val="0"/>
              </w:rPr>
              <w:t>ADOPT</w:t>
            </w:r>
          </w:p>
        </w:tc>
        <w:tc>
          <w:tcPr>
            <w:tcW w:type="dxa" w:w="2051"/>
            <w:vAlign w:val="center"/>
          </w:tcPr>
          <w:p>
            <w:pPr>
              <w:spacing w:after="0"/>
            </w:pPr>
            <w:r/>
            <w:r>
              <w:rPr>
                <w:b w:val="0"/>
              </w:rPr>
              <w:t>NEXT SEASON</w:t>
            </w:r>
          </w:p>
        </w:tc>
        <w:tc>
          <w:tcPr>
            <w:tcW w:type="dxa" w:w="2051"/>
            <w:vAlign w:val="center"/>
          </w:tcPr>
          <w:p>
            <w:pPr>
              <w:spacing w:after="0"/>
            </w:pPr>
            <w:r/>
            <w:r>
              <w:rPr>
                <w:b w:val="0"/>
              </w:rPr>
              <w:t>1 Fund; 1 Capacity</w:t>
            </w:r>
          </w:p>
        </w:tc>
        <w:tc>
          <w:tcPr>
            <w:tcW w:type="dxa" w:w="2051"/>
            <w:vAlign w:val="center"/>
          </w:tcPr>
          <w:p>
            <w:pPr>
              <w:spacing w:after="0"/>
            </w:pPr>
            <w:r/>
            <w:r>
              <w:rPr>
                <w:b w:val="0"/>
              </w:rPr>
              <w:t>Eligible AGR action socket</w:t>
            </w:r>
          </w:p>
        </w:tc>
        <w:tc>
          <w:tcPr>
            <w:tcW w:type="dxa" w:w="2051"/>
            <w:vAlign w:val="center"/>
          </w:tcPr>
          <w:p>
            <w:pPr>
              <w:spacing w:after="0"/>
            </w:pPr>
            <w:r/>
            <w:r>
              <w:rPr>
                <w:b w:val="0"/>
              </w:rPr>
              <w:t>Move available Strengthening to WAIT 1, then READY/USED on Sow, Multiply, Irrigate or Store; maximum one per action.</w:t>
            </w:r>
          </w:p>
        </w:tc>
      </w:tr>
    </w:tbl>
    <w:p>
      <w:pPr>
        <w:pStyle w:val="Heading2"/>
      </w:pPr>
      <w:r>
        <w:t>PAS</w:t>
      </w:r>
    </w:p>
    <w:tbl>
      <w:tblPr>
        <w:tblStyle w:val="TableGrid"/>
        <w:tblW w:type="auto" w:w="0"/>
        <w:jc w:val="center"/>
        <w:tblLook w:firstColumn="1" w:firstRow="1" w:lastColumn="0" w:lastRow="0" w:noHBand="0" w:noVBand="1" w:val="04A0"/>
      </w:tblPr>
      <w:tblGrid>
        <w:gridCol w:w="2051"/>
        <w:gridCol w:w="2051"/>
        <w:gridCol w:w="2051"/>
        <w:gridCol w:w="2051"/>
        <w:gridCol w:w="2051"/>
      </w:tblGrid>
      <w:tr>
        <w:trPr>
          <w:tblHeader w:val="true"/>
        </w:trPr>
        <w:tc>
          <w:tcPr>
            <w:tcW w:type="dxa" w:w="2051"/>
            <w:vAlign w:val="center"/>
            <w:shd w:fill="DDE8E3"/>
          </w:tcPr>
          <w:p>
            <w:pPr>
              <w:spacing w:after="0"/>
            </w:pPr>
            <w:r/>
            <w:r>
              <w:rPr>
                <w:b/>
              </w:rPr>
              <w:t>Action</w:t>
            </w:r>
          </w:p>
        </w:tc>
        <w:tc>
          <w:tcPr>
            <w:tcW w:type="dxa" w:w="2051"/>
            <w:vAlign w:val="center"/>
            <w:shd w:fill="DDE8E3"/>
          </w:tcPr>
          <w:p>
            <w:pPr>
              <w:spacing w:after="0"/>
            </w:pPr>
            <w:r/>
            <w:r>
              <w:rPr>
                <w:b/>
              </w:rPr>
              <w:t>Timing</w:t>
            </w:r>
          </w:p>
        </w:tc>
        <w:tc>
          <w:tcPr>
            <w:tcW w:type="dxa" w:w="2051"/>
            <w:vAlign w:val="center"/>
            <w:shd w:fill="DDE8E3"/>
          </w:tcPr>
          <w:p>
            <w:pPr>
              <w:spacing w:after="0"/>
            </w:pPr>
            <w:r/>
            <w:r>
              <w:rPr>
                <w:b/>
              </w:rPr>
              <w:t>Base cost/input</w:t>
            </w:r>
          </w:p>
        </w:tc>
        <w:tc>
          <w:tcPr>
            <w:tcW w:type="dxa" w:w="2051"/>
            <w:vAlign w:val="center"/>
            <w:shd w:fill="DDE8E3"/>
          </w:tcPr>
          <w:p>
            <w:pPr>
              <w:spacing w:after="0"/>
            </w:pPr>
            <w:r/>
            <w:r>
              <w:rPr>
                <w:b/>
              </w:rPr>
              <w:t>Scale</w:t>
            </w:r>
          </w:p>
        </w:tc>
        <w:tc>
          <w:tcPr>
            <w:tcW w:type="dxa" w:w="2051"/>
            <w:vAlign w:val="center"/>
            <w:shd w:fill="DDE8E3"/>
          </w:tcPr>
          <w:p>
            <w:pPr>
              <w:spacing w:after="0"/>
            </w:pPr>
            <w:r/>
            <w:r>
              <w:rPr>
                <w:b/>
              </w:rPr>
              <w:t>Physical evidence</w:t>
            </w:r>
          </w:p>
        </w:tc>
      </w:tr>
      <w:tr>
        <w:tc>
          <w:tcPr>
            <w:tcW w:type="dxa" w:w="2051"/>
            <w:vAlign w:val="center"/>
          </w:tcPr>
          <w:p>
            <w:pPr>
              <w:spacing w:after="0"/>
            </w:pPr>
            <w:r/>
            <w:r>
              <w:rPr>
                <w:b w:val="0"/>
              </w:rPr>
              <w:t>MOVE HERD</w:t>
            </w:r>
          </w:p>
        </w:tc>
        <w:tc>
          <w:tcPr>
            <w:tcW w:type="dxa" w:w="2051"/>
            <w:vAlign w:val="center"/>
          </w:tcPr>
          <w:p>
            <w:pPr>
              <w:spacing w:after="0"/>
            </w:pPr>
            <w:r/>
            <w:r>
              <w:rPr>
                <w:b w:val="0"/>
              </w:rPr>
              <w:t>IMMEDIATE</w:t>
            </w:r>
          </w:p>
        </w:tc>
        <w:tc>
          <w:tcPr>
            <w:tcW w:type="dxa" w:w="2051"/>
            <w:vAlign w:val="center"/>
          </w:tcPr>
          <w:p>
            <w:pPr>
              <w:spacing w:after="0"/>
            </w:pPr>
            <w:r/>
            <w:r>
              <w:rPr>
                <w:b w:val="0"/>
              </w:rPr>
              <w:t>0 Funds; 1 with flow / 2 counterflow</w:t>
            </w:r>
          </w:p>
        </w:tc>
        <w:tc>
          <w:tcPr>
            <w:tcW w:type="dxa" w:w="2051"/>
            <w:vAlign w:val="center"/>
          </w:tcPr>
          <w:p>
            <w:pPr>
              <w:spacing w:after="0"/>
            </w:pPr>
            <w:r/>
            <w:r>
              <w:rPr>
                <w:b w:val="0"/>
              </w:rPr>
              <w:t>One printed Connection</w:t>
            </w:r>
          </w:p>
        </w:tc>
        <w:tc>
          <w:tcPr>
            <w:tcW w:type="dxa" w:w="2051"/>
            <w:vAlign w:val="center"/>
          </w:tcPr>
          <w:p>
            <w:pPr>
              <w:spacing w:after="0"/>
            </w:pPr>
            <w:r/>
            <w:r>
              <w:rPr>
                <w:b w:val="0"/>
              </w:rPr>
              <w:t>Move one Herd one connected cell; support follows. Paid Capacity remains in the destination cluster and does not follow later movement.</w:t>
            </w:r>
          </w:p>
        </w:tc>
      </w:tr>
      <w:tr>
        <w:tc>
          <w:tcPr>
            <w:tcW w:type="dxa" w:w="2051"/>
            <w:vAlign w:val="center"/>
          </w:tcPr>
          <w:p>
            <w:pPr>
              <w:spacing w:after="0"/>
            </w:pPr>
            <w:r/>
            <w:r>
              <w:rPr>
                <w:b w:val="0"/>
              </w:rPr>
              <w:t>WATER HERD</w:t>
            </w:r>
          </w:p>
        </w:tc>
        <w:tc>
          <w:tcPr>
            <w:tcW w:type="dxa" w:w="2051"/>
            <w:vAlign w:val="center"/>
          </w:tcPr>
          <w:p>
            <w:pPr>
              <w:spacing w:after="0"/>
            </w:pPr>
            <w:r/>
            <w:r>
              <w:rPr>
                <w:b w:val="0"/>
              </w:rPr>
              <w:t>IMMEDIATE</w:t>
            </w:r>
          </w:p>
        </w:tc>
        <w:tc>
          <w:tcPr>
            <w:tcW w:type="dxa" w:w="2051"/>
            <w:vAlign w:val="center"/>
          </w:tcPr>
          <w:p>
            <w:pPr>
              <w:spacing w:after="0"/>
            </w:pPr>
            <w:r/>
            <w:r>
              <w:rPr>
                <w:b w:val="0"/>
              </w:rPr>
              <w:t>0 Funds; 1 Capacity</w:t>
            </w:r>
          </w:p>
        </w:tc>
        <w:tc>
          <w:tcPr>
            <w:tcW w:type="dxa" w:w="2051"/>
            <w:vAlign w:val="center"/>
          </w:tcPr>
          <w:p>
            <w:pPr>
              <w:spacing w:after="0"/>
            </w:pPr>
            <w:r/>
            <w:r>
              <w:rPr>
                <w:b w:val="0"/>
              </w:rPr>
              <w:t>Same Territorial Cell</w:t>
            </w:r>
          </w:p>
        </w:tc>
        <w:tc>
          <w:tcPr>
            <w:tcW w:type="dxa" w:w="2051"/>
            <w:vAlign w:val="center"/>
          </w:tcPr>
          <w:p>
            <w:pPr>
              <w:spacing w:after="0"/>
            </w:pPr>
            <w:r/>
            <w:r>
              <w:rPr>
                <w:b w:val="0"/>
              </w:rPr>
              <w:t>Move Common Water from a Water Point to Herd as Seasonal Support.</w:t>
            </w:r>
          </w:p>
        </w:tc>
      </w:tr>
      <w:tr>
        <w:tc>
          <w:tcPr>
            <w:tcW w:type="dxa" w:w="2051"/>
            <w:vAlign w:val="center"/>
          </w:tcPr>
          <w:p>
            <w:pPr>
              <w:spacing w:after="0"/>
            </w:pPr>
            <w:r/>
            <w:r>
              <w:rPr>
                <w:b w:val="0"/>
              </w:rPr>
              <w:t>FEED HERD</w:t>
            </w:r>
          </w:p>
        </w:tc>
        <w:tc>
          <w:tcPr>
            <w:tcW w:type="dxa" w:w="2051"/>
            <w:vAlign w:val="center"/>
          </w:tcPr>
          <w:p>
            <w:pPr>
              <w:spacing w:after="0"/>
            </w:pPr>
            <w:r/>
            <w:r>
              <w:rPr>
                <w:b w:val="0"/>
              </w:rPr>
              <w:t>IMMEDIATE</w:t>
            </w:r>
          </w:p>
        </w:tc>
        <w:tc>
          <w:tcPr>
            <w:tcW w:type="dxa" w:w="2051"/>
            <w:vAlign w:val="center"/>
          </w:tcPr>
          <w:p>
            <w:pPr>
              <w:spacing w:after="0"/>
            </w:pPr>
            <w:r/>
            <w:r>
              <w:rPr>
                <w:b w:val="0"/>
              </w:rPr>
              <w:t>0 Funds; 1 Capacity</w:t>
            </w:r>
          </w:p>
        </w:tc>
        <w:tc>
          <w:tcPr>
            <w:tcW w:type="dxa" w:w="2051"/>
            <w:vAlign w:val="center"/>
          </w:tcPr>
          <w:p>
            <w:pPr>
              <w:spacing w:after="0"/>
            </w:pPr>
            <w:r/>
            <w:r>
              <w:rPr>
                <w:b w:val="0"/>
              </w:rPr>
              <w:t>PAS Deployable or same-cell FAO lot</w:t>
            </w:r>
          </w:p>
        </w:tc>
        <w:tc>
          <w:tcPr>
            <w:tcW w:type="dxa" w:w="2051"/>
            <w:vAlign w:val="center"/>
          </w:tcPr>
          <w:p>
            <w:pPr>
              <w:spacing w:after="0"/>
            </w:pPr>
            <w:r/>
            <w:r>
              <w:rPr>
                <w:b w:val="0"/>
              </w:rPr>
              <w:t>Move Feed to Herd. Same-cell FAO lot requires FAO consent.</w:t>
            </w:r>
          </w:p>
        </w:tc>
      </w:tr>
      <w:tr>
        <w:tc>
          <w:tcPr>
            <w:tcW w:type="dxa" w:w="2051"/>
            <w:vAlign w:val="center"/>
          </w:tcPr>
          <w:p>
            <w:pPr>
              <w:spacing w:after="0"/>
            </w:pPr>
            <w:r/>
            <w:r>
              <w:rPr>
                <w:b w:val="0"/>
              </w:rPr>
              <w:t>VACCINATE</w:t>
            </w:r>
          </w:p>
        </w:tc>
        <w:tc>
          <w:tcPr>
            <w:tcW w:type="dxa" w:w="2051"/>
            <w:vAlign w:val="center"/>
          </w:tcPr>
          <w:p>
            <w:pPr>
              <w:spacing w:after="0"/>
            </w:pPr>
            <w:r/>
            <w:r>
              <w:rPr>
                <w:b w:val="0"/>
              </w:rPr>
              <w:t>IMMEDIATE</w:t>
            </w:r>
          </w:p>
        </w:tc>
        <w:tc>
          <w:tcPr>
            <w:tcW w:type="dxa" w:w="2051"/>
            <w:vAlign w:val="center"/>
          </w:tcPr>
          <w:p>
            <w:pPr>
              <w:spacing w:after="0"/>
            </w:pPr>
            <w:r/>
            <w:r>
              <w:rPr>
                <w:b w:val="0"/>
              </w:rPr>
              <w:t>0 Funds; 1 Capacity</w:t>
            </w:r>
          </w:p>
        </w:tc>
        <w:tc>
          <w:tcPr>
            <w:tcW w:type="dxa" w:w="2051"/>
            <w:vAlign w:val="center"/>
          </w:tcPr>
          <w:p>
            <w:pPr>
              <w:spacing w:after="0"/>
            </w:pPr>
            <w:r/>
            <w:r>
              <w:rPr>
                <w:b w:val="0"/>
              </w:rPr>
              <w:t>PAS Deployable or same-cell FAO lot</w:t>
            </w:r>
          </w:p>
        </w:tc>
        <w:tc>
          <w:tcPr>
            <w:tcW w:type="dxa" w:w="2051"/>
            <w:vAlign w:val="center"/>
          </w:tcPr>
          <w:p>
            <w:pPr>
              <w:spacing w:after="0"/>
            </w:pPr>
            <w:r/>
            <w:r>
              <w:rPr>
                <w:b w:val="0"/>
              </w:rPr>
              <w:t>Move Veterinary input to Herd.</w:t>
            </w:r>
          </w:p>
        </w:tc>
      </w:tr>
      <w:tr>
        <w:tc>
          <w:tcPr>
            <w:tcW w:type="dxa" w:w="2051"/>
            <w:vAlign w:val="center"/>
          </w:tcPr>
          <w:p>
            <w:pPr>
              <w:spacing w:after="0"/>
            </w:pPr>
            <w:r/>
            <w:r>
              <w:rPr>
                <w:b w:val="0"/>
              </w:rPr>
              <w:t>MEDIATE</w:t>
            </w:r>
          </w:p>
        </w:tc>
        <w:tc>
          <w:tcPr>
            <w:tcW w:type="dxa" w:w="2051"/>
            <w:vAlign w:val="center"/>
          </w:tcPr>
          <w:p>
            <w:pPr>
              <w:spacing w:after="0"/>
            </w:pPr>
            <w:r/>
            <w:r>
              <w:rPr>
                <w:b w:val="0"/>
              </w:rPr>
              <w:t>IMMEDIATE configuration; active next actor cycle</w:t>
            </w:r>
          </w:p>
        </w:tc>
        <w:tc>
          <w:tcPr>
            <w:tcW w:type="dxa" w:w="2051"/>
            <w:vAlign w:val="center"/>
          </w:tcPr>
          <w:p>
            <w:pPr>
              <w:spacing w:after="0"/>
            </w:pPr>
            <w:r/>
            <w:r>
              <w:rPr>
                <w:b w:val="0"/>
              </w:rPr>
              <w:t>1 Fund; 1 Capacity</w:t>
            </w:r>
          </w:p>
        </w:tc>
        <w:tc>
          <w:tcPr>
            <w:tcW w:type="dxa" w:w="2051"/>
            <w:vAlign w:val="center"/>
          </w:tcPr>
          <w:p>
            <w:pPr>
              <w:spacing w:after="0"/>
            </w:pPr>
            <w:r/>
            <w:r>
              <w:rPr>
                <w:b w:val="0"/>
              </w:rPr>
              <w:t>Eligible Territorial Object/Site</w:t>
            </w:r>
          </w:p>
        </w:tc>
        <w:tc>
          <w:tcPr>
            <w:tcW w:type="dxa" w:w="2051"/>
            <w:vAlign w:val="center"/>
          </w:tcPr>
          <w:p>
            <w:pPr>
              <w:spacing w:after="0"/>
            </w:pPr>
            <w:r/>
            <w:r>
              <w:rPr>
                <w:b w:val="0"/>
              </w:rPr>
              <w:t>Object-centred configuration: PAS Presence + pertinent counterpart Presence(s) + PAS Capacity. Persistent; no Agreement marker. Land-Use Area is one possible object, not a universal prerequisite.</w:t>
            </w:r>
          </w:p>
        </w:tc>
      </w:tr>
    </w:tbl>
    <w:p>
      <w:pPr>
        <w:pStyle w:val="Heading1"/>
      </w:pPr>
      <w:r>
        <w:t>10. Territorial and Water rules</w:t>
      </w:r>
    </w:p>
    <w:p>
      <w:pPr>
        <w:pStyle w:val="ListBullet"/>
      </w:pPr>
      <w:r>
        <w:t>Territorial Cells are the local scale; Sites are narrower object clusters within a cell.</w:t>
      </w:r>
    </w:p>
    <w:p>
      <w:pPr>
        <w:pStyle w:val="ListBullet"/>
      </w:pPr>
      <w:r>
        <w:t>Ordinary Herd movement uses printed Connections only. With-flow base cost is 1 PAS Capacity; counterflow base cost is 2; NO PREVAILING FLOW is base 1 either direction.</w:t>
      </w:r>
    </w:p>
    <w:p>
      <w:pPr>
        <w:pStyle w:val="ListBullet"/>
      </w:pPr>
      <w:r>
        <w:t>A Herd may stay in its cell. Water and pasture are not universal legality prerequisites; apply only printed effects.</w:t>
      </w:r>
    </w:p>
    <w:p>
      <w:pPr>
        <w:pStyle w:val="ListBullet"/>
      </w:pPr>
      <w:r>
        <w:t>Herds are autonomous mobile units and occupy zero Presence component slots. Water, Feed and Veterinary support on Herds also occupy zero slots.</w:t>
      </w:r>
    </w:p>
    <w:p>
      <w:pPr>
        <w:pStyle w:val="ListBullet"/>
      </w:pPr>
      <w:r>
        <w:t>Water Points produce Common Water at Season Opening: natural 1; ACTIVE 2 total 2; ACTIVE 3 total 3; INACTIVE asset total 1.</w:t>
      </w:r>
    </w:p>
    <w:p>
      <w:pPr>
        <w:pStyle w:val="ListBullet"/>
      </w:pPr>
      <w:r>
        <w:t>Common Water used on a Herd or Active Crop is Seasonal Support and returns at Season Closing unless an effect states another timing.</w:t>
      </w:r>
    </w:p>
    <w:p>
      <w:pPr>
        <w:pStyle w:val="ListBullet"/>
      </w:pPr>
      <w:r>
        <w:t>Land-Use Area is one possible object of Mediate; it is not a universal prerequisite.</w:t>
      </w:r>
    </w:p>
    <w:p>
      <w:pPr>
        <w:pStyle w:val="Heading1"/>
      </w:pPr>
      <w:r>
        <w:t>11. Expiry and personal stock</w:t>
      </w:r>
    </w:p>
    <w:p>
      <w:r>
        <w:t>Expiry discs x10 have two physical faces: -2 and -1. Eligible Common Board lots progress -2 -&gt; -1 -&gt; remove when expiry is reached. Actor Mat stock and action-specific pending states do not receive ordinary automatic expiry.</w:t>
      </w:r>
    </w:p>
    <w:p>
      <w:pPr>
        <w:pStyle w:val="Heading1"/>
      </w:pPr>
      <w:r>
        <w:t>12. Season Closing</w:t>
      </w:r>
    </w:p>
    <w:p>
      <w:pPr>
        <w:pStyle w:val="ListNumber"/>
      </w:pPr>
      <w:r>
        <w:t>Return Seasonal Support and unused Water to the Common Water Reserve as required.</w:t>
      </w:r>
    </w:p>
    <w:p>
      <w:pPr>
        <w:pStyle w:val="ListNumber"/>
      </w:pPr>
      <w:r>
        <w:t>Resolve the printed harvest window. Move harvested crop Seeds from the Common Board to AGR HARVESTED THIS YEAR - W/C/E by origin Macroregion.</w:t>
      </w:r>
    </w:p>
    <w:p>
      <w:pPr>
        <w:pStyle w:val="ListNumber"/>
      </w:pPr>
      <w:r>
        <w:t>Preserve paid Capacity until its legal recovery timing; target loss or harvest does not grant early recovery.</w:t>
      </w:r>
    </w:p>
    <w:p>
      <w:pPr>
        <w:pStyle w:val="ListNumber"/>
      </w:pPr>
      <w:r>
        <w:t>Update only eligible Common Board expiry. Actor Mat stock does not age automatically.</w:t>
      </w:r>
    </w:p>
    <w:p>
      <w:pPr>
        <w:pStyle w:val="ListNumber"/>
      </w:pPr>
      <w:r>
        <w:t>Remove temporary markers at their exact timing, including the Preventive Maintain wrench after its Resolution check.</w:t>
      </w:r>
    </w:p>
    <w:p>
      <w:pPr>
        <w:pStyle w:val="ListNumber"/>
      </w:pPr>
      <w:r>
        <w:t>Resolve Progress closing text and Intervention failure/replacement rules, then advance the season.</w:t>
      </w:r>
    </w:p>
    <w:p>
      <w:pPr>
        <w:pStyle w:val="Heading1"/>
      </w:pPr>
      <w:r>
        <w:t>13. Year Closing</w:t>
      </w:r>
    </w:p>
    <w:tbl>
      <w:tblPr>
        <w:tblStyle w:val="TableGrid"/>
        <w:tblW w:type="auto" w:w="0"/>
        <w:jc w:val="center"/>
        <w:tblLook w:firstColumn="1" w:firstRow="1" w:lastColumn="0" w:lastRow="0" w:noHBand="0" w:noVBand="1" w:val="04A0"/>
      </w:tblPr>
      <w:tblGrid>
        <w:gridCol w:w="5128"/>
        <w:gridCol w:w="5128"/>
      </w:tblGrid>
      <w:tr>
        <w:trPr>
          <w:tblHeader w:val="true"/>
        </w:trPr>
        <w:tc>
          <w:tcPr>
            <w:tcW w:type="dxa" w:w="5128"/>
            <w:vAlign w:val="center"/>
            <w:shd w:fill="DDE8E3"/>
          </w:tcPr>
          <w:p>
            <w:pPr>
              <w:spacing w:after="0"/>
            </w:pPr>
            <w:r/>
            <w:r>
              <w:rPr>
                <w:b/>
              </w:rPr>
              <w:t>Closing</w:t>
            </w:r>
          </w:p>
        </w:tc>
        <w:tc>
          <w:tcPr>
            <w:tcW w:type="dxa" w:w="5128"/>
            <w:vAlign w:val="center"/>
            <w:shd w:fill="DDE8E3"/>
          </w:tcPr>
          <w:p>
            <w:pPr>
              <w:spacing w:after="0"/>
            </w:pPr>
            <w:r/>
            <w:r>
              <w:rPr>
                <w:b/>
              </w:rPr>
              <w:t>Annual procedure</w:t>
            </w:r>
          </w:p>
        </w:tc>
      </w:tr>
      <w:tr>
        <w:tc>
          <w:tcPr>
            <w:tcW w:type="dxa" w:w="5128"/>
            <w:vAlign w:val="center"/>
          </w:tcPr>
          <w:p>
            <w:pPr>
              <w:spacing w:after="0"/>
            </w:pPr>
            <w:r/>
            <w:r>
              <w:rPr>
                <w:b w:val="0"/>
              </w:rPr>
              <w:t>Y1 NOVEMBER-DECEMBER</w:t>
            </w:r>
          </w:p>
        </w:tc>
        <w:tc>
          <w:tcPr>
            <w:tcW w:type="dxa" w:w="5128"/>
            <w:vAlign w:val="center"/>
          </w:tcPr>
          <w:p>
            <w:pPr>
              <w:spacing w:after="0"/>
            </w:pPr>
            <w:r/>
            <w:r>
              <w:rPr>
                <w:b w:val="0"/>
              </w:rPr>
              <w:t>Each actor selects one of its two Project candidates by this closing, even if it is not STARTED. Return GOV Deployed Capacity to Available at year transition. Inspect harvested evidence before cleanup.</w:t>
            </w:r>
          </w:p>
        </w:tc>
      </w:tr>
      <w:tr>
        <w:tc>
          <w:tcPr>
            <w:tcW w:type="dxa" w:w="5128"/>
            <w:vAlign w:val="center"/>
          </w:tcPr>
          <w:p>
            <w:pPr>
              <w:spacing w:after="0"/>
            </w:pPr>
            <w:r/>
            <w:r>
              <w:rPr>
                <w:b w:val="0"/>
              </w:rPr>
              <w:t>Y2 NOVEMBER-DECEMBER</w:t>
            </w:r>
          </w:p>
        </w:tc>
        <w:tc>
          <w:tcPr>
            <w:tcW w:type="dxa" w:w="5128"/>
            <w:vAlign w:val="center"/>
          </w:tcPr>
          <w:p>
            <w:pPr>
              <w:spacing w:after="0"/>
            </w:pPr>
            <w:r/>
            <w:r>
              <w:rPr>
                <w:b w:val="0"/>
              </w:rPr>
              <w:t>Place permanent Y2 CHECK or X on each selected Project; return GOV Deployed Capacity at year transition; inspect harvested evidence before returning harvested Seeds to the common reserve after annual checks.</w:t>
            </w:r>
          </w:p>
        </w:tc>
      </w:tr>
      <w:tr>
        <w:tc>
          <w:tcPr>
            <w:tcW w:type="dxa" w:w="5128"/>
            <w:vAlign w:val="center"/>
          </w:tcPr>
          <w:p>
            <w:pPr>
              <w:spacing w:after="0"/>
            </w:pPr>
            <w:r/>
            <w:r>
              <w:rPr>
                <w:b w:val="0"/>
              </w:rPr>
              <w:t>Y3 NOVEMBER-DECEMBER</w:t>
            </w:r>
          </w:p>
        </w:tc>
        <w:tc>
          <w:tcPr>
            <w:tcW w:type="dxa" w:w="5128"/>
            <w:vAlign w:val="center"/>
          </w:tcPr>
          <w:p>
            <w:pPr>
              <w:spacing w:after="0"/>
            </w:pPr>
            <w:r/>
            <w:r>
              <w:rPr>
                <w:b w:val="0"/>
              </w:rPr>
              <w:t>Place permanent Y3 CHECK or X and complete the same year-transition cleanup.</w:t>
            </w:r>
          </w:p>
        </w:tc>
      </w:tr>
      <w:tr>
        <w:tc>
          <w:tcPr>
            <w:tcW w:type="dxa" w:w="5128"/>
            <w:vAlign w:val="center"/>
          </w:tcPr>
          <w:p>
            <w:pPr>
              <w:spacing w:after="0"/>
            </w:pPr>
            <w:r/>
            <w:r>
              <w:rPr>
                <w:b w:val="0"/>
              </w:rPr>
              <w:t>Y4 NOVEMBER-DECEMBER</w:t>
            </w:r>
          </w:p>
        </w:tc>
        <w:tc>
          <w:tcPr>
            <w:tcW w:type="dxa" w:w="5128"/>
            <w:vAlign w:val="center"/>
          </w:tcPr>
          <w:p>
            <w:pPr>
              <w:spacing w:after="0"/>
            </w:pPr>
            <w:r/>
            <w:r>
              <w:rPr>
                <w:b w:val="0"/>
              </w:rPr>
              <w:t>Place permanent Y4 CHECK or X, complete year-transition evidence handling, then proceed to Final Resolution.</w:t>
            </w:r>
          </w:p>
        </w:tc>
      </w:tr>
    </w:tbl>
    <w:p>
      <w:pPr>
        <w:pStyle w:val="Heading1"/>
      </w:pPr>
      <w:r>
        <w:t>14. Projects, Interventions and Project Support</w:t>
      </w:r>
    </w:p>
    <w:p>
      <w:pPr>
        <w:pStyle w:val="ListBullet"/>
      </w:pPr>
      <w:r>
        <w:t>A declared Intervention has one permanent Lead Actor. Completed cards remain face up in that Lead Actor COMPLETED area.</w:t>
      </w:r>
    </w:p>
    <w:p>
      <w:pPr>
        <w:pStyle w:val="ListBullet"/>
      </w:pPr>
      <w:r>
        <w:t>A completed Intervention may support at most one Project milestone. With valid evidence and Lead Actor consent, place one Lead Actor-colour Project Support marker on the beneficiary Project; the Intervention card stays with its Lead Actor.</w:t>
      </w:r>
    </w:p>
    <w:p>
      <w:pPr>
        <w:pStyle w:val="ListBullet"/>
      </w:pPr>
      <w:r>
        <w:t>Project Milestone markers x15 begin in the Common Reserve and are taken only when recording Y2/Y3/Y4 CHECK/X.</w:t>
      </w:r>
    </w:p>
    <w:p>
      <w:pPr>
        <w:pStyle w:val="ListBullet"/>
      </w:pPr>
      <w:r>
        <w:t>Project Support markers x15 remain part of v2.5. Marker simplification is reserved for post-playtest review.</w:t>
      </w:r>
    </w:p>
    <w:p>
      <w:pPr>
        <w:pStyle w:val="Heading1"/>
      </w:pPr>
      <w:r>
        <w:t>15. Final Resolution</w:t>
      </w:r>
    </w:p>
    <w:p>
      <w:pPr>
        <w:pStyle w:val="ListNumber"/>
      </w:pPr>
      <w:r>
        <w:t>Resolve only final pending outputs explicitly permitted; do not run a normal Season Opening.</w:t>
      </w:r>
    </w:p>
    <w:p>
      <w:pPr>
        <w:pStyle w:val="ListNumber"/>
      </w:pPr>
      <w:r>
        <w:t>Verify the five selected Projects and their Y2/Y3/Y4 markers.</w:t>
      </w:r>
    </w:p>
    <w:p>
      <w:pPr>
        <w:pStyle w:val="ListNumber"/>
      </w:pPr>
      <w:r>
        <w:t>Classify Projects from frozen visible evidence.</w:t>
      </w:r>
    </w:p>
    <w:p>
      <w:pPr>
        <w:pStyle w:val="ListNumber"/>
      </w:pPr>
      <w:r>
        <w:t>Freeze Common Board and Actor Mats; move nothing afterward.</w:t>
      </w:r>
    </w:p>
    <w:p>
      <w:pPr>
        <w:pStyle w:val="ListNumber"/>
      </w:pPr>
      <w:r>
        <w:t>Reveal all five Secret Missions.</w:t>
      </w:r>
    </w:p>
    <w:p>
      <w:pPr>
        <w:pStyle w:val="ListNumber"/>
      </w:pPr>
      <w:r>
        <w:t>Verify qualifying Projects, completed Interventions, tags, distinct contributors, Macroregions, final-state conditions and Project Support.</w:t>
      </w:r>
    </w:p>
    <w:p>
      <w:pPr>
        <w:pStyle w:val="ListNumber"/>
      </w:pPr>
      <w:r>
        <w:t>Determine path eligibility before comparing scores.</w:t>
      </w:r>
    </w:p>
    <w:p>
      <w:pPr>
        <w:pStyle w:val="ListNumber"/>
      </w:pPr>
      <w:r>
        <w:t>Calculate scores and compare eligible actors only. Equal highest eligible scores are Joint Winners.</w:t>
      </w:r>
    </w:p>
    <w:p>
      <w:pPr>
        <w:pStyle w:val="Heading1"/>
      </w:pPr>
      <w:r>
        <w:t>16. Guided Turn Manager</w:t>
      </w:r>
    </w:p>
    <w:p>
      <w:pPr>
        <w:pStyle w:val="ListBullet"/>
      </w:pPr>
      <w:r>
        <w:t>Install the included Lua in Scripting -&gt; Global -&gt; Lua and Save &amp; Play.</w:t>
      </w:r>
    </w:p>
    <w:p>
      <w:pPr>
        <w:pStyle w:val="ListBullet"/>
      </w:pPr>
      <w:r>
        <w:t>v0.4 provides FULL, COMPACT and HIDDEN visibility; TOP/BOTTOM placement; HIGH/DIM opacity; Tutorial On/Off; Show Guide launcher; Back; Next; and double-confirm Reset Guide.</w:t>
      </w:r>
    </w:p>
    <w:p>
      <w:pPr>
        <w:pStyle w:val="ListBullet"/>
      </w:pPr>
      <w:r>
        <w:t>The script guides card setup, Initial Preparation, seasonal timing, Intervention hand management and Final Resolution. It moves no pieces and enforces no legality.</w:t>
      </w:r>
    </w:p>
    <w:p>
      <w:pPr>
        <w:pStyle w:val="ListBullet"/>
      </w:pPr>
      <w:r>
        <w:t>v0.4 remains a playtest candidate until the complete Y1/Y2/Y3/Y4/Final live validation ladder is observed.</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964"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FAO-GGW / SAHEL CLIMATE ACTIONS   |   MASTER PACKAGE v2.5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color w:val="2633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2F6255"/>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1F3D35"/>
      <w:sz w:val="25"/>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ptos Display" w:hAnsi="Aptos Display"/>
      <w:b/>
      <w:bCs/>
      <w:color w:val="B887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F3D3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w:hAnsi="Aptos"/>
      <w:b w:val="0"/>
      <w:i/>
      <w:iCs/>
      <w:color w:val="5D69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Label">
    <w:name w:val="Status Label"/>
    <w:rPr>
      <w:rFonts w:ascii="Aptos" w:hAnsi="Aptos"/>
      <w:b/>
      <w:color w:val="B8873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FAO_GGW_RULEBOOK_v2_3</dc:title>
  <dc:subject>FAO–Great Green Wall / Sahel consolidated v2.3 TTS input</dc:subject>
  <dc:creator>python-docx</dc:creator>
  <cp:keywords/>
  <dc:description>Generated by C6 consolidation; no design changes.</dc:description>
  <cp:lastModifiedBy/>
  <cp:revision>1</cp:revision>
  <dcterms:created xsi:type="dcterms:W3CDTF">2013-12-23T23:15:00Z</dcterms:created>
  <dcterms:modified xsi:type="dcterms:W3CDTF">2013-12-23T23:15:00Z</dcterms:modified>
  <cp:category/>
</cp:coreProperties>
</file>