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05/10/2026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Zapatillas Duoc: E-Commerce &amp; Retail Analytics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5640"/>
        <w:gridCol w:w="1575"/>
        <w:gridCol w:w="1545"/>
        <w:gridCol w:w="1590"/>
        <w:tblGridChange w:id="0">
          <w:tblGrid>
            <w:gridCol w:w="5640"/>
            <w:gridCol w:w="1575"/>
            <w:gridCol w:w="1545"/>
            <w:gridCol w:w="15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Luis Alcaide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Bastian Quilodran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Horacio Vergara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Duoc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Josias Gonzalez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3"/>
              </w:num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Israel Gonzalez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.9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2266.953124999999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Matriz de Control de Cambios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Validación y aprobación de los requerimientos de cambio.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Destaca el cambio de arquitectura/canal administrativo hacia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Desktop App (Electron / React)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Matriz de Riesgos del Proyecto (R01 a R08):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Revisión del estado actual de los riesgos identificados.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Evaluación y confirmación de las medidas de mitigación correspondientes.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sesión dio inicio con la revisión detallada de la Matriz de Control de Cambios (solicitudes CC-01 y SC-02). Se prestó especial atención al cambio de arquitectura para la gestión de inventario y bodega, donde se ratificó el pivote desde una aplicación móvil hacia una Aplicación de Escritorio (Desktop App) desarrollada con Electron y React. Esta decisión responde a la necesidad de optimizar el rendimiento en las estaciones de trabajo fijas de la tienda física y garantizar la velocidad en la lectura e ingreso de mercancía.</w:t>
            </w:r>
          </w:p>
          <w:p w:rsidR="00000000" w:rsidDel="00000000" w:rsidP="00000000" w:rsidRDefault="00000000" w:rsidRPr="00000000" w14:paraId="00000042">
            <w:pPr>
              <w:spacing w:after="240"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Posteriormente, se realizó la revisión técnica de la Matriz de Riesgos del proyecto (R01 a R08). El equipo analizó cada riesgo identificado junto a sus probabilidades e impactos asociados (destacando la concurrencia en la pasarela de pagos, latencia en la API de ML y límites de infraestructura Cloud). Se confirmaron y validaron las acciones de mitigación propuestas para asegurar la estabilidad durante el inicio de la fase de desarrollo del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Control de Cambios (CC-01 y SC-02)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Aprobar formalmente los controles de cambio presentados, oficializando la adopción de la Desktop App (Electron/React) como canal administrativo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Matriz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Validar la asignación de responsables y los planes de mitigación técnicos para los riesgos principales del proyecto </w:t>
            </w:r>
          </w:p>
        </w:tc>
      </w:tr>
    </w:tbl>
    <w:p w:rsidR="00000000" w:rsidDel="00000000" w:rsidP="00000000" w:rsidRDefault="00000000" w:rsidRPr="00000000" w14:paraId="0000004F">
      <w:pPr>
        <w:numPr>
          <w:ilvl w:val="5"/>
          <w:numId w:val="3"/>
        </w:num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35.0" w:type="dxa"/>
        <w:jc w:val="left"/>
        <w:tblInd w:w="-127.0" w:type="dxa"/>
        <w:tblLayout w:type="fixed"/>
        <w:tblLook w:val="0000"/>
      </w:tblPr>
      <w:tblGrid>
        <w:gridCol w:w="4845"/>
        <w:gridCol w:w="3300"/>
        <w:gridCol w:w="2190"/>
        <w:tblGridChange w:id="0">
          <w:tblGrid>
            <w:gridCol w:w="4845"/>
            <w:gridCol w:w="3300"/>
            <w:gridCol w:w="219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Modelado de Procesos TO-BE (BPMN):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Completar los diagramas de flujo del proceso de venta e-commerce, gestión de stock en bodega y reabastecimiento automatizado.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09/10/2026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Luis Alcaide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Documento de Arquitectura del Sistema (DAS):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Finalizar la redacción de la arquitectura lógica, vista de microservicios e integración entre Node.js, Python ML y Supabase.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08/10/2026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Bastian Quilodran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Especificación del Canal Administrativo (Desktop App):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Documentar los prototipos de interfaz de usuario y arquitectura local en Electron/React aprobados en SC-02.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11/10/2026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Horacio Vergara 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3"/>
        </w:num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 reunión finalizó de manera satisfactoria sin objeciones por parte del equipo técnico. </w:t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3"/>
        </w:num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3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6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7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S+zGZumXvIfDP4G7Yyb5+rr8A==">CgMxLjA4AHIhMTFRcmctZVVfOXhrNHVlWWhRN0tRalFPTlJ1Q1hQZXcx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