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[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497d"/>
          <w:sz w:val="24"/>
          <w:szCs w:val="24"/>
          <w:rtl w:val="0"/>
        </w:rPr>
        <w:t xml:space="preserve">Zapatillas Duoc: E-Commerce &amp; Retail Analytics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(DAS) Documento Arquitectura Sistema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Versión 1.0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Calibri" w:cs="Calibri" w:eastAsia="Calibri" w:hAnsi="Calibri"/>
          <w:i w:val="1"/>
          <w:iCs w:val="1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Identificación de Documento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75"/>
        <w:gridCol w:w="6115"/>
        <w:tblGridChange w:id="0">
          <w:tblGrid>
            <w:gridCol w:w="2775"/>
            <w:gridCol w:w="6115"/>
          </w:tblGrid>
        </w:tblGridChange>
      </w:tblGrid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Identificación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#1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Proyecto</w:t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Zapatillas Duoc: E-Commerce &amp; Retail Analytics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13"/>
        <w:gridCol w:w="6077"/>
        <w:tblGridChange w:id="0">
          <w:tblGrid>
            <w:gridCol w:w="2813"/>
            <w:gridCol w:w="6077"/>
          </w:tblGrid>
        </w:tblGridChange>
      </w:tblGrid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Documento mantenido por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Luis Alcaide (Scrum Master / Lead Architect)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Fecha de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última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revisión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17/10/2026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Fecha de próxima revisión</w:t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19/10/2026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8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22"/>
        <w:gridCol w:w="6068"/>
        <w:tblGridChange w:id="0">
          <w:tblGrid>
            <w:gridCol w:w="2822"/>
            <w:gridCol w:w="6068"/>
          </w:tblGrid>
        </w:tblGridChange>
      </w:tblGrid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Documento aprobado por</w:t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Luis Alcaide &amp; Israel González (QA Lead)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Fecha de última aprobación</w:t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17/10/2026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Title"/>
        <w:spacing w:after="12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Historia de Revisiones</w:t>
      </w:r>
    </w:p>
    <w:p w:rsidR="00000000" w:rsidDel="00000000" w:rsidP="00000000" w:rsidRDefault="00000000" w:rsidRPr="00000000" w14:paraId="00000041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Ind w:w="108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196"/>
        <w:gridCol w:w="1152"/>
        <w:gridCol w:w="3744"/>
        <w:gridCol w:w="1908"/>
        <w:tblGridChange w:id="0">
          <w:tblGrid>
            <w:gridCol w:w="2196"/>
            <w:gridCol w:w="1152"/>
            <w:gridCol w:w="3744"/>
            <w:gridCol w:w="1908"/>
          </w:tblGrid>
        </w:tblGridChange>
      </w:tblGrid>
      <w:tr>
        <w:trPr>
          <w:cantSplit w:val="0"/>
          <w:tblHeader w:val="0"/>
        </w:trPr>
        <w:tc>
          <w:tcPr>
            <w:shd w:fill="f3f3f3" w:val="clear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21/09/2026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0.1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Borrador inicial de arquitectura web y base de datos.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Josías González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28/09/2026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0.5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Incorporación de microservicio ML Python y API REST.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Bastián Quilodrán</w:t>
            </w:r>
          </w:p>
        </w:tc>
      </w:tr>
      <w:tr>
        <w:trPr>
          <w:cantSplit w:val="0"/>
          <w:trHeight w:val="1233.9550781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02/10/2026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0.8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Actualización por cambio a Desktop App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Electron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/React (CC-03).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Horacio Vergara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05/10/2026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1.0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Versión final aprobada para cierre de Fase 1 e inicio de Sprint 03.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Lines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Luis Alcaide</w:t>
            </w:r>
          </w:p>
        </w:tc>
      </w:tr>
    </w:tbl>
    <w:p w:rsidR="00000000" w:rsidDel="00000000" w:rsidP="00000000" w:rsidRDefault="00000000" w:rsidRPr="00000000" w14:paraId="00000056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Tabla de Contenidos</w:t>
      </w:r>
    </w:p>
    <w:p w:rsidR="00000000" w:rsidDel="00000000" w:rsidP="00000000" w:rsidRDefault="00000000" w:rsidRPr="00000000" w14:paraId="0000005D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-118191889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xp3uggur3csw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heading=h.xp3uggur3csw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_heading=h.xp3uggur3csw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Introducción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qezufivo284z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heading=h.qezufivo284z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_heading=h.qezufivo284z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Contexto del Problema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uqv2clut0hz6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heading=h.uqv2clut0hz6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_heading=h.uqv2clut0hz6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Propósito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6irujm7mwbri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hyperlink>
          <w:hyperlink w:anchor="_heading=h.6irujm7mwbri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_heading=h.6irujm7mwbri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Ámbito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hb595m4gm71y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hyperlink>
          <w:hyperlink w:anchor="_heading=h.hb595m4gm71y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_heading=h.hb595m4gm71y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Definiciones, acrónimos y abreviaciones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hh7s7xsk67hm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hyperlink>
          <w:hyperlink w:anchor="_heading=h.hh7s7xsk67hm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_heading=h.hh7s7xsk67hm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Referencias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57xox5lpioa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hyperlink>
          <w:hyperlink w:anchor="_heading=h.57xox5lpioa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_heading=h.57xox5lpioa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Resumen ejecutivo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rg9tchbq2mqk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hyperlink>
          <w:hyperlink w:anchor="_heading=h.rg9tchbq2mqk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_heading=h.rg9tchbq2mqk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Representación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ifbyuna9e8n4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h.ifbyuna9e8n4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_heading=h.ifbyuna9e8n4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Metas y Restricciones de la Arquitectura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snlnp3sbplsf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hyperlink>
          <w:hyperlink w:anchor="_heading=h.snlnp3sbplsf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_heading=h.snlnp3sbplsf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Metas de la arquitectura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636k8ea1jnf2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hyperlink>
          <w:hyperlink w:anchor="_heading=h.636k8ea1jnf2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_heading=h.636k8ea1jnf2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Restricciones de la Arquitectura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431whd11g57z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hyperlink>
          <w:hyperlink w:anchor="_heading=h.431whd11g57z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_heading=h.431whd11g57z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Otros antecedentes y consideraciones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35wdv3c5y5t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hyperlink>
          <w:hyperlink w:anchor="_heading=h.35wdv3c5y5t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_heading=h.35wdv3c5y5t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Vista de Escenarios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anbpk8i97evq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hyperlink>
          <w:hyperlink w:anchor="_heading=h.anbpk8i97evq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_heading=h.anbpk8i97evq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Modelo de Casos de Uso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wko6ksw3l32b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hyperlink>
          <w:hyperlink w:anchor="_heading=h.wko6ksw3l32b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_heading=h.wko6ksw3l32b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Casos de Usos Extendidos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6mfncogm2faq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hyperlink>
          <w:hyperlink w:anchor="_heading=h.6mfncogm2faq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_heading=h.6mfncogm2faq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Especificación de los Escenarios de Calidad Relevantes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h8s00e3j2hgj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hyperlink>
          <w:hyperlink w:anchor="_heading=h.h8s00e3j2hgj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_heading=h.h8s00e3j2hgj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Vista de Procesos</w:t>
            <w:tab/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750rem66je1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hyperlink>
          <w:hyperlink w:anchor="_heading=h.750rem66je1o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_heading=h.750rem66je1o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Vista Lógica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ea7ilc9etlun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hyperlink>
          <w:hyperlink w:anchor="_heading=h.ea7ilc9etlun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_heading=h.ea7ilc9etlun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Parte Estructural ( Diagrama de Clases  y Diagrama Relacional)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30"/>
            </w:tabs>
            <w:spacing w:after="0" w:before="0" w:line="240" w:lineRule="auto"/>
            <w:ind w:left="4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e8m4g9o0ro2"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5.1.1</w:t>
            </w:r>
          </w:hyperlink>
          <w:hyperlink w:anchor="_heading=h.8e8m4g9o0ro2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_heading=h.8e8m4g9o0ro2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1"/>
              <w:iCs w:val="1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Descripción de Clases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30"/>
            </w:tabs>
            <w:spacing w:after="0" w:before="0" w:line="240" w:lineRule="auto"/>
            <w:ind w:left="4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5jumc9utpi9u"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5.1.2</w:t>
            </w:r>
          </w:hyperlink>
          <w:hyperlink w:anchor="_heading=h.5jumc9utpi9u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_heading=h.5jumc9utpi9u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1"/>
              <w:iCs w:val="1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Descripción de Tablas</w:t>
            <w:tab/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00"/>
              <w:tab w:val="right" w:leader="none" w:pos="9030"/>
            </w:tabs>
            <w:spacing w:after="0" w:before="0" w:line="240" w:lineRule="auto"/>
            <w:ind w:left="20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yx34bgr105z6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hyperlink>
          <w:hyperlink w:anchor="_heading=h.yx34bgr105z6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_heading=h.yx34bgr105z6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Parte Dinámica (Diagrama de Secuencias)</w:t>
            <w:tab/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7tl4k6uq9qg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hyperlink>
          <w:hyperlink w:anchor="_heading=h.7tl4k6uq9qg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_heading=h.7tl4k6uq9qg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Vista de Desarrollo o Despliegue</w:t>
            <w:tab/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bqso4haub9wv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hyperlink>
          <w:hyperlink w:anchor="_heading=h.bqso4haub9wv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_heading=h.bqso4haub9wv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Vista Fisica</w:t>
            <w:tab/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3i8py1381dxa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hyperlink>
          <w:hyperlink w:anchor="_heading=h.3i8py1381dxa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_heading=h.3i8py1381dxa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Decisiones de Diseño y Selección de Alternativas</w:t>
            <w:tab/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00"/>
              <w:tab w:val="right" w:leader="none" w:pos="9030"/>
            </w:tabs>
            <w:spacing w:after="120" w:before="120" w:line="240" w:lineRule="auto"/>
            <w:ind w:left="0" w:right="0" w:firstLine="0"/>
            <w:jc w:val="left"/>
            <w:rPr>
              <w:rFonts w:ascii="Calibri" w:cs="Calibri" w:eastAsia="Calibri" w:hAnsi="Calibri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ysqy4ow6ibya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hyperlink>
          <w:hyperlink w:anchor="_heading=h.ysqy4ow6ibya"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_heading=h.ysqy4ow6ibya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1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Análisis de Reutilización</w:t>
            <w:tab/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8">
          <w:pPr>
            <w:jc w:val="center"/>
            <w:rPr>
              <w:rFonts w:ascii="Calibri" w:cs="Calibri" w:eastAsia="Calibri" w:hAnsi="Calibri"/>
              <w:sz w:val="24"/>
              <w:szCs w:val="24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9">
      <w:pPr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1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xp3uggur3csw" w:id="0"/>
      <w:bookmarkEnd w:id="0"/>
      <w:r w:rsidDel="00000000" w:rsidR="00000000" w:rsidRPr="00000000">
        <w:br w:type="page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7B">
      <w:pPr>
        <w:keepNext w:val="1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qezufivo284z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Contexto del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firstLine="0"/>
        <w:jc w:val="both"/>
        <w:rPr>
          <w:rFonts w:ascii="Calibri" w:cs="Calibri" w:eastAsia="Calibri" w:hAnsi="Calibri"/>
          <w:sz w:val="24"/>
          <w:szCs w:val="24"/>
        </w:rPr>
      </w:pPr>
      <w:bookmarkStart w:colFirst="0" w:colLast="0" w:name="_heading=h.2pkc20xsbpwy" w:id="2"/>
      <w:bookmarkEnd w:id="2"/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La PyME "Zapatillas Duoc" comercializa calzado urbano. Actualmente presenta descuadres entre el inventario físico en bodega y el stock publicado para venta en línea, falta de automatización en las órdenes de reabastecimiento, e ineficiencias en la gestión coordinada entre tienda física y canal digital, todo esto se transforma en pérdida de dinero. </w:t>
      </w:r>
    </w:p>
    <w:p w:rsidR="00000000" w:rsidDel="00000000" w:rsidP="00000000" w:rsidRDefault="00000000" w:rsidRPr="00000000" w14:paraId="0000007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432" w:right="0" w:hanging="432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1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uqv2clut0hz6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Propósito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Especificar la arquitectura de software del sistema integral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Zapatillas Duoc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sirviendo de guía técnica y funcional para los desarrolladores, arquitectos y evaluadores académicos durante la fase de construcción (Sprint 03 en adelante).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432" w:right="0" w:hanging="432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1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6irujm7mwbri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Ámbito</w:t>
      </w:r>
    </w:p>
    <w:p w:rsidR="00000000" w:rsidDel="00000000" w:rsidP="00000000" w:rsidRDefault="00000000" w:rsidRPr="00000000" w14:paraId="00000082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432" w:right="0" w:hanging="432"/>
        <w:jc w:val="both"/>
        <w:rPr>
          <w:rFonts w:ascii="Calibri" w:cs="Calibri" w:eastAsia="Calibri" w:hAnsi="Calibri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Abarca un ecosistema de tres aplicaciones agrupadas en dos conjuntos: el entorno comercial de demostración compuesto por una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Tienda Web (Next.js)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y un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Dashboard Administrativo (Ionic + React + TypeScript)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conectados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Supabase (PostgreSQL)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y el producto principal consistente en una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Aplicación de Escritorio para Análisis Predictivo (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Electron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+ React + TypeScript)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respaldada por un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Motor Analítico (Python +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FastAPI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especializado en series temporales y modelos de Machine Learning (scikit-learn / Prophet).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432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1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hb595m4gm71y" w:id="5"/>
      <w:bookmarkEnd w:id="5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Definiciones, acrónimos y abreviaciones</w:t>
      </w:r>
    </w:p>
    <w:tbl>
      <w:tblPr>
        <w:tblStyle w:val="Table5"/>
        <w:tblW w:w="95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28"/>
        <w:gridCol w:w="7812"/>
        <w:tblGridChange w:id="0">
          <w:tblGrid>
            <w:gridCol w:w="1728"/>
            <w:gridCol w:w="7812"/>
          </w:tblGrid>
        </w:tblGridChange>
      </w:tblGrid>
      <w:tr>
        <w:trPr>
          <w:cantSplit w:val="0"/>
          <w:tblHeader w:val="0"/>
        </w:trPr>
        <w:tc>
          <w:tcPr>
            <w:shd w:fill="e0e0e0" w:val="clear"/>
          </w:tcPr>
          <w:p w:rsidR="00000000" w:rsidDel="00000000" w:rsidP="00000000" w:rsidRDefault="00000000" w:rsidRPr="00000000" w14:paraId="00000085">
            <w:pPr>
              <w:widowControl w:val="1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ACRÓNIMO</w:t>
            </w:r>
          </w:p>
        </w:tc>
        <w:tc>
          <w:tcPr>
            <w:shd w:fill="e0e0e0" w:val="clear"/>
          </w:tcPr>
          <w:p w:rsidR="00000000" w:rsidDel="00000000" w:rsidP="00000000" w:rsidRDefault="00000000" w:rsidRPr="00000000" w14:paraId="00000086">
            <w:pPr>
              <w:widowControl w:val="1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7">
            <w:pPr>
              <w:rPr>
                <w:rFonts w:ascii="Calibri" w:cs="Calibri" w:eastAsia="Calibri" w:hAnsi="Calibri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4"/>
                <w:szCs w:val="24"/>
                <w:rtl w:val="0"/>
              </w:rPr>
              <w:t xml:space="preserve">DAS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8">
            <w:pPr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Documento de Arquitectura del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9">
            <w:pPr>
              <w:rPr>
                <w:rFonts w:ascii="Calibri" w:cs="Calibri" w:eastAsia="Calibri" w:hAnsi="Calibri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4"/>
                <w:szCs w:val="24"/>
                <w:rtl w:val="0"/>
              </w:rPr>
              <w:t xml:space="preserve">ERS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A">
            <w:pPr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Especificación de Requerimientos del Sistema.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B">
            <w:pPr>
              <w:rPr>
                <w:rFonts w:ascii="Calibri" w:cs="Calibri" w:eastAsia="Calibri" w:hAnsi="Calibri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4"/>
                <w:szCs w:val="24"/>
                <w:rtl w:val="0"/>
              </w:rPr>
              <w:t xml:space="preserve">API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C">
            <w:pPr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Application Programming Interface.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D">
            <w:pPr>
              <w:rPr>
                <w:rFonts w:ascii="Calibri" w:cs="Calibri" w:eastAsia="Calibri" w:hAnsi="Calibri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4"/>
                <w:szCs w:val="24"/>
                <w:rtl w:val="0"/>
              </w:rPr>
              <w:t xml:space="preserve">JWT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E">
            <w:pPr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JSON Web Token (Mecanismo de autenticación sin estado).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F">
            <w:pPr>
              <w:rPr>
                <w:rFonts w:ascii="Calibri" w:cs="Calibri" w:eastAsia="Calibri" w:hAnsi="Calibri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4"/>
                <w:szCs w:val="24"/>
                <w:rtl w:val="0"/>
              </w:rPr>
              <w:t xml:space="preserve">ML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0">
            <w:pPr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Machine Learning (Aprendizaje Automático).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1">
            <w:pPr>
              <w:rPr>
                <w:rFonts w:ascii="Calibri" w:cs="Calibri" w:eastAsia="Calibri" w:hAnsi="Calibri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4"/>
                <w:szCs w:val="24"/>
                <w:rtl w:val="0"/>
              </w:rPr>
              <w:t xml:space="preserve">ACID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2">
            <w:pPr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Atomicity, Consistency, Isolation, Durability (Propiedades de transacciones SQL).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3">
            <w:pPr>
              <w:rPr>
                <w:rFonts w:ascii="Calibri" w:cs="Calibri" w:eastAsia="Calibri" w:hAnsi="Calibri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4"/>
                <w:szCs w:val="24"/>
                <w:rtl w:val="0"/>
              </w:rPr>
              <w:t xml:space="preserve">BPMN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4">
            <w:pPr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Business Process Model and Notation. </w:t>
            </w:r>
          </w:p>
        </w:tc>
      </w:tr>
    </w:tbl>
    <w:p w:rsidR="00000000" w:rsidDel="00000000" w:rsidP="00000000" w:rsidRDefault="00000000" w:rsidRPr="00000000" w14:paraId="0000009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1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hh7s7xsk67hm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Referencias</w:t>
      </w:r>
    </w:p>
    <w:p w:rsidR="00000000" w:rsidDel="00000000" w:rsidP="00000000" w:rsidRDefault="00000000" w:rsidRPr="00000000" w14:paraId="000000A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continuación, se listan las referencias a otros documentos :</w:t>
      </w:r>
    </w:p>
    <w:p w:rsidR="00000000" w:rsidDel="00000000" w:rsidP="00000000" w:rsidRDefault="00000000" w:rsidRPr="00000000" w14:paraId="000000A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ERS: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Especificación de Requisitos de Software - Zapatillas Duoc: E-Commerce &amp; Retail Analytics (Revisión 01, 31/08/2026).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A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Acta de Constitución del Proyecto: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Acta de Proyecto Zapatillas Duoc (31/08/2026).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Planilla de Requerimientos: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Matriz RNF/RF v1.0.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1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57xox5lpioa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Resumen ejecutivo </w:t>
      </w:r>
    </w:p>
    <w:p w:rsidR="00000000" w:rsidDel="00000000" w:rsidP="00000000" w:rsidRDefault="00000000" w:rsidRPr="00000000" w14:paraId="000000A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432"/>
        <w:jc w:val="both"/>
        <w:rPr>
          <w:rFonts w:ascii="Calibri" w:cs="Calibri" w:eastAsia="Calibri" w:hAnsi="Calibri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ab/>
        <w:t xml:space="preserve">El presente Documento de Arquitectura del Sistema (DAS) especifica la estructura técnica para la plataforma Zapatillas Duoc: E-Commerce &amp; Retail Analytics. El ecosistema está compuesto por un entorno comercial de demostración con un Portal Web (Next.js) y un Dashboard Administrativo (Ionic + React + TypeScript), y un producto principal correspondiente a una Aplicación de Escritorio para Análisis Predictivo (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Electron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+ React + TypeScript) soportada por una API Backend Analítica (Python/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FastAPI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) y una base de datos PostgreSQL en Supabase Cloud.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432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432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widowControl w:val="1"/>
        <w:spacing w:line="240" w:lineRule="auto"/>
        <w:rPr>
          <w:rFonts w:ascii="Calibri" w:cs="Calibri" w:eastAsia="Calibri" w:hAnsi="Calibri"/>
          <w:b w:val="1"/>
          <w:bCs w:val="1"/>
          <w:color w:val="00008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1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rg9tchbq2mqk" w:id="8"/>
      <w:bookmarkEnd w:id="8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Representación</w:t>
      </w:r>
    </w:p>
    <w:p w:rsidR="00000000" w:rsidDel="00000000" w:rsidP="00000000" w:rsidRDefault="00000000" w:rsidRPr="00000000" w14:paraId="000000AE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La arquitectura del sistema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Zapatillas Duoc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está representada siguiendo el enfoque del framework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4+1 Vistas de Kruchten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y las recomendaciones del Proceso Unificado . Las vistas incluidas en esta versión del documento son:</w:t>
      </w:r>
    </w:p>
    <w:p w:rsidR="00000000" w:rsidDel="00000000" w:rsidP="00000000" w:rsidRDefault="00000000" w:rsidRPr="00000000" w14:paraId="000000AF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Vista de Escenarios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: Describe los casos de uso más significativos, presenta los actores y una descripción de sus casos de uso asociados. De igual forma describe los escenarios de calidad más relevantes para la arquitectura.</w:t>
      </w:r>
    </w:p>
    <w:p w:rsidR="00000000" w:rsidDel="00000000" w:rsidP="00000000" w:rsidRDefault="00000000" w:rsidRPr="00000000" w14:paraId="000000B1">
      <w:pPr>
        <w:ind w:left="72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6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Vista de Procesos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: Describe los procesos involucrados para darle sentido a la ejecución del sistema, así como sus relaciones de comunicación y sincronización.</w:t>
      </w:r>
    </w:p>
    <w:p w:rsidR="00000000" w:rsidDel="00000000" w:rsidP="00000000" w:rsidRDefault="00000000" w:rsidRPr="00000000" w14:paraId="000000B3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6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Vista Lógica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: Describe la arquitectura del sistema presentando varios niveles de refinamiento. Indica los módulos lógicos principales, sus responsabilidades y dependencias.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6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Vista de Desarrollo o Despliegue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: Describe los componentes de deployment construidos y sus dependencias.</w:t>
      </w:r>
    </w:p>
    <w:p w:rsidR="00000000" w:rsidDel="00000000" w:rsidP="00000000" w:rsidRDefault="00000000" w:rsidRPr="00000000" w14:paraId="000000B7">
      <w:pPr>
        <w:ind w:left="36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6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Vista Fisica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: Describe restricciones tecnológicas, normativas, estándares, etc., los cuales influyen sobre las decisiones arquitectónicas, del producto y del proceso de desarrollo.</w:t>
      </w:r>
    </w:p>
    <w:p w:rsidR="00000000" w:rsidDel="00000000" w:rsidP="00000000" w:rsidRDefault="00000000" w:rsidRPr="00000000" w14:paraId="000000B9">
      <w:pPr>
        <w:ind w:left="36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center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1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1" w:right="0" w:hanging="431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ifbyuna9e8n4" w:id="9"/>
      <w:bookmarkEnd w:id="9"/>
      <w:r w:rsidDel="00000000" w:rsidR="00000000" w:rsidRPr="00000000">
        <w:br w:type="page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Metas y Restricciones de la Arquitectura</w:t>
      </w:r>
    </w:p>
    <w:p w:rsidR="00000000" w:rsidDel="00000000" w:rsidP="00000000" w:rsidRDefault="00000000" w:rsidRPr="00000000" w14:paraId="000000BD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 continuación, se revisan las metas y restricciones de la arquitectura.</w:t>
      </w:r>
    </w:p>
    <w:p w:rsidR="00000000" w:rsidDel="00000000" w:rsidP="00000000" w:rsidRDefault="00000000" w:rsidRPr="00000000" w14:paraId="000000BE">
      <w:pPr>
        <w:keepNext w:val="1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snlnp3sbplsf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Metas de la arquitectura</w:t>
      </w:r>
    </w:p>
    <w:p w:rsidR="00000000" w:rsidDel="00000000" w:rsidP="00000000" w:rsidRDefault="00000000" w:rsidRPr="00000000" w14:paraId="000000BF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 acuerdo a las reuniones y al análisis de los requerimientos, se listan los principales conductores iniciales de la arquitectura los cuales corresponden a las metas arquitectónicas iniciales ( atributos de calidad)</w:t>
      </w:r>
    </w:p>
    <w:p w:rsidR="00000000" w:rsidDel="00000000" w:rsidP="00000000" w:rsidRDefault="00000000" w:rsidRPr="00000000" w14:paraId="000000C0">
      <w:pPr>
        <w:numPr>
          <w:ilvl w:val="0"/>
          <w:numId w:val="5"/>
        </w:numPr>
        <w:spacing w:line="276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Desempeño / Tiempo de Respuesta: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Asegurar una navegación fluida en la plataforma web y de escritorio, optimizando las consultas a la base de datos para responder a las peticiones del usuario en tiempos razonables durante la operación normal.</w:t>
      </w:r>
    </w:p>
    <w:p w:rsidR="00000000" w:rsidDel="00000000" w:rsidP="00000000" w:rsidRDefault="00000000" w:rsidRPr="00000000" w14:paraId="000000C1">
      <w:pPr>
        <w:numPr>
          <w:ilvl w:val="0"/>
          <w:numId w:val="5"/>
        </w:numPr>
        <w:spacing w:line="276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Seguridad (RNF03):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Proteger el acceso al sistema mediante encriptación de contraseñas con la librería </w:t>
      </w:r>
      <w:r w:rsidDel="00000000" w:rsidR="00000000" w:rsidRPr="00000000">
        <w:rPr>
          <w:rFonts w:ascii="Calibri" w:cs="Calibri" w:eastAsia="Calibri" w:hAnsi="Calibri"/>
          <w:color w:val="188038"/>
          <w:sz w:val="24"/>
          <w:szCs w:val="24"/>
          <w:rtl w:val="0"/>
        </w:rPr>
        <w:t xml:space="preserve">bcrypt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y gestionar el control de acceso e identidad de los usuarios mediante tokens de sesión (JWT).</w:t>
      </w:r>
    </w:p>
    <w:p w:rsidR="00000000" w:rsidDel="00000000" w:rsidP="00000000" w:rsidRDefault="00000000" w:rsidRPr="00000000" w14:paraId="000000C2">
      <w:pPr>
        <w:numPr>
          <w:ilvl w:val="0"/>
          <w:numId w:val="5"/>
        </w:numPr>
        <w:spacing w:line="276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Mantenibilidad y Modularidad: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Organización del código fuente mediante una estructura limpia por capas (separando rutas, controladores y modelos en el backend; y componentes en el frontend), lo que facilita corregir errores y agregar nuevas funciones durante las semanas del proyecto.</w:t>
      </w:r>
    </w:p>
    <w:p w:rsidR="00000000" w:rsidDel="00000000" w:rsidP="00000000" w:rsidRDefault="00000000" w:rsidRPr="00000000" w14:paraId="000000C3">
      <w:pPr>
        <w:numPr>
          <w:ilvl w:val="0"/>
          <w:numId w:val="5"/>
        </w:numPr>
        <w:spacing w:line="276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Integridad de Datos (Consistencia):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Garantizar la consistencia del inventario mediante el uso de transacciones SQL nativas en PostgreSQL, evitando que se generen ventas sin stock disponible.</w:t>
      </w:r>
    </w:p>
    <w:p w:rsidR="00000000" w:rsidDel="00000000" w:rsidP="00000000" w:rsidRDefault="00000000" w:rsidRPr="00000000" w14:paraId="000000C4">
      <w:pPr>
        <w:numPr>
          <w:ilvl w:val="0"/>
          <w:numId w:val="5"/>
        </w:numPr>
        <w:spacing w:line="276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Usabilidad y Adaptabilidad (RNF02):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Diseñar interfaces intuitivas y limpias utilizando Tailwind CSS, asegurando que la plataforma E-Commerce sea fácil de navegar desde teléfonos móviles y computadores.</w:t>
      </w:r>
    </w:p>
    <w:p w:rsidR="00000000" w:rsidDel="00000000" w:rsidP="00000000" w:rsidRDefault="00000000" w:rsidRPr="00000000" w14:paraId="000000C5">
      <w:pPr>
        <w:ind w:left="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1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636k8ea1jnf2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Restricciones de la Arquitectura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Durante el levantamiento de información y la planificación con el equipo, se fijaron las siguientes restricciones operativas y tecnológicas:</w:t>
      </w:r>
    </w:p>
    <w:p w:rsidR="00000000" w:rsidDel="00000000" w:rsidP="00000000" w:rsidRDefault="00000000" w:rsidRPr="00000000" w14:paraId="000000C8">
      <w:pPr>
        <w:numPr>
          <w:ilvl w:val="0"/>
          <w:numId w:val="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Tiempo de construcción: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El desarrollo está sujeto estrictamente al plazo académico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18 semanas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correspondientes al semestre de Portafolio de Título.</w:t>
      </w:r>
    </w:p>
    <w:p w:rsidR="00000000" w:rsidDel="00000000" w:rsidP="00000000" w:rsidRDefault="00000000" w:rsidRPr="00000000" w14:paraId="000000C9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Infraestructura: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Se utilizarán servicios en la nube de capa gratuita o bajo costo para el despliegue del sistema (como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Supabase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para la base de datos y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Render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para los servicios web), debido al presupuesto y naturaleza del proyecto.</w:t>
      </w:r>
    </w:p>
    <w:p w:rsidR="00000000" w:rsidDel="00000000" w:rsidP="00000000" w:rsidRDefault="00000000" w:rsidRPr="00000000" w14:paraId="000000CA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Componentes de software: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No se contempla la adquisición de licencias de software comercial o privativo. Se utilizará exclusivamente un stack tecnológico basado en herramientas Open Source y tecnologías libres (React, Node.js, Python, PostgreSQL).</w:t>
      </w:r>
    </w:p>
    <w:p w:rsidR="00000000" w:rsidDel="00000000" w:rsidP="00000000" w:rsidRDefault="00000000" w:rsidRPr="00000000" w14:paraId="000000CB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1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431whd11g57z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Otros antecedentes y consideraciones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Dado que el equipo construyó su propio entorno comercial de demostración (tienda web y dashboard administrativo) ante la ausencia de un negocio externo con datos integrados, la arquitectura se divide conceptualmente en dos capas de valor:</w:t>
      </w:r>
    </w:p>
    <w:p w:rsidR="00000000" w:rsidDel="00000000" w:rsidP="00000000" w:rsidRDefault="00000000" w:rsidRPr="00000000" w14:paraId="000000D0">
      <w:pPr>
        <w:numPr>
          <w:ilvl w:val="0"/>
          <w:numId w:val="7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Entorno Comercial de Demostración: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Gestiona el catálogo de zapatillas, el registro de pedidos mediante pasarela de pago (Mercado Pago), el control de existencias por talla en Supabase y un asistente conversacional basado en tecnologías RAG y Gemini.</w:t>
      </w:r>
    </w:p>
    <w:p w:rsidR="00000000" w:rsidDel="00000000" w:rsidP="00000000" w:rsidRDefault="00000000" w:rsidRPr="00000000" w14:paraId="000000D1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Producto Principal de Analítica: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Aplicación de escritorio independiente que consume los datos históricos y transaccionales del entorno comercial para procesar series temporales, entrenar modelos de forma separada al flujo interactivo y generar pronósticos de ventas y recomendaciones de reposición por producto y talla.</w:t>
      </w:r>
    </w:p>
    <w:p w:rsidR="00000000" w:rsidDel="00000000" w:rsidP="00000000" w:rsidRDefault="00000000" w:rsidRPr="00000000" w14:paraId="000000D2">
      <w:pPr>
        <w:spacing w:after="240" w:before="240" w:lineRule="auto"/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ind w:left="72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1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35wdv3c5y5t" w:id="13"/>
      <w:bookmarkEnd w:id="13"/>
      <w:r w:rsidDel="00000000" w:rsidR="00000000" w:rsidRPr="00000000">
        <w:br w:type="page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Vista de Escenarios </w:t>
      </w:r>
    </w:p>
    <w:p w:rsidR="00000000" w:rsidDel="00000000" w:rsidP="00000000" w:rsidRDefault="00000000" w:rsidRPr="00000000" w14:paraId="000000D7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Esta sección describe en detalle el conjunto de escenarios funcionales y no funcionales que obtuvieron la mayor prioridad en el análisis. Para esto se presenta y describe el diagrama de casos de uso y los casos de uso prioritarios, así como los escenarios en que uno o más atributos de calidad se ven involucrados de manera significativa.</w:t>
      </w:r>
    </w:p>
    <w:p w:rsidR="00000000" w:rsidDel="00000000" w:rsidP="00000000" w:rsidRDefault="00000000" w:rsidRPr="00000000" w14:paraId="000000D8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1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anbpk8i97evq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Modelo de Casos de Uso</w:t>
      </w:r>
    </w:p>
    <w:p w:rsidR="00000000" w:rsidDel="00000000" w:rsidP="00000000" w:rsidRDefault="00000000" w:rsidRPr="00000000" w14:paraId="000000D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modelo de casos de uso describe las interacciones entre los diferentes actores de la solución y las funcionalidades clave del sistema, separando las operaciones del entorno comercial de demostración y del producto analítico principal.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</w:rPr>
        <w:drawing>
          <wp:inline distB="114300" distT="114300" distL="114300" distR="114300">
            <wp:extent cx="5878513" cy="527685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8513" cy="5276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1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wko6ksw3l32b" w:id="15"/>
      <w:bookmarkEnd w:id="15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Casos de Usos Extendidos </w:t>
      </w:r>
    </w:p>
    <w:p w:rsidR="00000000" w:rsidDel="00000000" w:rsidP="00000000" w:rsidRDefault="00000000" w:rsidRPr="00000000" w14:paraId="000000DF">
      <w:pPr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Los casos de uso considerados son los más relevantes para el desarrollo de la arquitectura. Se adjunta el documento o planilla caso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continuación, se listan los casos de uso relevantes, los cuales pueden ser encontrados con su especificación detallada en el documento “Casos de Uso Extendido”.</w:t>
      </w:r>
    </w:p>
    <w:tbl>
      <w:tblPr>
        <w:tblStyle w:val="Table6"/>
        <w:tblpPr w:leftFromText="141" w:rightFromText="141" w:topFromText="0" w:bottomFromText="0" w:vertAnchor="text" w:horzAnchor="text" w:tblpX="0" w:tblpY="0"/>
        <w:tblW w:w="8717.0" w:type="dxa"/>
        <w:jc w:val="left"/>
        <w:tblLayout w:type="fixed"/>
        <w:tblLook w:val="0000"/>
      </w:tblPr>
      <w:tblGrid>
        <w:gridCol w:w="1262"/>
        <w:gridCol w:w="4762"/>
        <w:gridCol w:w="1701"/>
        <w:gridCol w:w="992"/>
        <w:tblGridChange w:id="0">
          <w:tblGrid>
            <w:gridCol w:w="1262"/>
            <w:gridCol w:w="4762"/>
            <w:gridCol w:w="1701"/>
            <w:gridCol w:w="992"/>
          </w:tblGrid>
        </w:tblGridChange>
      </w:tblGrid>
      <w:tr>
        <w:trPr>
          <w:cantSplit w:val="0"/>
          <w:trHeight w:val="5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E2">
            <w:pPr>
              <w:widowControl w:val="1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  <w:rtl w:val="0"/>
              </w:rPr>
              <w:t xml:space="preserve">Código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E3">
            <w:pPr>
              <w:widowControl w:val="1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E4">
            <w:pPr>
              <w:widowControl w:val="1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  <w:rtl w:val="0"/>
              </w:rPr>
              <w:t xml:space="preserve">Actores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E5">
            <w:pPr>
              <w:widowControl w:val="1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  <w:rtl w:val="0"/>
              </w:rPr>
              <w:t xml:space="preserve">Prioridad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6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CU-001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7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Autenticar y Registrar Usuario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8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4"/>
                <w:szCs w:val="24"/>
                <w:rtl w:val="0"/>
              </w:rPr>
              <w:t xml:space="preserve">Todos los usuarios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9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Alta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A">
            <w:pPr>
              <w:widowControl w:val="1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B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Visualizar Catálogo y Filtrar Productos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C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 Comprador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D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Alta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E">
            <w:pPr>
              <w:widowControl w:val="1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EF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Gestionar Carrito de Compras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0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 Comprador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1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Alta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2">
            <w:pPr>
              <w:widowControl w:val="1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3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Procesar Checkout y Generar Orden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4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 Comprador / Caja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5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Alta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6">
            <w:pPr>
              <w:widowControl w:val="1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7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Descontar Stock Automatizado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8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Sistema (Trigger PostgreSQL)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9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Alta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A">
            <w:pPr>
              <w:widowControl w:val="1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B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Administrar Mantenedores (CRUD)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C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Administrador HQ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D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Media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E">
            <w:pPr>
              <w:widowControl w:val="1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0FF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Generar Datos Transaccionales Sintéticos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0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Data Engineer / Sistema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1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Media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2">
            <w:pPr>
              <w:widowControl w:val="1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3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Proyectar Demanda Predictiva de Tallas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4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Administrador HQ / ML Engine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5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Alta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6">
            <w:pPr>
              <w:widowControl w:val="1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7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Emitir Alerta de Quiebre de Stock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8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Operador Bodega / Administrador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9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Alta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A">
            <w:pPr>
              <w:widowControl w:val="1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B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Selección de Tallas e Inventario en Tiempo Real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C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 comprador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D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Alta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E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0F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0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</w:tcPr>
          <w:p w:rsidR="00000000" w:rsidDel="00000000" w:rsidP="00000000" w:rsidRDefault="00000000" w:rsidRPr="00000000" w14:paraId="00000111">
            <w:pPr>
              <w:widowControl w:val="1"/>
              <w:spacing w:line="240" w:lineRule="auto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2">
      <w:pPr>
        <w:widowControl w:val="1"/>
        <w:spacing w:line="240" w:lineRule="auto"/>
        <w:rPr>
          <w:rFonts w:ascii="Calibri" w:cs="Calibri" w:eastAsia="Calibri" w:hAnsi="Calibri"/>
          <w:b w:val="1"/>
          <w:bCs w:val="1"/>
          <w:color w:val="00008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1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6mfncogm2faq" w:id="16"/>
      <w:bookmarkEnd w:id="16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Especificación de los Escenarios de Calidad Relevantes</w:t>
      </w:r>
    </w:p>
    <w:p w:rsidR="00000000" w:rsidDel="00000000" w:rsidP="00000000" w:rsidRDefault="00000000" w:rsidRPr="00000000" w14:paraId="00000114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Después de un análisis en conjunto con los stakeholders, los escenarios de calidad se expresan a continuación:</w:t>
      </w:r>
    </w:p>
    <w:p w:rsidR="00000000" w:rsidDel="00000000" w:rsidP="00000000" w:rsidRDefault="00000000" w:rsidRPr="00000000" w14:paraId="00000115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79"/>
        <w:gridCol w:w="1673"/>
        <w:gridCol w:w="5476"/>
        <w:tblGridChange w:id="0">
          <w:tblGrid>
            <w:gridCol w:w="1679"/>
            <w:gridCol w:w="1673"/>
            <w:gridCol w:w="5476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6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Identificador:ESC-01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9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Escenario(s):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B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Validación de acceso seguro para usuarios y administradores.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C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Atributos de Calidad relevantes: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E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Seguridad. 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Componentes del Escenario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0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Estímulos: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1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El usuario ingresa sus credenciales (correo y contraseña) o intenta acceder a una ruta protegida del Dashboard.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3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Fuente del estimulo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4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 Comprador o Administrador HQ.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Ambiente: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7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Operación normal del sistema bajo protocolo HTTPS.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9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Artefacto: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A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Módulo de autenticación de la API Backend (Node.js/Express con JWT y bcrypt).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C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Respuesta: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El sistema verifica el hash de la contraseña y emite un token de sesión seguro si es válido, o deniega el acceso en caso contrario.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F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Medida de Respuesta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0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Contraseñas encriptadas correctamente con </w:t>
            </w:r>
            <w:r w:rsidDel="00000000" w:rsidR="00000000" w:rsidRPr="00000000">
              <w:rPr>
                <w:rFonts w:ascii="Calibri" w:cs="Calibri" w:eastAsia="Calibri" w:hAnsi="Calibri"/>
                <w:color w:val="188038"/>
                <w:sz w:val="24"/>
                <w:szCs w:val="24"/>
                <w:rtl w:val="0"/>
              </w:rPr>
              <w:t xml:space="preserve">bcrypt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 (salt </w:t>
            </w:r>
            <m:oMath>
              <m:r>
                <m:t>≥</m:t>
              </m:r>
              <m:r>
                <w:rPr>
                  <w:rFonts w:ascii="Calibri" w:cs="Calibri" w:eastAsia="Calibri" w:hAnsi="Calibri"/>
                  <w:sz w:val="24"/>
                  <w:szCs w:val="24"/>
                </w:rPr>
                <m:t xml:space="preserve">10</m:t>
              </m:r>
            </m:oMath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) y rechazo inmediato de accesos no autorizados en </w:t>
            </w:r>
            <m:oMath>
              <m:r>
                <w:rPr>
                  <w:rFonts w:ascii="Calibri" w:cs="Calibri" w:eastAsia="Calibri" w:hAnsi="Calibri"/>
                  <w:sz w:val="24"/>
                  <w:szCs w:val="24"/>
                </w:rPr>
                <m:t xml:space="preserve">&lt;500</m:t>
              </m:r>
            </m:oMath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 ms. </w:t>
            </w:r>
          </w:p>
        </w:tc>
      </w:tr>
    </w:tbl>
    <w:p w:rsidR="00000000" w:rsidDel="00000000" w:rsidP="00000000" w:rsidRDefault="00000000" w:rsidRPr="00000000" w14:paraId="00000131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79"/>
        <w:gridCol w:w="1673"/>
        <w:gridCol w:w="5476"/>
        <w:tblGridChange w:id="0">
          <w:tblGrid>
            <w:gridCol w:w="1679"/>
            <w:gridCol w:w="1673"/>
            <w:gridCol w:w="5476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3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Identificador:ESC-02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6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Escenario(s):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8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Procesamiento de compras simultáneas sobre la última unidad disponible de una talla.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9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Atributos de Calidad relevantes: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Tolerancia a fallos / Consistencia de datos. 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C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Componentes del Escenario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D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Estímulos: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E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Dos clientes intentan realizar el checkout de la misma zapatilla y talla de manera concurrente cuando queda stock crítico.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0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Fuente del estimulo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1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Clientes navegando en el Portal E-Commerce.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3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Ambiente: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4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Escenario de alta demanda transaccional.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6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Artefacto: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7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Base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 de datos PostgreSQL (Supabase) y servicio de transacciones del Backend.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Respuesta: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A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La base de datos aplica el control transaccional estándar (ACID), procesando con éxito la primera orden y bloqueando o rechazando la segunda por falta de stock.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C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Medida de Respuesta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D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0% de sobreventas o descuadres entre el stock físico de bodega y el inventario digital. </w:t>
            </w:r>
          </w:p>
        </w:tc>
      </w:tr>
    </w:tbl>
    <w:p w:rsidR="00000000" w:rsidDel="00000000" w:rsidP="00000000" w:rsidRDefault="00000000" w:rsidRPr="00000000" w14:paraId="0000014E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79"/>
        <w:gridCol w:w="1673"/>
        <w:gridCol w:w="5476"/>
        <w:tblGridChange w:id="0">
          <w:tblGrid>
            <w:gridCol w:w="1679"/>
            <w:gridCol w:w="1673"/>
            <w:gridCol w:w="5476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Identificador:ESC-03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3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Escenario(s):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5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Visualización del catálogo y operación fluida del Dashboard Administrativo desde computadores de escritorio o portátiles.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6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Atributos de Calidad relevantes: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8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Rendimiento y Usabilidad. 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9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Componentes del Escenario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A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Estímulos: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El administrador (o un cliente) accede a la plataforma web desde un computador para gestionar mantenedores, revisar gráficos de análisis o navegar por el catálogo.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D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Fuente del estimulo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Administrador HQ / Cliente Comprador.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0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Ambiente: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1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Operación diaria desde equipos de escritorio en oficinas o locales comerciales bajo conexión de red estable.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3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Artefacto: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4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Frontend Web en React.js optimizado para pantallas de alta resolución (desktop).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6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Respuesta: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7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El navegador renderiza de manera fluida las tablas de datos, los paneles de control y las imágenes del catálogo sin retrasos visuales notables.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9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Medida de Respuesta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A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Tiempos de respuesta y carga de vistas que permiten una operación ágil y sin bloqueos en la interfaz del computador. </w:t>
            </w:r>
          </w:p>
        </w:tc>
      </w:tr>
    </w:tbl>
    <w:p w:rsidR="00000000" w:rsidDel="00000000" w:rsidP="00000000" w:rsidRDefault="00000000" w:rsidRPr="00000000" w14:paraId="0000016B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widowControl w:val="1"/>
        <w:spacing w:line="240" w:lineRule="auto"/>
        <w:rPr>
          <w:rFonts w:ascii="Calibri" w:cs="Calibri" w:eastAsia="Calibri" w:hAnsi="Calibri"/>
          <w:b w:val="1"/>
          <w:bCs w:val="1"/>
          <w:color w:val="00008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1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h8s00e3j2hgj" w:id="17"/>
      <w:bookmarkEnd w:id="17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Vista de Procesos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widowControl w:val="1"/>
        <w:spacing w:after="240" w:before="240" w:lineRule="auto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La Vista de Procesos describe la ejecución concurrente, la sincronización y los flujos de comunicación entre los componentes del sistema Zapatillas Duoc: E-Commerce &amp; Retail Analytics:</w:t>
      </w:r>
    </w:p>
    <w:p w:rsidR="00000000" w:rsidDel="00000000" w:rsidP="00000000" w:rsidRDefault="00000000" w:rsidRPr="00000000" w14:paraId="0000016F">
      <w:pPr>
        <w:widowControl w:val="1"/>
        <w:numPr>
          <w:ilvl w:val="0"/>
          <w:numId w:val="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Flujo Transaccional Comercial: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La tienda web en Next.js registra pedidos y detalles de venta por producto y talla en Supabase. Mercado Pago actualiza el estado del pedido a venta confirmada.</w:t>
      </w:r>
    </w:p>
    <w:p w:rsidR="00000000" w:rsidDel="00000000" w:rsidP="00000000" w:rsidRDefault="00000000" w:rsidRPr="00000000" w14:paraId="00000170">
      <w:pPr>
        <w:widowControl w:val="1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Proceso de Preparación de Datos y Entrenamiento ML: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La API en Python (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FastAPI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) extrae las ventas confirmadas e historial de inventario, limpia devoluciones/cancelaciones y genera series temporales agregadas por semana, producto y talla. El módulo de entrenamiento compara un modelo base de referencia frente a modelos basados en árboles y versiona los artefactos resultantes.</w:t>
      </w:r>
    </w:p>
    <w:p w:rsidR="00000000" w:rsidDel="00000000" w:rsidP="00000000" w:rsidRDefault="00000000" w:rsidRPr="00000000" w14:paraId="00000171">
      <w:pPr>
        <w:widowControl w:val="1"/>
        <w:numPr>
          <w:ilvl w:val="0"/>
          <w:numId w:val="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Proceso de Pronóstico y Recomendación de Reposición: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La aplicación de escritorio en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Electron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/React solicita proyecciones a la API Python. El backend calcula la recomendación de reposición combinando el pronóstico de demanda, el stock disponible, el stock de seguridad y las unidades en camino.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-676274</wp:posOffset>
            </wp:positionH>
            <wp:positionV relativeFrom="paragraph">
              <wp:posOffset>877491</wp:posOffset>
            </wp:positionV>
            <wp:extent cx="6638925" cy="4789884"/>
            <wp:effectExtent b="0" l="0" r="0" t="0"/>
            <wp:wrapNone/>
            <wp:docPr id="1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78988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72">
      <w:pPr>
        <w:widowControl w:val="1"/>
        <w:spacing w:line="240" w:lineRule="auto"/>
        <w:rPr>
          <w:rFonts w:ascii="Calibri" w:cs="Calibri" w:eastAsia="Calibri" w:hAnsi="Calibri"/>
          <w:color w:val="000080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widowControl w:val="1"/>
        <w:spacing w:line="240" w:lineRule="auto"/>
        <w:rPr>
          <w:rFonts w:ascii="Calibri" w:cs="Calibri" w:eastAsia="Calibri" w:hAnsi="Calibri"/>
          <w:color w:val="000080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widowControl w:val="1"/>
        <w:spacing w:line="240" w:lineRule="auto"/>
        <w:rPr>
          <w:rFonts w:ascii="Calibri" w:cs="Calibri" w:eastAsia="Calibri" w:hAnsi="Calibri"/>
          <w:color w:val="000080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widowControl w:val="1"/>
        <w:spacing w:line="240" w:lineRule="auto"/>
        <w:rPr>
          <w:rFonts w:ascii="Calibri" w:cs="Calibri" w:eastAsia="Calibri" w:hAnsi="Calibri"/>
          <w:color w:val="000080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widowControl w:val="1"/>
        <w:spacing w:line="240" w:lineRule="auto"/>
        <w:rPr>
          <w:rFonts w:ascii="Calibri" w:cs="Calibri" w:eastAsia="Calibri" w:hAnsi="Calibri"/>
          <w:color w:val="000080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widowControl w:val="1"/>
        <w:spacing w:line="240" w:lineRule="auto"/>
        <w:rPr>
          <w:rFonts w:ascii="Calibri" w:cs="Calibri" w:eastAsia="Calibri" w:hAnsi="Calibri"/>
          <w:color w:val="000080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widowControl w:val="1"/>
        <w:spacing w:line="240" w:lineRule="auto"/>
        <w:rPr>
          <w:rFonts w:ascii="Calibri" w:cs="Calibri" w:eastAsia="Calibri" w:hAnsi="Calibri"/>
          <w:b w:val="1"/>
          <w:bCs w:val="1"/>
          <w:color w:val="000080"/>
          <w:sz w:val="24"/>
          <w:szCs w:val="24"/>
          <w:highlight w:val="lightGray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1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750rem66je1o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Vista Lógica</w:t>
      </w:r>
    </w:p>
    <w:p w:rsidR="00000000" w:rsidDel="00000000" w:rsidP="00000000" w:rsidRDefault="00000000" w:rsidRPr="00000000" w14:paraId="0000017A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 continuación, se presenta una vista lógica de la aplicación expresado en tres diagramas, uno de ellos que muestra la parte estructural o estática de la aplicación (clases) y a la base de datos (modelo relacional).otra vista que representa la parte dinámica (secuencias).</w:t>
      </w:r>
    </w:p>
    <w:p w:rsidR="00000000" w:rsidDel="00000000" w:rsidP="00000000" w:rsidRDefault="00000000" w:rsidRPr="00000000" w14:paraId="0000017B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1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576" w:right="0" w:hanging="576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ea7ilc9etlun" w:id="19"/>
      <w:bookmarkEnd w:id="19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Parte Estructural ( Diagrama de Clases  y Diagrama Relacional)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3"/>
        <w:numPr>
          <w:ilvl w:val="2"/>
          <w:numId w:val="4"/>
        </w:numPr>
        <w:ind w:left="720" w:hanging="720"/>
        <w:rPr>
          <w:rFonts w:ascii="Calibri" w:cs="Calibri" w:eastAsia="Calibri" w:hAnsi="Calibri"/>
          <w:sz w:val="24"/>
          <w:szCs w:val="24"/>
        </w:rPr>
      </w:pPr>
      <w:bookmarkStart w:colFirst="0" w:colLast="0" w:name="_heading=h.8e8m4g9o0ro2" w:id="20"/>
      <w:bookmarkEnd w:id="20"/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Descripción de Clases</w:t>
      </w:r>
    </w:p>
    <w:tbl>
      <w:tblPr>
        <w:tblStyle w:val="Table10"/>
        <w:tblpPr w:leftFromText="141" w:rightFromText="141" w:topFromText="0" w:bottomFromText="0" w:vertAnchor="text" w:horzAnchor="text" w:tblpX="0" w:tblpY="0"/>
        <w:tblW w:w="9206.0" w:type="dxa"/>
        <w:jc w:val="left"/>
        <w:tblLayout w:type="fixed"/>
        <w:tblLook w:val="0000"/>
      </w:tblPr>
      <w:tblGrid>
        <w:gridCol w:w="1262"/>
        <w:gridCol w:w="3692"/>
        <w:gridCol w:w="4252"/>
        <w:tblGridChange w:id="0">
          <w:tblGrid>
            <w:gridCol w:w="1262"/>
            <w:gridCol w:w="3692"/>
            <w:gridCol w:w="4252"/>
          </w:tblGrid>
        </w:tblGridChange>
      </w:tblGrid>
      <w:tr>
        <w:trPr>
          <w:cantSplit w:val="0"/>
          <w:trHeight w:val="5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17E">
            <w:pPr>
              <w:widowControl w:val="1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  <w:rtl w:val="0"/>
              </w:rPr>
              <w:t xml:space="preserve">Código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17F">
            <w:pPr>
              <w:widowControl w:val="1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180">
            <w:pPr>
              <w:widowControl w:val="1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379.7460937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CL-001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88038"/>
                <w:sz w:val="24"/>
                <w:szCs w:val="24"/>
                <w:rtl w:val="0"/>
              </w:rPr>
              <w:t xml:space="preserve">DesktopController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Gestiona las vistas principales, filtros de selección por período/producto y la navegación dentro de la app de escritorio (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Electron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/React).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CL-002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88038"/>
                <w:sz w:val="24"/>
                <w:szCs w:val="24"/>
                <w:rtl w:val="0"/>
              </w:rPr>
              <w:t xml:space="preserve">AuthService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Valida la identidad y los permisos del usuario autorizado frente al servicio API Python/FastAPI.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CL-003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88038"/>
                <w:sz w:val="24"/>
                <w:szCs w:val="24"/>
                <w:rtl w:val="0"/>
              </w:rPr>
              <w:t xml:space="preserve">DataPreparationService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Modulo en Python encargado de limpiar registros, tratar devoluciones/cancelaciones y construir variables temporales y rezagadas.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CL-004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88038"/>
                <w:sz w:val="24"/>
                <w:szCs w:val="24"/>
                <w:rtl w:val="0"/>
              </w:rPr>
              <w:t xml:space="preserve">ModelTrainer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Ejecuta de manera asíncrona el entrenamiento y la evaluación temporal de modelos de Machine Learning (comparando referencias sencillas y árboles).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CL-005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88038"/>
                <w:sz w:val="24"/>
                <w:szCs w:val="24"/>
                <w:rtl w:val="0"/>
              </w:rPr>
              <w:t xml:space="preserve">ForecastingEngine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Genera los pronósticos de unidades futuras por período, producto y talla utilizando los artefactos de modelos versionados.</w:t>
            </w:r>
          </w:p>
        </w:tc>
      </w:tr>
      <w:tr>
        <w:trPr>
          <w:cantSplit w:val="0"/>
          <w:trHeight w:val="247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CL-006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88038"/>
                <w:sz w:val="24"/>
                <w:szCs w:val="24"/>
                <w:rtl w:val="0"/>
              </w:rPr>
              <w:t xml:space="preserve">ReplenishmentCalculator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1"/>
              <w:spacing w:after="48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Calcula las sugerencias de compra y reposición combinando la demanda estimada con el stock disponible y los parámetros de cobertura.</w:t>
            </w:r>
          </w:p>
        </w:tc>
      </w:tr>
    </w:tbl>
    <w:p w:rsidR="00000000" w:rsidDel="00000000" w:rsidP="00000000" w:rsidRDefault="00000000" w:rsidRPr="00000000" w14:paraId="00000193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Ilustración 4: Diagrama de Base Datos (Relacional)</w:t>
      </w:r>
    </w:p>
    <w:p w:rsidR="00000000" w:rsidDel="00000000" w:rsidP="00000000" w:rsidRDefault="00000000" w:rsidRPr="00000000" w14:paraId="00000198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19050" distT="19050" distL="19050" distR="19050">
            <wp:extent cx="5740400" cy="4267200"/>
            <wp:effectExtent b="0" l="0" r="0" t="0"/>
            <wp:docPr descr="supabase-schema-lndssmwhvifnndambwpe.png" id="17" name="image2.png"/>
            <a:graphic>
              <a:graphicData uri="http://schemas.openxmlformats.org/drawingml/2006/picture">
                <pic:pic>
                  <pic:nvPicPr>
                    <pic:cNvPr descr="supabase-schema-lndssmwhvifnndambwpe.png" id="0" name="image2.png"/>
                    <pic:cNvPicPr preferRelativeResize="0"/>
                  </pic:nvPicPr>
                  <pic:blipFill>
                    <a:blip r:embed="rId9"/>
                    <a:srcRect b="3689" l="15713" r="22009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426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numPr>
          <w:ilvl w:val="2"/>
          <w:numId w:val="4"/>
        </w:numPr>
        <w:ind w:left="720" w:hanging="720"/>
        <w:rPr>
          <w:rFonts w:ascii="Calibri" w:cs="Calibri" w:eastAsia="Calibri" w:hAnsi="Calibri"/>
          <w:sz w:val="24"/>
          <w:szCs w:val="24"/>
        </w:rPr>
      </w:pPr>
      <w:bookmarkStart w:colFirst="0" w:colLast="0" w:name="_heading=h.5jumc9utpi9u" w:id="21"/>
      <w:bookmarkEnd w:id="21"/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Descripción de Tablas</w:t>
      </w:r>
    </w:p>
    <w:tbl>
      <w:tblPr>
        <w:tblStyle w:val="Table11"/>
        <w:tblpPr w:leftFromText="141" w:rightFromText="141" w:topFromText="0" w:bottomFromText="0" w:vertAnchor="page" w:horzAnchor="page" w:tblpX="1759.9999999999998" w:tblpY="3349.86328125"/>
        <w:tblW w:w="9206.0" w:type="dxa"/>
        <w:jc w:val="left"/>
        <w:tblLayout w:type="fixed"/>
        <w:tblLook w:val="0000"/>
      </w:tblPr>
      <w:tblGrid>
        <w:gridCol w:w="1262"/>
        <w:gridCol w:w="3692"/>
        <w:gridCol w:w="4252"/>
        <w:tblGridChange w:id="0">
          <w:tblGrid>
            <w:gridCol w:w="1262"/>
            <w:gridCol w:w="3692"/>
            <w:gridCol w:w="4252"/>
          </w:tblGrid>
        </w:tblGridChange>
      </w:tblGrid>
      <w:tr>
        <w:trPr>
          <w:cantSplit w:val="0"/>
          <w:trHeight w:val="5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1"/>
              <w:spacing w:after="480" w:line="276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  <w:rtl w:val="0"/>
              </w:rPr>
              <w:t xml:space="preserve">Código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1"/>
              <w:spacing w:after="480" w:line="276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1"/>
              <w:spacing w:after="480" w:line="276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80"/>
                <w:sz w:val="24"/>
                <w:szCs w:val="24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170.07874015748033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perfiles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Almacena la información de los usuarios/perfiles registrados (RUT, nombres, apellidos, email, teléfono), vinculados directamente con la autenticación de Supabase (auth.users.id).</w:t>
            </w:r>
          </w:p>
        </w:tc>
      </w:tr>
      <w:tr>
        <w:trPr>
          <w:cantSplit w:val="0"/>
          <w:trHeight w:val="170.0787401574803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TB-002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productos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Catálogo principal de productos con sus detalles (precio, precio en oferta, imagen, marca, categoría, color, embeddings para búsquedas vectoriales y metadata general).</w:t>
            </w:r>
          </w:p>
        </w:tc>
      </w:tr>
      <w:tr>
        <w:trPr>
          <w:cantSplit w:val="0"/>
          <w:trHeight w:val="716.05957031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TB-003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stock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Control de inventario físico y existencias por producto y variante de talla especifica.</w:t>
            </w:r>
          </w:p>
        </w:tc>
      </w:tr>
      <w:tr>
        <w:trPr>
          <w:cantSplit w:val="0"/>
          <w:trHeight w:val="170.0787401574803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categorias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Clasificación y gestión del catálogo de categorías de productos (incluye nombres, slug e imágenes).</w:t>
            </w:r>
          </w:p>
        </w:tc>
      </w:tr>
      <w:tr>
        <w:trPr>
          <w:cantSplit w:val="0"/>
          <w:trHeight w:val="170.0787401574803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TB-005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marcas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Registro maestro de marcas de productos disponibles en la tienda con su logo, descripción e imagen de portada.</w:t>
            </w:r>
          </w:p>
        </w:tc>
      </w:tr>
      <w:tr>
        <w:trPr>
          <w:cantSplit w:val="0"/>
          <w:trHeight w:val="170.0787401574803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TB-006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colores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Catálogo de colores para asignación a los productos (incluye código hexadecimal).</w:t>
            </w:r>
          </w:p>
        </w:tc>
      </w:tr>
      <w:tr>
        <w:trPr>
          <w:cantSplit w:val="0"/>
          <w:trHeight w:val="170.0787401574803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TB-007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pedidos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Registro transaccional de compras realizadas, incluyendo datos del cliente, estado del pedido, total pagado y método de pago.</w:t>
            </w:r>
          </w:p>
        </w:tc>
      </w:tr>
      <w:tr>
        <w:trPr>
          <w:cantSplit w:val="0"/>
          <w:trHeight w:val="984.089355468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TB-008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detalles_pedido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Desglose de los ítems comprados en un pedido específico (producto, talla, cantidad y precio unitario abonado).</w:t>
            </w:r>
          </w:p>
        </w:tc>
      </w:tr>
      <w:tr>
        <w:trPr>
          <w:cantSplit w:val="0"/>
          <w:trHeight w:val="984.089355468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TB-009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items_carrito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Almacena temporalmente los productos agregados al carrito de compras de un usuario/perfil antes de concretar la orden.</w:t>
            </w:r>
          </w:p>
        </w:tc>
      </w:tr>
      <w:tr>
        <w:trPr>
          <w:cantSplit w:val="0"/>
          <w:trHeight w:val="984.089355468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envios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Gestión del despacho físico de pedidos (tipo de envío, proveedor logístico, estado del despacho, dirección de entrega, costo y código de seguimiento).</w:t>
            </w:r>
          </w:p>
        </w:tc>
      </w:tr>
      <w:tr>
        <w:trPr>
          <w:cantSplit w:val="0"/>
          <w:trHeight w:val="984.089355468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TB-011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direcciones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Registro de direcciones guardadas por los usuarios para envíos (calle, número, depto/oficina, si es principal, región y comuna).</w:t>
            </w:r>
          </w:p>
        </w:tc>
      </w:tr>
      <w:tr>
        <w:trPr>
          <w:cantSplit w:val="0"/>
          <w:trHeight w:val="984.089355468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TB-012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metodos_pago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Opciones y pasarelas de pago disponibles en el sistema (ej. Webpay, Transferencia, etc.) y su estado activo/inactivo.</w:t>
            </w:r>
          </w:p>
        </w:tc>
      </w:tr>
      <w:tr>
        <w:trPr>
          <w:cantSplit w:val="0"/>
          <w:trHeight w:val="984.089355468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TB-013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regiones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Catálogo territorial de regiones del país para ordenamiento geográfico de envíos y direcciones.</w:t>
            </w:r>
          </w:p>
        </w:tc>
      </w:tr>
      <w:tr>
        <w:trPr>
          <w:cantSplit w:val="0"/>
          <w:trHeight w:val="984.089355468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TB-014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comunas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Catálogo de comunas asociadas a cada región para el cálculo de cobertura de envíos y direcciones.</w:t>
            </w:r>
          </w:p>
        </w:tc>
      </w:tr>
      <w:tr>
        <w:trPr>
          <w:cantSplit w:val="0"/>
          <w:trHeight w:val="984.089355468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TB-015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generos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Almacena los géneros utilizados para clasificar los productos dentro del catálogo. </w:t>
            </w:r>
          </w:p>
        </w:tc>
      </w:tr>
      <w:tr>
        <w:trPr>
          <w:cantSplit w:val="0"/>
          <w:trHeight w:val="984.089355468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TB-016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comprobantes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widowControl w:val="1"/>
              <w:spacing w:after="20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Almacena la información de los comprobantes de compra generados para los pedidos, incluyendo datos de emisión, estado del documento, PDF y seguimiento de envío por correo. </w:t>
            </w:r>
          </w:p>
        </w:tc>
      </w:tr>
      <w:tr>
        <w:trPr>
          <w:cantSplit w:val="0"/>
          <w:trHeight w:val="984.089355468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TB-017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spacing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comprobante_tareas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widowControl w:val="1"/>
              <w:spacing w:after="200" w:line="276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Registra y gestiona el encolamiento y estado de las tareas asíncronas asociadas a los comprobantes (generación de PDF y envío de correos). </w:t>
            </w:r>
          </w:p>
        </w:tc>
      </w:tr>
    </w:tbl>
    <w:p w:rsidR="00000000" w:rsidDel="00000000" w:rsidP="00000000" w:rsidRDefault="00000000" w:rsidRPr="00000000" w14:paraId="000001D1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yx34bgr105z6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color w:val="000080"/>
          <w:sz w:val="24"/>
          <w:szCs w:val="24"/>
          <w:rtl w:val="0"/>
        </w:rPr>
        <w:t xml:space="preserve">5.2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Parte Dinámica (Diagrama de Secuencias)</w:t>
      </w:r>
    </w:p>
    <w:p w:rsidR="00000000" w:rsidDel="00000000" w:rsidP="00000000" w:rsidRDefault="00000000" w:rsidRPr="00000000" w14:paraId="000001D7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1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Ilustración 5: Diagramas de Secuencias </w:t>
      </w:r>
    </w:p>
    <w:p w:rsidR="00000000" w:rsidDel="00000000" w:rsidP="00000000" w:rsidRDefault="00000000" w:rsidRPr="00000000" w14:paraId="000001DA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-876299</wp:posOffset>
            </wp:positionH>
            <wp:positionV relativeFrom="paragraph">
              <wp:posOffset>210555</wp:posOffset>
            </wp:positionV>
            <wp:extent cx="7029450" cy="3934830"/>
            <wp:effectExtent b="0" l="0" r="0" t="0"/>
            <wp:wrapNone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29450" cy="39348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DB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keepNext w:val="1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7tl4k6uq9qg" w:id="23"/>
      <w:bookmarkEnd w:id="23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Vista de Desarrollo o Despliegue</w:t>
      </w:r>
    </w:p>
    <w:p w:rsidR="00000000" w:rsidDel="00000000" w:rsidP="00000000" w:rsidRDefault="00000000" w:rsidRPr="00000000" w14:paraId="000001E2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 esta vista se describen las componente o modulos en las cuales se dividirá o implementará el sistema</w:t>
      </w:r>
    </w:p>
    <w:p w:rsidR="00000000" w:rsidDel="00000000" w:rsidP="00000000" w:rsidRDefault="00000000" w:rsidRPr="00000000" w14:paraId="000001E3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Módulo Tienda Web (Next.js):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Vistas de catálogo, selección de talla, carrito y checkout.</w:t>
      </w:r>
    </w:p>
    <w:p w:rsidR="00000000" w:rsidDel="00000000" w:rsidP="00000000" w:rsidRDefault="00000000" w:rsidRPr="00000000" w14:paraId="000001E5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Módulo Dashboard (Ionic + React):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Mantenedores CRUD de productos, categorías, marcas y stock por talla.</w:t>
      </w:r>
    </w:p>
    <w:p w:rsidR="00000000" w:rsidDel="00000000" w:rsidP="00000000" w:rsidRDefault="00000000" w:rsidRPr="00000000" w14:paraId="000001E6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Módulo Escritorio Predictivo (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Electron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+ React):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Vistas analíticas, filtros por período, visualización de series temporales y sugerencias de compra.</w:t>
      </w:r>
    </w:p>
    <w:p w:rsidR="00000000" w:rsidDel="00000000" w:rsidP="00000000" w:rsidRDefault="00000000" w:rsidRPr="00000000" w14:paraId="000001E7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Módulo API Analítica (Python/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FastAPI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Endpoints de autenticación, pipelines de limpieza de datos (</w:t>
      </w:r>
      <w:r w:rsidDel="00000000" w:rsidR="00000000" w:rsidRPr="00000000">
        <w:rPr>
          <w:rFonts w:ascii="Calibri" w:cs="Calibri" w:eastAsia="Calibri" w:hAnsi="Calibri"/>
          <w:color w:val="188038"/>
          <w:sz w:val="24"/>
          <w:szCs w:val="24"/>
          <w:rtl w:val="0"/>
        </w:rPr>
        <w:t xml:space="preserve">pandas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), scripts de entrenamiento (</w:t>
      </w:r>
      <w:r w:rsidDel="00000000" w:rsidR="00000000" w:rsidRPr="00000000">
        <w:rPr>
          <w:rFonts w:ascii="Calibri" w:cs="Calibri" w:eastAsia="Calibri" w:hAnsi="Calibri"/>
          <w:color w:val="188038"/>
          <w:sz w:val="24"/>
          <w:szCs w:val="24"/>
          <w:rtl w:val="0"/>
        </w:rPr>
        <w:t xml:space="preserve">scikit-learn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) y módulo de cálculo de reabastecimiento.</w:t>
      </w:r>
    </w:p>
    <w:p w:rsidR="00000000" w:rsidDel="00000000" w:rsidP="00000000" w:rsidRDefault="00000000" w:rsidRPr="00000000" w14:paraId="000001E8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Ilustración 6: Diagrama de componentes</w:t>
      </w:r>
    </w:p>
    <w:p w:rsidR="00000000" w:rsidDel="00000000" w:rsidP="00000000" w:rsidRDefault="00000000" w:rsidRPr="00000000" w14:paraId="000001ED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-657224</wp:posOffset>
            </wp:positionH>
            <wp:positionV relativeFrom="paragraph">
              <wp:posOffset>238125</wp:posOffset>
            </wp:positionV>
            <wp:extent cx="7000875" cy="5246390"/>
            <wp:effectExtent b="0" l="0" r="0" t="0"/>
            <wp:wrapNone/>
            <wp:docPr id="1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00875" cy="52463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EE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keepNext w:val="1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bqso4haub9wv" w:id="24"/>
      <w:bookmarkEnd w:id="24"/>
      <w:r w:rsidDel="00000000" w:rsidR="00000000" w:rsidRPr="00000000">
        <w:br w:type="page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Vista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80"/>
          <w:sz w:val="24"/>
          <w:szCs w:val="24"/>
          <w:rtl w:val="0"/>
        </w:rPr>
        <w:t xml:space="preserve">Física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240" w:before="240" w:lineRule="auto"/>
        <w:jc w:val="both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Detalla los nodos de infraestructura donde se ejecutan los componentes del sistema:</w:t>
      </w:r>
    </w:p>
    <w:p w:rsidR="00000000" w:rsidDel="00000000" w:rsidP="00000000" w:rsidRDefault="00000000" w:rsidRPr="00000000" w14:paraId="000001F3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Nodo Cliente Web / Móvil: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Navegador accediendo al portal Next.js o dispositivo móvil ejecutando el Dashboard Ionic.</w:t>
      </w:r>
    </w:p>
    <w:p w:rsidR="00000000" w:rsidDel="00000000" w:rsidP="00000000" w:rsidRDefault="00000000" w:rsidRPr="00000000" w14:paraId="000001F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Nodo Cliente Desktop: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Computador personal o de oficina con la aplicación instalable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Electron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Nodo Servidor Cloud (Render /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PaaS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Servidor donde se despliega la API Python/FastAPI.</w:t>
      </w:r>
    </w:p>
    <w:p w:rsidR="00000000" w:rsidDel="00000000" w:rsidP="00000000" w:rsidRDefault="00000000" w:rsidRPr="00000000" w14:paraId="000001F6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Nodo Base de Datos (Supabase Cloud):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Instancia administrada de PostgreSQL que hospeda las tablas transaccionales y la persistencia analítica.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Ilustración 7: Diagrama de Despliegue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-179387</wp:posOffset>
            </wp:positionH>
            <wp:positionV relativeFrom="paragraph">
              <wp:posOffset>695325</wp:posOffset>
            </wp:positionV>
            <wp:extent cx="5183188" cy="6153150"/>
            <wp:effectExtent b="0" l="0" r="0" t="0"/>
            <wp:wrapNone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3188" cy="6153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7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keepNext w:val="1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432" w:right="0" w:hanging="432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shd w:fill="auto" w:val="clear"/>
          <w:vertAlign w:val="baseline"/>
        </w:rPr>
      </w:pPr>
      <w:bookmarkStart w:colFirst="0" w:colLast="0" w:name="_heading=h.3i8py1381dxa" w:id="25"/>
      <w:bookmarkEnd w:id="25"/>
      <w:r w:rsidDel="00000000" w:rsidR="00000000" w:rsidRPr="00000000">
        <w:br w:type="page"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Decisiones de Diseño y Selección de Alternativas</w:t>
      </w:r>
    </w:p>
    <w:p w:rsidR="00000000" w:rsidDel="00000000" w:rsidP="00000000" w:rsidRDefault="00000000" w:rsidRPr="00000000" w14:paraId="000001FB">
      <w:pPr>
        <w:spacing w:after="240" w:before="240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Las principales decisiones arquitectónicas se tomaron considerando la naturaleza del producto analítico y las restricciones del proyecto de título:</w:t>
      </w:r>
    </w:p>
    <w:p w:rsidR="00000000" w:rsidDel="00000000" w:rsidP="00000000" w:rsidRDefault="00000000" w:rsidRPr="00000000" w14:paraId="000001FC">
      <w:pPr>
        <w:numPr>
          <w:ilvl w:val="0"/>
          <w:numId w:val="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Separación de responsabilidades mediante Arquitectura Cliente-Servidor: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Se optó por aislar la lógica analítica pesada en un backend independiente desarrollado en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Python con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FastAPI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permitiendo que la interfaz de usuario en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Electron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+ React + TypeScript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se mantenga fluida sin bloqueos durante los procesos de entrenamiento.</w:t>
      </w:r>
    </w:p>
    <w:p w:rsidR="00000000" w:rsidDel="00000000" w:rsidP="00000000" w:rsidRDefault="00000000" w:rsidRPr="00000000" w14:paraId="000001FD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Estrategia de Machine Learning basada en Validación Temporal: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Para evitar falsas expectativas de rendimiento futuro, se determinó que la validación de los modelos respetará estrictamente el orden temporal mediante ventanas sucesivas de entrenamiento y evaluación (utilizando métricas como MAE y error agregado de unidades), priorizando una referencia sencilla inicial (promedio móvil) antes de incorporar modelos basados en árboles.</w:t>
      </w:r>
    </w:p>
    <w:p w:rsidR="00000000" w:rsidDel="00000000" w:rsidP="00000000" w:rsidRDefault="00000000" w:rsidRPr="00000000" w14:paraId="000001FE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Uso de Entorno Comercial Propio: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Ante la falta de un negocio externo que facilitara datos reales, se diseñó e integró un entorno de demostración cohesivo (Tienda Next.js + Dashboard Ionic) conectado a Supabase, asegurando un flujo de datos transaccionales reproducible para alimentar el aplicativo predictivo.</w:t>
      </w:r>
    </w:p>
    <w:p w:rsidR="00000000" w:rsidDel="00000000" w:rsidP="00000000" w:rsidRDefault="00000000" w:rsidRPr="00000000" w14:paraId="000001F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both"/>
        <w:rPr>
          <w:rFonts w:ascii="Calibri" w:cs="Calibri" w:eastAsia="Calibri" w:hAnsi="Calibri"/>
          <w:sz w:val="24"/>
          <w:szCs w:val="24"/>
        </w:rPr>
      </w:pPr>
      <w:bookmarkStart w:colFirst="0" w:colLast="0" w:name="_heading=h.hl7y715zoeba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ysqy4ow6ibya" w:id="27"/>
      <w:bookmarkEnd w:id="27"/>
      <w:r w:rsidDel="00000000" w:rsidR="00000000" w:rsidRPr="00000000">
        <w:rPr>
          <w:rFonts w:ascii="Calibri" w:cs="Calibri" w:eastAsia="Calibri" w:hAnsi="Calibri"/>
          <w:b w:val="1"/>
          <w:bCs w:val="1"/>
          <w:color w:val="000080"/>
          <w:sz w:val="24"/>
          <w:szCs w:val="24"/>
          <w:rtl w:val="0"/>
        </w:rPr>
        <w:t xml:space="preserve">9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80"/>
          <w:sz w:val="24"/>
          <w:szCs w:val="24"/>
          <w:u w:val="none"/>
          <w:shd w:fill="auto" w:val="clear"/>
          <w:vertAlign w:val="baseline"/>
          <w:rtl w:val="0"/>
        </w:rPr>
        <w:t xml:space="preserve">Análisis de Reutilización</w:t>
      </w:r>
    </w:p>
    <w:p w:rsidR="00000000" w:rsidDel="00000000" w:rsidP="00000000" w:rsidRDefault="00000000" w:rsidRPr="00000000" w14:paraId="00000201">
      <w:pPr>
        <w:spacing w:after="240" w:before="240" w:lineRule="auto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Para optimizar los tiempos de desarrollo durante el proyecto, se definió la siguiente estrategia de reutilización:</w:t>
      </w:r>
    </w:p>
    <w:p w:rsidR="00000000" w:rsidDel="00000000" w:rsidP="00000000" w:rsidRDefault="00000000" w:rsidRPr="00000000" w14:paraId="00000202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Componentes de UI y Estilos: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Reutilización de componentes React y librerías de interfaz (Tailwind CSS / Ionic Components) compartidos entre el Dashboard administrativo y la aplicación de escritorio.</w:t>
      </w:r>
    </w:p>
    <w:p w:rsidR="00000000" w:rsidDel="00000000" w:rsidP="00000000" w:rsidRDefault="00000000" w:rsidRPr="00000000" w14:paraId="0000020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Librerías Estándar de Ciencia de Datos: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Uso de paquetes maduros en Python (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Pandas, Scikit-Learn,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FastAPI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) para evitar la implementación desde cero de algoritmos de Machine Learning y pipelines de preprocesamiento de datos.</w:t>
      </w:r>
    </w:p>
    <w:p w:rsidR="00000000" w:rsidDel="00000000" w:rsidP="00000000" w:rsidRDefault="00000000" w:rsidRPr="00000000" w14:paraId="00000204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Infraestructura Backend como Servicio (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BaaS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Uso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Supabase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para reutilizar esquemas de autenticación, almacenamiento de imágenes y conectores cliente de PostgreSQL sin necesidad de construir un ORM desde cero.</w:t>
      </w:r>
    </w:p>
    <w:p w:rsidR="00000000" w:rsidDel="00000000" w:rsidP="00000000" w:rsidRDefault="00000000" w:rsidRPr="00000000" w14:paraId="00000205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footerReference r:id="rId15" w:type="default"/>
      <w:pgSz w:h="15840" w:w="12240" w:orient="portrait"/>
      <w:pgMar w:bottom="1440" w:top="1440" w:left="176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72390</wp:posOffset>
              </wp:positionV>
              <wp:extent cx="0" cy="12700"/>
              <wp:effectExtent b="0" l="0" r="0" t="0"/>
              <wp:wrapNone/>
              <wp:docPr id="1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488500" y="3780000"/>
                        <a:ext cx="57150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med" w="med" type="none"/>
                        <a:tailEnd len="med" w="med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72390</wp:posOffset>
              </wp:positionV>
              <wp:extent cx="0" cy="12700"/>
              <wp:effectExtent b="0" l="0" r="0" t="0"/>
              <wp:wrapNone/>
              <wp:docPr id="1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21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Documento Confidencial                                                                                                                                                 Página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right" w:leader="none" w:pos="8931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f5f5f"/>
        <w:sz w:val="16"/>
        <w:szCs w:val="16"/>
        <w:u w:val="single"/>
        <w:shd w:fill="auto" w:val="clear"/>
        <w:vertAlign w:val="baseline"/>
        <w:rtl w:val="0"/>
      </w:rPr>
      <w:t xml:space="preserve">                     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8">
    <w:pPr>
      <w:spacing w:line="240" w:lineRule="auto"/>
      <w:jc w:val="right"/>
      <w:rPr/>
    </w:pPr>
    <w:r w:rsidDel="00000000" w:rsidR="00000000" w:rsidRPr="00000000">
      <w:rPr>
        <w:rtl w:val="0"/>
      </w:rPr>
      <w:tab/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-163829</wp:posOffset>
          </wp:positionH>
          <wp:positionV relativeFrom="paragraph">
            <wp:posOffset>68580</wp:posOffset>
          </wp:positionV>
          <wp:extent cx="1668780" cy="414655"/>
          <wp:effectExtent b="0" l="0" r="0" t="0"/>
          <wp:wrapSquare wrapText="bothSides" distB="0" distT="0" distL="114300" distR="114300"/>
          <wp:docPr id="15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68780" cy="4146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09">
    <w:pPr>
      <w:widowControl w:val="1"/>
      <w:spacing w:line="240" w:lineRule="auto"/>
      <w:jc w:val="right"/>
      <w:rPr>
        <w:sz w:val="24"/>
        <w:szCs w:val="24"/>
      </w:rPr>
    </w:pPr>
    <w:r w:rsidDel="00000000" w:rsidR="00000000" w:rsidRPr="00000000">
      <w:rPr>
        <w:i w:val="1"/>
        <w:iCs w:val="1"/>
        <w:sz w:val="14"/>
        <w:szCs w:val="14"/>
        <w:rtl w:val="0"/>
      </w:rPr>
      <w:t xml:space="preserve">Vicerrectoría Académica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A">
    <w:pPr>
      <w:widowControl w:val="1"/>
      <w:spacing w:line="240" w:lineRule="auto"/>
      <w:jc w:val="right"/>
      <w:rPr>
        <w:sz w:val="24"/>
        <w:szCs w:val="24"/>
      </w:rPr>
    </w:pPr>
    <w:r w:rsidDel="00000000" w:rsidR="00000000" w:rsidRPr="00000000">
      <w:rPr>
        <w:i w:val="1"/>
        <w:iCs w:val="1"/>
        <w:sz w:val="14"/>
        <w:szCs w:val="14"/>
        <w:rtl w:val="0"/>
      </w:rPr>
      <w:t xml:space="preserve">Dirección de Servicios Académicos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B">
    <w:pPr>
      <w:widowControl w:val="1"/>
      <w:spacing w:line="240" w:lineRule="auto"/>
      <w:jc w:val="right"/>
      <w:rPr>
        <w:sz w:val="24"/>
        <w:szCs w:val="24"/>
      </w:rPr>
    </w:pPr>
    <w:r w:rsidDel="00000000" w:rsidR="00000000" w:rsidRPr="00000000">
      <w:rPr>
        <w:i w:val="1"/>
        <w:iCs w:val="1"/>
        <w:sz w:val="14"/>
        <w:szCs w:val="14"/>
        <w:rtl w:val="0"/>
      </w:rPr>
      <w:t xml:space="preserve">Subdirección de Servicios a Escuelas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C">
    <w:pPr>
      <w:widowControl w:val="1"/>
      <w:tabs>
        <w:tab w:val="center" w:leader="none" w:pos="4419"/>
        <w:tab w:val="right" w:leader="none" w:pos="8838"/>
      </w:tabs>
      <w:spacing w:after="200" w:line="276" w:lineRule="auto"/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  <w:ind w:left="432" w:hanging="432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432" w:hanging="432"/>
    </w:pPr>
    <w:rPr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432" w:hanging="432"/>
    </w:pPr>
    <w:rPr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432" w:hanging="432"/>
    </w:pPr>
    <w:rPr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1008" w:hanging="1008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1152" w:hanging="1152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b w:val="1"/>
      <w:bCs w:val="1"/>
      <w:sz w:val="36"/>
      <w:szCs w:val="36"/>
    </w:rPr>
  </w:style>
  <w:style w:type="paragraph" w:styleId="Ttulo7">
    <w:name w:val="heading 7"/>
    <w:basedOn w:val="Normal"/>
    <w:next w:val="Normal"/>
    <w:qFormat w:val="1"/>
    <w:pPr>
      <w:numPr>
        <w:ilvl w:val="6"/>
        <w:numId w:val="1"/>
      </w:numPr>
      <w:spacing w:after="60" w:before="240"/>
      <w:outlineLvl w:val="6"/>
    </w:pPr>
  </w:style>
  <w:style w:type="paragraph" w:styleId="Ttulo8">
    <w:name w:val="heading 8"/>
    <w:basedOn w:val="Normal"/>
    <w:next w:val="Normal"/>
    <w:qFormat w:val="1"/>
    <w:pPr>
      <w:numPr>
        <w:ilvl w:val="7"/>
        <w:numId w:val="1"/>
      </w:numPr>
      <w:spacing w:after="60" w:before="240"/>
      <w:outlineLvl w:val="7"/>
    </w:pPr>
    <w:rPr>
      <w:i w:val="1"/>
    </w:rPr>
  </w:style>
  <w:style w:type="paragraph" w:styleId="Ttulo9">
    <w:name w:val="heading 9"/>
    <w:basedOn w:val="Normal"/>
    <w:next w:val="Normal"/>
    <w:qFormat w:val="1"/>
    <w:pPr>
      <w:numPr>
        <w:ilvl w:val="8"/>
        <w:numId w:val="1"/>
      </w:numPr>
      <w:spacing w:after="60" w:before="240"/>
      <w:outlineLvl w:val="8"/>
    </w:pPr>
    <w:rPr>
      <w:b w:val="1"/>
      <w:i w:val="1"/>
      <w:sz w:val="1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uiPriority w:val="39"/>
    <w:pPr>
      <w:spacing w:after="120" w:before="120"/>
    </w:pPr>
    <w:rPr>
      <w:rFonts w:ascii="Times New Roman" w:hAnsi="Times New Roman"/>
      <w:b w:val="1"/>
      <w:bCs w:val="1"/>
      <w:caps w:val="1"/>
    </w:rPr>
  </w:style>
  <w:style w:type="paragraph" w:styleId="TDC2">
    <w:name w:val="toc 2"/>
    <w:basedOn w:val="Normal"/>
    <w:next w:val="Normal"/>
    <w:uiPriority w:val="39"/>
    <w:pPr>
      <w:ind w:left="200"/>
    </w:pPr>
    <w:rPr>
      <w:rFonts w:ascii="Times New Roman" w:hAnsi="Times New Roman"/>
      <w:smallCaps w:val="1"/>
    </w:rPr>
  </w:style>
  <w:style w:type="paragraph" w:styleId="TDC3">
    <w:name w:val="toc 3"/>
    <w:basedOn w:val="Normal"/>
    <w:next w:val="Normal"/>
    <w:uiPriority w:val="39"/>
    <w:pPr>
      <w:ind w:left="400"/>
    </w:pPr>
    <w:rPr>
      <w:rFonts w:ascii="Times New Roman" w:hAnsi="Times New Roman"/>
      <w:i w:val="1"/>
      <w:iCs w:val="1"/>
    </w:rPr>
  </w:style>
  <w:style w:type="paragraph" w:styleId="Encabezado">
    <w:name w:val="header"/>
    <w:basedOn w:val="Normal"/>
    <w:link w:val="EncabezadoCar"/>
    <w:uiPriority w:val="99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styleId="Bullet1" w:customStyle="1">
    <w:name w:val="Bullet1"/>
    <w:basedOn w:val="Normal"/>
    <w:pPr>
      <w:ind w:left="720" w:hanging="432"/>
    </w:pPr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Tabletext" w:customStyle="1">
    <w:name w:val="Tabletext"/>
    <w:basedOn w:val="Normal"/>
    <w:pPr>
      <w:keepLines w:val="1"/>
      <w:spacing w:after="120"/>
    </w:pPr>
  </w:style>
  <w:style w:type="paragraph" w:styleId="Textoindependiente">
    <w:name w:val="Body Text"/>
    <w:basedOn w:val="Normal"/>
    <w:pPr>
      <w:keepLines w:val="1"/>
      <w:spacing w:after="120"/>
      <w:ind w:left="720"/>
    </w:pPr>
  </w:style>
  <w:style w:type="paragraph" w:styleId="Mapadeldocumento">
    <w:name w:val="Document Map"/>
    <w:basedOn w:val="Normal"/>
    <w:semiHidden w:val="1"/>
    <w:pPr>
      <w:shd w:color="auto" w:fill="000080" w:val="clear"/>
    </w:pPr>
    <w:rPr>
      <w:rFonts w:ascii="Tahoma" w:hAnsi="Tahoma"/>
    </w:rPr>
  </w:style>
  <w:style w:type="character" w:styleId="Refdenotaalpie">
    <w:name w:val="footnote reference"/>
    <w:semiHidden w:val="1"/>
    <w:rPr>
      <w:sz w:val="20"/>
      <w:vertAlign w:val="superscript"/>
    </w:rPr>
  </w:style>
  <w:style w:type="paragraph" w:styleId="Textonotapie">
    <w:name w:val="footnote text"/>
    <w:basedOn w:val="Normal"/>
    <w:semiHidden w:val="1"/>
    <w:pPr>
      <w:keepNext w:val="1"/>
      <w:keepLines w:val="1"/>
      <w:pBdr>
        <w:bottom w:color="000000" w:space="0" w:sz="6" w:val="single"/>
      </w:pBdr>
      <w:spacing w:after="40" w:before="40"/>
      <w:ind w:left="360" w:hanging="360"/>
    </w:pPr>
    <w:rPr>
      <w:rFonts w:ascii="Helvetica" w:hAnsi="Helvetica"/>
      <w:sz w:val="16"/>
    </w:rPr>
  </w:style>
  <w:style w:type="paragraph" w:styleId="MainTitle" w:customStyle="1">
    <w:name w:val="Main Title"/>
    <w:basedOn w:val="Normal"/>
    <w:pPr>
      <w:spacing w:after="60" w:before="480" w:line="240" w:lineRule="auto"/>
      <w:jc w:val="center"/>
    </w:pPr>
    <w:rPr>
      <w:b w:val="1"/>
      <w:kern w:val="28"/>
      <w:sz w:val="32"/>
    </w:rPr>
  </w:style>
  <w:style w:type="paragraph" w:styleId="Paragraph1" w:customStyle="1">
    <w:name w:val="Paragraph1"/>
    <w:basedOn w:val="Normal"/>
    <w:pPr>
      <w:spacing w:before="80" w:line="240" w:lineRule="auto"/>
      <w:jc w:val="both"/>
    </w:pPr>
  </w:style>
  <w:style w:type="paragraph" w:styleId="Paragraph3" w:customStyle="1">
    <w:name w:val="Paragraph3"/>
    <w:basedOn w:val="Normal"/>
    <w:pPr>
      <w:spacing w:before="80" w:line="240" w:lineRule="auto"/>
      <w:ind w:left="1530"/>
      <w:jc w:val="both"/>
    </w:pPr>
  </w:style>
  <w:style w:type="paragraph" w:styleId="Paragraph4" w:customStyle="1">
    <w:name w:val="Paragraph4"/>
    <w:basedOn w:val="Normal"/>
    <w:pPr>
      <w:spacing w:before="80" w:line="240" w:lineRule="auto"/>
      <w:ind w:left="2250"/>
      <w:jc w:val="both"/>
    </w:pPr>
  </w:style>
  <w:style w:type="paragraph" w:styleId="TDC4">
    <w:name w:val="toc 4"/>
    <w:basedOn w:val="Normal"/>
    <w:next w:val="Normal"/>
    <w:semiHidden w:val="1"/>
    <w:pPr>
      <w:ind w:left="600"/>
    </w:pPr>
    <w:rPr>
      <w:rFonts w:ascii="Times New Roman" w:hAnsi="Times New Roman"/>
      <w:sz w:val="18"/>
      <w:szCs w:val="18"/>
    </w:rPr>
  </w:style>
  <w:style w:type="paragraph" w:styleId="TDC5">
    <w:name w:val="toc 5"/>
    <w:basedOn w:val="Normal"/>
    <w:next w:val="Normal"/>
    <w:semiHidden w:val="1"/>
    <w:pPr>
      <w:ind w:left="800"/>
    </w:pPr>
    <w:rPr>
      <w:rFonts w:ascii="Times New Roman" w:hAnsi="Times New Roman"/>
      <w:sz w:val="18"/>
      <w:szCs w:val="18"/>
    </w:rPr>
  </w:style>
  <w:style w:type="paragraph" w:styleId="TDC6">
    <w:name w:val="toc 6"/>
    <w:basedOn w:val="Normal"/>
    <w:next w:val="Normal"/>
    <w:semiHidden w:val="1"/>
    <w:pPr>
      <w:ind w:left="1000"/>
    </w:pPr>
    <w:rPr>
      <w:rFonts w:ascii="Times New Roman" w:hAnsi="Times New Roman"/>
      <w:sz w:val="18"/>
      <w:szCs w:val="18"/>
    </w:rPr>
  </w:style>
  <w:style w:type="paragraph" w:styleId="TDC7">
    <w:name w:val="toc 7"/>
    <w:basedOn w:val="Normal"/>
    <w:next w:val="Normal"/>
    <w:semiHidden w:val="1"/>
    <w:pPr>
      <w:ind w:left="1200"/>
    </w:pPr>
    <w:rPr>
      <w:rFonts w:ascii="Times New Roman" w:hAnsi="Times New Roman"/>
      <w:sz w:val="18"/>
      <w:szCs w:val="18"/>
    </w:rPr>
  </w:style>
  <w:style w:type="paragraph" w:styleId="TDC8">
    <w:name w:val="toc 8"/>
    <w:basedOn w:val="Normal"/>
    <w:next w:val="Normal"/>
    <w:semiHidden w:val="1"/>
    <w:pPr>
      <w:ind w:left="1400"/>
    </w:pPr>
    <w:rPr>
      <w:rFonts w:ascii="Times New Roman" w:hAnsi="Times New Roman"/>
      <w:sz w:val="18"/>
      <w:szCs w:val="18"/>
    </w:rPr>
  </w:style>
  <w:style w:type="paragraph" w:styleId="TDC9">
    <w:name w:val="toc 9"/>
    <w:basedOn w:val="Normal"/>
    <w:next w:val="Normal"/>
    <w:semiHidden w:val="1"/>
    <w:pPr>
      <w:ind w:left="1600"/>
    </w:pPr>
    <w:rPr>
      <w:rFonts w:ascii="Times New Roman" w:hAnsi="Times New Roman"/>
      <w:sz w:val="18"/>
      <w:szCs w:val="18"/>
    </w:rPr>
  </w:style>
  <w:style w:type="paragraph" w:styleId="Textoindependiente2">
    <w:name w:val="Body Text 2"/>
    <w:basedOn w:val="Normal"/>
    <w:rPr>
      <w:i w:val="1"/>
      <w:color w:val="0000ff"/>
    </w:rPr>
  </w:style>
  <w:style w:type="paragraph" w:styleId="Sangradetextonormal">
    <w:name w:val="Body Text Indent"/>
    <w:basedOn w:val="Normal"/>
    <w:pPr>
      <w:ind w:left="720"/>
    </w:pPr>
    <w:rPr>
      <w:i w:val="1"/>
      <w:color w:val="0000ff"/>
      <w:u w:val="single"/>
    </w:rPr>
  </w:style>
  <w:style w:type="paragraph" w:styleId="Body" w:customStyle="1">
    <w:name w:val="Body"/>
    <w:basedOn w:val="Normal"/>
    <w:pPr>
      <w:widowControl w:val="1"/>
      <w:spacing w:before="120" w:line="240" w:lineRule="auto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 w:val="1"/>
      <w:numPr>
        <w:numId w:val="2"/>
      </w:numPr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Textoindependiente"/>
    <w:autoRedefine w:val="1"/>
    <w:rsid w:val="008756F4"/>
    <w:pPr>
      <w:spacing w:after="120"/>
      <w:jc w:val="both"/>
    </w:pPr>
    <w:rPr>
      <w:i w:val="1"/>
      <w:color w:val="0000ff"/>
      <w:lang w:val="es-ES"/>
    </w:rPr>
  </w:style>
  <w:style w:type="character" w:styleId="Hipervnculo">
    <w:name w:val="Hyperlink"/>
    <w:uiPriority w:val="99"/>
    <w:rPr>
      <w:color w:val="0000ff"/>
      <w:u w:val="single"/>
    </w:rPr>
  </w:style>
  <w:style w:type="paragraph" w:styleId="Subttulo1" w:customStyle="1">
    <w:name w:val="Subtítulo1"/>
    <w:basedOn w:val="Ttulo"/>
    <w:pPr>
      <w:widowControl w:val="1"/>
    </w:pPr>
    <w:rPr>
      <w:rFonts w:ascii="Times New Roman" w:hAnsi="Times New Roman"/>
      <w:sz w:val="24"/>
    </w:rPr>
  </w:style>
  <w:style w:type="paragraph" w:styleId="RevisionHist" w:customStyle="1">
    <w:name w:val="RevisionHist"/>
    <w:basedOn w:val="Normal"/>
    <w:pPr>
      <w:widowControl w:val="1"/>
      <w:spacing w:line="240" w:lineRule="auto"/>
    </w:pPr>
  </w:style>
  <w:style w:type="paragraph" w:styleId="Fecha">
    <w:name w:val="Date"/>
    <w:basedOn w:val="Normal"/>
    <w:pPr>
      <w:widowControl w:val="1"/>
      <w:spacing w:line="240" w:lineRule="auto"/>
    </w:pPr>
  </w:style>
  <w:style w:type="paragraph" w:styleId="Hierarchy" w:customStyle="1">
    <w:name w:val="Hierarchy"/>
    <w:basedOn w:val="Normal"/>
    <w:pPr>
      <w:widowControl w:val="1"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styleId="Textoindependiente1" w:customStyle="1">
    <w:name w:val="Texto independiente1"/>
    <w:pPr>
      <w:keepLines w:val="1"/>
      <w:spacing w:after="120" w:line="220" w:lineRule="atLeast"/>
    </w:pPr>
    <w:rPr>
      <w:lang w:eastAsia="en-US" w:val="en-GB"/>
    </w:rPr>
  </w:style>
  <w:style w:type="character" w:styleId="Refdecomentario">
    <w:name w:val="annotation reference"/>
    <w:semiHidden w:val="1"/>
    <w:rPr>
      <w:sz w:val="16"/>
    </w:rPr>
  </w:style>
  <w:style w:type="paragraph" w:styleId="Textocomentario">
    <w:name w:val="annotation text"/>
    <w:basedOn w:val="Normal"/>
    <w:semiHidden w:val="1"/>
    <w:pPr>
      <w:widowControl w:val="1"/>
      <w:spacing w:line="240" w:lineRule="auto"/>
    </w:pPr>
  </w:style>
  <w:style w:type="paragraph" w:styleId="Textosinformato">
    <w:name w:val="Plain Text"/>
    <w:basedOn w:val="Normal"/>
    <w:pPr>
      <w:widowControl w:val="1"/>
      <w:spacing w:line="240" w:lineRule="auto"/>
    </w:pPr>
    <w:rPr>
      <w:rFonts w:ascii="Courier New" w:hAnsi="Courier New"/>
    </w:rPr>
  </w:style>
  <w:style w:type="paragraph" w:styleId="Project" w:customStyle="1">
    <w:name w:val="Project"/>
    <w:basedOn w:val="Normal"/>
    <w:pPr>
      <w:widowControl w:val="1"/>
      <w:spacing w:line="240" w:lineRule="auto"/>
      <w:jc w:val="right"/>
    </w:pPr>
    <w:rPr>
      <w:b w:val="1"/>
      <w:sz w:val="36"/>
    </w:rPr>
  </w:style>
  <w:style w:type="paragraph" w:styleId="CompanyName" w:customStyle="1">
    <w:name w:val="CompanyName"/>
    <w:basedOn w:val="Normal"/>
    <w:pPr>
      <w:widowControl w:val="1"/>
      <w:spacing w:line="240" w:lineRule="auto"/>
      <w:jc w:val="right"/>
    </w:pPr>
    <w:rPr>
      <w:b w:val="1"/>
      <w:sz w:val="36"/>
    </w:rPr>
  </w:style>
  <w:style w:type="character" w:styleId="Hipervnculovisitado">
    <w:name w:val="FollowedHyperlink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</w:pPr>
    <w:rPr>
      <w:i w:val="1"/>
      <w:color w:val="0000ff"/>
    </w:rPr>
  </w:style>
  <w:style w:type="paragraph" w:styleId="Sangra3detindependiente">
    <w:name w:val="Body Text Indent 3"/>
    <w:basedOn w:val="Normal"/>
    <w:pPr>
      <w:ind w:left="576"/>
    </w:pPr>
    <w:rPr>
      <w:i w:val="1"/>
      <w:iCs w:val="1"/>
      <w:color w:val="0000ff"/>
      <w:lang w:val="es-ES"/>
    </w:rPr>
  </w:style>
  <w:style w:type="paragraph" w:styleId="DefinitionTerm" w:customStyle="1">
    <w:name w:val="Definition Term"/>
    <w:basedOn w:val="Normal"/>
    <w:next w:val="Normal"/>
    <w:pPr>
      <w:widowControl w:val="1"/>
      <w:spacing w:line="240" w:lineRule="auto"/>
    </w:pPr>
    <w:rPr>
      <w:snapToGrid w:val="0"/>
      <w:sz w:val="24"/>
      <w:lang w:eastAsia="es-ES" w:val="es-CL"/>
    </w:rPr>
  </w:style>
  <w:style w:type="paragraph" w:styleId="infoblue0" w:customStyle="1">
    <w:name w:val="infoblue"/>
    <w:basedOn w:val="Normal"/>
    <w:pPr>
      <w:widowControl w:val="1"/>
      <w:spacing w:after="120"/>
      <w:ind w:left="450"/>
    </w:pPr>
    <w:rPr>
      <w:rFonts w:eastAsia="Arial Unicode MS"/>
      <w:i w:val="1"/>
      <w:iCs w:val="1"/>
      <w:color w:val="0000ff"/>
    </w:rPr>
  </w:style>
  <w:style w:type="paragraph" w:styleId="NormalWeb">
    <w:name w:val="Normal (Web)"/>
    <w:basedOn w:val="Normal"/>
    <w:pPr>
      <w:widowControl w:val="1"/>
      <w:spacing w:after="100" w:afterAutospacing="1" w:before="100" w:beforeAutospacing="1" w:line="240" w:lineRule="auto"/>
    </w:pPr>
    <w:rPr>
      <w:rFonts w:ascii="Arial Unicode MS" w:cs="Arial Unicode MS" w:eastAsia="Arial Unicode MS" w:hAnsi="Arial Unicode MS"/>
      <w:sz w:val="24"/>
      <w:szCs w:val="24"/>
    </w:rPr>
  </w:style>
  <w:style w:type="paragraph" w:styleId="HTMLconformatoprevio">
    <w:name w:val="HTML Preformatted"/>
    <w:basedOn w:val="Normal"/>
    <w:pPr>
      <w:widowControl w:val="1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Arial Unicode MS" w:cs="Arial Unicode MS" w:eastAsia="Arial Unicode MS" w:hAnsi="Arial Unicode MS"/>
    </w:rPr>
  </w:style>
  <w:style w:type="paragraph" w:styleId="paragraph20" w:customStyle="1">
    <w:name w:val="paragraph2"/>
    <w:basedOn w:val="Normal"/>
    <w:pPr>
      <w:widowControl w:val="1"/>
      <w:spacing w:before="80"/>
      <w:ind w:left="720"/>
      <w:jc w:val="both"/>
    </w:pPr>
    <w:rPr>
      <w:rFonts w:eastAsia="Arial Unicode MS"/>
      <w:color w:val="000000"/>
    </w:rPr>
  </w:style>
  <w:style w:type="paragraph" w:styleId="bullet10" w:customStyle="1">
    <w:name w:val="bullet1"/>
    <w:basedOn w:val="Normal"/>
    <w:pPr>
      <w:widowControl w:val="1"/>
      <w:ind w:left="720" w:hanging="432"/>
    </w:pPr>
    <w:rPr>
      <w:rFonts w:eastAsia="Arial Unicode MS"/>
    </w:rPr>
  </w:style>
  <w:style w:type="paragraph" w:styleId="bullet20" w:customStyle="1">
    <w:name w:val="bullet2"/>
    <w:basedOn w:val="Normal"/>
    <w:pPr>
      <w:widowControl w:val="1"/>
      <w:ind w:left="1440" w:hanging="360"/>
    </w:pPr>
    <w:rPr>
      <w:rFonts w:eastAsia="Arial Unicode MS"/>
      <w:color w:val="000080"/>
    </w:rPr>
  </w:style>
  <w:style w:type="paragraph" w:styleId="tabletext0" w:customStyle="1">
    <w:name w:val="tabletext"/>
    <w:basedOn w:val="Normal"/>
    <w:pPr>
      <w:widowControl w:val="1"/>
      <w:spacing w:after="120"/>
    </w:pPr>
    <w:rPr>
      <w:rFonts w:eastAsia="Arial Unicode MS"/>
    </w:rPr>
  </w:style>
  <w:style w:type="paragraph" w:styleId="maintitle0" w:customStyle="1">
    <w:name w:val="maintitle"/>
    <w:basedOn w:val="Normal"/>
    <w:pPr>
      <w:widowControl w:val="1"/>
      <w:spacing w:after="60" w:before="480" w:line="240" w:lineRule="auto"/>
      <w:jc w:val="center"/>
    </w:pPr>
    <w:rPr>
      <w:rFonts w:cs="Arial" w:eastAsia="Arial Unicode MS"/>
      <w:b w:val="1"/>
      <w:bCs w:val="1"/>
      <w:sz w:val="32"/>
      <w:szCs w:val="32"/>
    </w:rPr>
  </w:style>
  <w:style w:type="paragraph" w:styleId="paragraph10" w:customStyle="1">
    <w:name w:val="paragraph1"/>
    <w:basedOn w:val="Normal"/>
    <w:pPr>
      <w:widowControl w:val="1"/>
      <w:spacing w:before="80" w:line="240" w:lineRule="auto"/>
      <w:jc w:val="both"/>
    </w:pPr>
    <w:rPr>
      <w:rFonts w:eastAsia="Arial Unicode MS"/>
    </w:rPr>
  </w:style>
  <w:style w:type="paragraph" w:styleId="paragraph30" w:customStyle="1">
    <w:name w:val="paragraph3"/>
    <w:basedOn w:val="Normal"/>
    <w:pPr>
      <w:widowControl w:val="1"/>
      <w:spacing w:before="80" w:line="240" w:lineRule="auto"/>
      <w:ind w:left="1530"/>
      <w:jc w:val="both"/>
    </w:pPr>
    <w:rPr>
      <w:rFonts w:eastAsia="Arial Unicode MS"/>
    </w:rPr>
  </w:style>
  <w:style w:type="paragraph" w:styleId="paragraph40" w:customStyle="1">
    <w:name w:val="paragraph4"/>
    <w:basedOn w:val="Normal"/>
    <w:pPr>
      <w:widowControl w:val="1"/>
      <w:spacing w:before="80" w:line="240" w:lineRule="auto"/>
      <w:ind w:left="2250"/>
      <w:jc w:val="both"/>
    </w:pPr>
    <w:rPr>
      <w:rFonts w:eastAsia="Arial Unicode MS"/>
    </w:rPr>
  </w:style>
  <w:style w:type="paragraph" w:styleId="body0" w:customStyle="1">
    <w:name w:val="body"/>
    <w:basedOn w:val="Normal"/>
    <w:pPr>
      <w:widowControl w:val="1"/>
      <w:spacing w:before="120" w:line="240" w:lineRule="auto"/>
      <w:jc w:val="both"/>
    </w:pPr>
    <w:rPr>
      <w:rFonts w:ascii="Book Antiqua" w:cs="Arial Unicode MS" w:eastAsia="Arial Unicode MS" w:hAnsi="Book Antiqua"/>
    </w:rPr>
  </w:style>
  <w:style w:type="paragraph" w:styleId="bullet0" w:customStyle="1">
    <w:name w:val="bullet"/>
    <w:basedOn w:val="Normal"/>
    <w:pPr>
      <w:widowControl w:val="1"/>
      <w:spacing w:before="120" w:line="240" w:lineRule="auto"/>
      <w:ind w:left="720" w:right="360"/>
      <w:jc w:val="both"/>
    </w:pPr>
    <w:rPr>
      <w:rFonts w:ascii="Book Antiqua" w:cs="Arial Unicode MS" w:eastAsia="Arial Unicode MS" w:hAnsi="Book Antiqua"/>
    </w:rPr>
  </w:style>
  <w:style w:type="paragraph" w:styleId="Textodeglobo">
    <w:name w:val="Balloon Text"/>
    <w:basedOn w:val="Normal"/>
    <w:link w:val="TextodegloboCar"/>
    <w:rsid w:val="009018A7"/>
    <w:pPr>
      <w:spacing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link w:val="Textodeglobo"/>
    <w:rsid w:val="009018A7"/>
    <w:rPr>
      <w:rFonts w:ascii="Tahoma" w:cs="Tahoma" w:hAnsi="Tahoma"/>
      <w:sz w:val="16"/>
      <w:szCs w:val="16"/>
      <w:lang w:eastAsia="en-US" w:val="en-US"/>
    </w:rPr>
  </w:style>
  <w:style w:type="paragraph" w:styleId="Asuntodelcomentario">
    <w:name w:val="annotation subject"/>
    <w:basedOn w:val="Textocomentario"/>
    <w:next w:val="Textocomentario"/>
    <w:semiHidden w:val="1"/>
    <w:rsid w:val="00A65537"/>
    <w:pPr>
      <w:widowControl w:val="0"/>
      <w:spacing w:line="240" w:lineRule="atLeast"/>
    </w:pPr>
    <w:rPr>
      <w:b w:val="1"/>
      <w:bCs w:val="1"/>
    </w:rPr>
  </w:style>
  <w:style w:type="paragraph" w:styleId="EstiloTtulo2VerdanaJustificado" w:customStyle="1">
    <w:name w:val="Estilo Título 2 + Verdana Justificado"/>
    <w:basedOn w:val="Ttulo2"/>
    <w:rsid w:val="00A93783"/>
    <w:pPr>
      <w:jc w:val="both"/>
    </w:pPr>
    <w:rPr>
      <w:bCs w:val="1"/>
      <w:color w:val="000080"/>
      <w:sz w:val="24"/>
    </w:rPr>
  </w:style>
  <w:style w:type="paragraph" w:styleId="EstiloTtulo1VerdanaJustificado" w:customStyle="1">
    <w:name w:val="Estilo Título 1 + Verdana Justificado"/>
    <w:basedOn w:val="Ttulo1"/>
    <w:rsid w:val="009875B5"/>
    <w:pPr>
      <w:spacing w:after="240"/>
      <w:jc w:val="both"/>
    </w:pPr>
    <w:rPr>
      <w:bCs w:val="1"/>
      <w:color w:val="000080"/>
      <w:sz w:val="28"/>
    </w:rPr>
  </w:style>
  <w:style w:type="paragraph" w:styleId="Estilo1" w:customStyle="1">
    <w:name w:val="Estilo1"/>
    <w:basedOn w:val="Ttulo"/>
    <w:rsid w:val="00184A7C"/>
    <w:pPr>
      <w:jc w:val="left"/>
    </w:pPr>
    <w:rPr>
      <w:color w:val="000080"/>
      <w:sz w:val="28"/>
      <w:szCs w:val="28"/>
      <w:lang w:val="es-ES"/>
    </w:rPr>
  </w:style>
  <w:style w:type="paragraph" w:styleId="EstiloTtuloVerdana14pt" w:customStyle="1">
    <w:name w:val="Estilo Título + Verdana 14 pt"/>
    <w:basedOn w:val="Ttulo"/>
    <w:rsid w:val="00184A7C"/>
    <w:pPr>
      <w:jc w:val="left"/>
    </w:pPr>
    <w:rPr>
      <w:bCs w:val="1"/>
      <w:color w:val="000080"/>
      <w:sz w:val="28"/>
    </w:rPr>
  </w:style>
  <w:style w:type="paragraph" w:styleId="EstiloTtulo3VerdanaJustificado" w:customStyle="1">
    <w:name w:val="Estilo Título 3 + Verdana Justificado"/>
    <w:basedOn w:val="Ttulo3"/>
    <w:rsid w:val="002C7B0A"/>
    <w:pPr>
      <w:jc w:val="both"/>
    </w:pPr>
    <w:rPr>
      <w:b w:val="1"/>
      <w:iCs w:val="1"/>
      <w:color w:val="000080"/>
    </w:rPr>
  </w:style>
  <w:style w:type="table" w:styleId="Tablaconcuadrcula">
    <w:name w:val="Table Grid"/>
    <w:basedOn w:val="Tablanormal"/>
    <w:uiPriority w:val="39"/>
    <w:rsid w:val="00050F60"/>
    <w:pPr>
      <w:widowControl w:val="0"/>
      <w:spacing w:line="240" w:lineRule="atLeast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pgrafe" w:customStyle="1">
    <w:name w:val="Epígrafe"/>
    <w:basedOn w:val="Normal"/>
    <w:next w:val="Normal"/>
    <w:qFormat w:val="1"/>
    <w:rsid w:val="00CB3C5A"/>
    <w:rPr>
      <w:b w:val="1"/>
      <w:bCs w:val="1"/>
    </w:rPr>
  </w:style>
  <w:style w:type="character" w:styleId="EncabezadoCar" w:customStyle="1">
    <w:name w:val="Encabezado Car"/>
    <w:link w:val="Encabezado"/>
    <w:uiPriority w:val="99"/>
    <w:rsid w:val="00AE09C8"/>
    <w:rPr>
      <w:rFonts w:ascii="Arial" w:hAnsi="Arial"/>
      <w:lang w:eastAsia="en-US" w:val="en-US"/>
    </w:rPr>
  </w:style>
  <w:style w:type="paragraph" w:styleId="Prrafodelista">
    <w:name w:val="List Paragraph"/>
    <w:basedOn w:val="Normal"/>
    <w:uiPriority w:val="34"/>
    <w:qFormat w:val="1"/>
    <w:rsid w:val="00DC258C"/>
    <w:pPr>
      <w:ind w:left="720"/>
      <w:contextualSpacing w:val="1"/>
    </w:p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7.0" w:type="dxa"/>
        <w:left w:w="115.0" w:type="dxa"/>
        <w:bottom w:w="57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header" Target="header1.xml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footer" Target="footer1.xml"/><Relationship Id="rId14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ghT6CO+FzLfBd1ovnso4YtJX/g==">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2018-09-29T18:03:00Z</dcterms:created>
  <dc:creator>israel alberto naranjo retamal</dc:creator>
</cp:coreProperties>
</file>