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F4E78"/>
          <w:sz w:val="72"/>
          <w:szCs w:val="72"/>
        </w:rPr>
        <w:t xml:space="preserve">TINKER</w:t>
      </w:r>
    </w:p>
    <w:p>
      <w:pPr>
        <w:spacing w:after="60"/>
        <w:jc w:val="center"/>
      </w:pPr>
      <w:r>
        <w:rPr>
          <w:rFonts w:ascii="Arial" w:cs="Arial" w:eastAsia="Arial" w:hAnsi="Arial"/>
          <w:b/>
          <w:bCs/>
          <w:color w:val="008AD1"/>
          <w:sz w:val="28"/>
          <w:szCs w:val="28"/>
        </w:rPr>
        <w:t xml:space="preserve">AI-Powered Adaptive Learning Companion</w:t>
      </w:r>
    </w:p>
    <w:p>
      <w:pPr>
        <w:spacing w:after="400"/>
        <w:jc w:val="center"/>
      </w:pPr>
      <w:r>
        <w:rPr>
          <w:rFonts w:ascii="Arial" w:cs="Arial" w:eastAsia="Arial" w:hAnsi="Arial"/>
          <w:color w:val="595959"/>
          <w:sz w:val="20"/>
          <w:szCs w:val="20"/>
        </w:rPr>
        <w:t xml:space="preserve">Business Requirements Document (BRD)  •  Version 2.0 (Focused)  •  27 July 2026</w:t>
      </w:r>
    </w:p>
    <w:p>
      <w:pPr>
        <w:spacing w:after="300"/>
        <w:jc w:val="center"/>
      </w:pPr>
      <w:r>
        <w:rPr>
          <w:rFonts w:ascii="Arial" w:cs="Arial" w:eastAsia="Arial" w:hAnsi="Arial"/>
          <w:i/>
          <w:iCs/>
          <w:color w:val="808080"/>
          <w:sz w:val="20"/>
          <w:szCs w:val="20"/>
        </w:rPr>
        <w:t xml:space="preserve">Spiritus Agentic Solutions</w:t>
      </w:r>
    </w:p>
    <w:p>
      <w:pPr>
        <w:pStyle w:val="Heading1"/>
        <w:spacing w:after="140" w:before="320"/>
      </w:pPr>
      <w:r>
        <w:rPr>
          <w:rFonts w:ascii="Arial" w:cs="Arial" w:eastAsia="Arial" w:hAnsi="Arial"/>
          <w:b/>
          <w:bCs/>
          <w:color w:val="1F4E78"/>
          <w:sz w:val="26"/>
          <w:szCs w:val="26"/>
        </w:rPr>
        <w:t xml:space="preserve">1. Problem Statement</w:t>
      </w:r>
    </w:p>
    <w:tbl>
      <w:tblPr>
        <w:tblW w:type="dxa" w:w="9026"/>
        <w:tblBorders>
          <w:top w:val="single" w:color="008AD1" w:sz="8"/>
          <w:left w:val="single" w:color="008AD1" w:sz="24"/>
          <w:bottom w:val="single" w:color="008AD1" w:sz="8"/>
          <w:right w:val="single" w:color="008AD1" w:sz="8"/>
          <w:insideH w:val="single" w:color="auto" w:sz="4"/>
          <w:insideV w:val="single" w:color="auto" w:sz="4"/>
        </w:tblBorders>
      </w:tblPr>
      <w:tblGrid>
        <w:gridCol w:w="9026"/>
      </w:tblGrid>
      <w:tr>
        <w:tc>
          <w:tcPr>
            <w:tcW w:type="dxa" w:w="9026"/>
            <w:shd w:fill="F2F7FB" w:val="clear"/>
            <w:tcMar>
              <w:top w:type="dxa" w:w="160"/>
              <w:left w:type="dxa" w:w="220"/>
              <w:bottom w:type="dxa" w:w="160"/>
              <w:right w:type="dxa" w:w="220"/>
            </w:tcMar>
          </w:tcPr>
          <w:p>
            <w:pPr>
              <w:jc w:val="both"/>
            </w:pPr>
            <w:r>
              <w:rPr>
                <w:rFonts w:ascii="Arial" w:cs="Arial" w:eastAsia="Arial" w:hAnsi="Arial"/>
                <w:b/>
                <w:bCs/>
                <w:color w:val="1F4E78"/>
                <w:sz w:val="22"/>
                <w:szCs w:val="22"/>
              </w:rPr>
              <w:t xml:space="preserve">Millions of learners are taught in a language they do not think in, by systems that reward answer-getting over understanding — so they memorize, pass, and forget, or hand their work to AI tools that answer for them and teach them nothing.</w:t>
            </w:r>
          </w:p>
        </w:tc>
      </w:tr>
    </w:tbl>
    <w:p>
      <w:pPr>
        <w:spacing w:after="120"/>
      </w:pPr>
    </w:p>
    <w:p>
      <w:pPr>
        <w:spacing w:after="120"/>
        <w:jc w:val="both"/>
      </w:pPr>
      <w:r>
        <w:rPr>
          <w:rFonts w:ascii="Arial" w:cs="Arial" w:eastAsia="Arial" w:hAnsi="Arial"/>
          <w:color w:val="000000"/>
          <w:sz w:val="20"/>
          <w:szCs w:val="20"/>
        </w:rPr>
        <w:t xml:space="preserve">This single problem sits at the intersection of three global failures: 272 million children and youth are out of school entirely; “learning poverty” leaves the majority of 10-year-olds in low-income countries unable to read a simple text; and the arrival of generative AI has made it easier than ever to complete schoolwork without understanding it. Existing platforms translate content or hand out answers. None teach concepts in the learner’s native language first and then refuse to shortcut the thinking.</w:t>
      </w:r>
    </w:p>
    <w:p>
      <w:pPr>
        <w:pStyle w:val="Heading1"/>
        <w:spacing w:after="140" w:before="320"/>
      </w:pPr>
      <w:r>
        <w:rPr>
          <w:rFonts w:ascii="Arial" w:cs="Arial" w:eastAsia="Arial" w:hAnsi="Arial"/>
          <w:b/>
          <w:bCs/>
          <w:color w:val="1F4E78"/>
          <w:sz w:val="26"/>
          <w:szCs w:val="26"/>
        </w:rPr>
        <w:t xml:space="preserve">2. Our Solution</w:t>
      </w:r>
    </w:p>
    <w:p>
      <w:pPr>
        <w:spacing w:after="120"/>
        <w:jc w:val="both"/>
      </w:pPr>
      <w:r>
        <w:rPr>
          <w:rFonts w:ascii="Arial" w:cs="Arial" w:eastAsia="Arial" w:hAnsi="Arial"/>
          <w:color w:val="000000"/>
          <w:sz w:val="20"/>
          <w:szCs w:val="20"/>
        </w:rPr>
        <w:t xml:space="preserve">Tinker is a website (mobile-first web application) that acts as a personal AI learning companion. It teaches each concept in the learner’s native language using culturally relevant examples, bridges the learner to academic English terminology, and pairs every lesson with a Socratic AI tutor that is engineered to never give direct answers — it asks calibrated questions, detects misconceptions, and guides learners to construct understanding themselves. Progress is reinforced through spaced reviews and made motivating through gamification and community-level progress stats.</w:t>
      </w:r>
    </w:p>
    <w:p>
      <w:pPr>
        <w:pStyle w:val="Heading1"/>
        <w:spacing w:after="140" w:before="320"/>
      </w:pPr>
      <w:r>
        <w:rPr>
          <w:rFonts w:ascii="Arial" w:cs="Arial" w:eastAsia="Arial" w:hAnsi="Arial"/>
          <w:b/>
          <w:bCs/>
          <w:color w:val="1F4E78"/>
          <w:sz w:val="26"/>
          <w:szCs w:val="26"/>
        </w:rPr>
        <w:t xml:space="preserve">3. Features</w:t>
      </w:r>
    </w:p>
    <w:p>
      <w:pPr>
        <w:spacing w:after="120"/>
        <w:jc w:val="both"/>
      </w:pPr>
      <w:r>
        <w:rPr>
          <w:rFonts w:ascii="Arial" w:cs="Arial" w:eastAsia="Arial" w:hAnsi="Arial"/>
          <w:i/>
          <w:iCs/>
          <w:color w:val="595959"/>
          <w:sz w:val="20"/>
          <w:szCs w:val="20"/>
        </w:rPr>
        <w:t xml:space="preserve">Everything below is a feature in service of the one problem above. ★ marks the two flagship differentiators.</w:t>
      </w:r>
    </w:p>
    <w:p>
      <w:pPr>
        <w:pStyle w:val="Heading2"/>
        <w:spacing w:after="100" w:before="220"/>
      </w:pPr>
      <w:r>
        <w:rPr>
          <w:rFonts w:ascii="Arial" w:cs="Arial" w:eastAsia="Arial" w:hAnsi="Arial"/>
          <w:b/>
          <w:bCs/>
          <w:color w:val="008AD1"/>
          <w:sz w:val="22"/>
          <w:szCs w:val="22"/>
        </w:rPr>
        <w:t xml:space="preserve">3.1 Core Learning Features</w:t>
      </w:r>
    </w:p>
    <w:p>
      <w:pPr>
        <w:pStyle w:val="ListParagraph"/>
        <w:numPr>
          <w:ilvl w:val="0"/>
          <w:numId w:val="2"/>
        </w:numPr>
        <w:spacing w:after="90"/>
      </w:pPr>
      <w:r>
        <w:rPr>
          <w:rFonts w:ascii="Arial" w:cs="Arial" w:eastAsia="Arial" w:hAnsi="Arial"/>
          <w:b/>
          <w:bCs/>
          <w:color w:val="008AD1"/>
          <w:sz w:val="20"/>
          <w:szCs w:val="20"/>
        </w:rPr>
        <w:t xml:space="preserve">★ </w:t>
      </w:r>
      <w:r>
        <w:rPr>
          <w:rFonts w:ascii="Arial" w:cs="Arial" w:eastAsia="Arial" w:hAnsi="Arial"/>
          <w:b/>
          <w:bCs/>
          <w:color w:val="1F4E78"/>
          <w:sz w:val="20"/>
          <w:szCs w:val="20"/>
        </w:rPr>
        <w:t xml:space="preserve">Concept-Preserving Multilingual Scaffolding: </w:t>
      </w:r>
      <w:r>
        <w:rPr>
          <w:rFonts w:ascii="Arial" w:cs="Arial" w:eastAsia="Arial" w:hAnsi="Arial"/>
          <w:sz w:val="20"/>
          <w:szCs w:val="20"/>
        </w:rPr>
        <w:t xml:space="preserve">Concepts are taught in the learner’s native language (e.g., Yoruba, Shona, Hindi, Swahili) with local, culturally anchored examples first; academic English terms are introduced as a conceptual bridge, not a translation.</w:t>
      </w:r>
    </w:p>
    <w:p>
      <w:pPr>
        <w:pStyle w:val="ListParagraph"/>
        <w:numPr>
          <w:ilvl w:val="0"/>
          <w:numId w:val="2"/>
        </w:numPr>
        <w:spacing w:after="90"/>
      </w:pPr>
      <w:r>
        <w:rPr>
          <w:rFonts w:ascii="Arial" w:cs="Arial" w:eastAsia="Arial" w:hAnsi="Arial"/>
          <w:b/>
          <w:bCs/>
          <w:color w:val="008AD1"/>
          <w:sz w:val="20"/>
          <w:szCs w:val="20"/>
        </w:rPr>
        <w:t xml:space="preserve">★ </w:t>
      </w:r>
      <w:r>
        <w:rPr>
          <w:rFonts w:ascii="Arial" w:cs="Arial" w:eastAsia="Arial" w:hAnsi="Arial"/>
          <w:b/>
          <w:bCs/>
          <w:color w:val="1F4E78"/>
          <w:sz w:val="20"/>
          <w:szCs w:val="20"/>
        </w:rPr>
        <w:t xml:space="preserve">Socratic AI Tutor: </w:t>
      </w:r>
      <w:r>
        <w:rPr>
          <w:rFonts w:ascii="Arial" w:cs="Arial" w:eastAsia="Arial" w:hAnsi="Arial"/>
          <w:sz w:val="20"/>
          <w:szCs w:val="20"/>
        </w:rPr>
        <w:t xml:space="preserve">A chat companion that refuses to give direct answers. It responds with guiding questions, offers a progressive “hint ladder” when the learner is stuck, and redirects pasted homework questions into guided understanding.</w:t>
      </w:r>
    </w:p>
    <w:p>
      <w:pPr>
        <w:pStyle w:val="ListParagraph"/>
        <w:numPr>
          <w:ilvl w:val="0"/>
          <w:numId w:val="2"/>
        </w:numPr>
        <w:spacing w:after="90"/>
      </w:pPr>
      <w:r>
        <w:rPr>
          <w:rFonts w:ascii="Arial" w:cs="Arial" w:eastAsia="Arial" w:hAnsi="Arial"/>
          <w:b/>
          <w:bCs/>
          <w:color w:val="1F4E78"/>
          <w:sz w:val="20"/>
          <w:szCs w:val="20"/>
        </w:rPr>
        <w:t xml:space="preserve">Misconception Detection: </w:t>
      </w:r>
      <w:r>
        <w:rPr>
          <w:rFonts w:ascii="Arial" w:cs="Arial" w:eastAsia="Arial" w:hAnsi="Arial"/>
          <w:sz w:val="20"/>
          <w:szCs w:val="20"/>
        </w:rPr>
        <w:t xml:space="preserve">Wrong quiz answers are matched against a library of common misconception patterns; the tutor names the likely misunderstanding and responds with a clarifying analogy in the learner’s native language.</w:t>
      </w:r>
    </w:p>
    <w:p>
      <w:pPr>
        <w:pStyle w:val="ListParagraph"/>
        <w:numPr>
          <w:ilvl w:val="0"/>
          <w:numId w:val="2"/>
        </w:numPr>
        <w:spacing w:after="90"/>
      </w:pPr>
      <w:r>
        <w:rPr>
          <w:rFonts w:ascii="Arial" w:cs="Arial" w:eastAsia="Arial" w:hAnsi="Arial"/>
          <w:b/>
          <w:bCs/>
          <w:color w:val="1F4E78"/>
          <w:sz w:val="20"/>
          <w:szCs w:val="20"/>
        </w:rPr>
        <w:t xml:space="preserve">Personalized Learning Pathway: </w:t>
      </w:r>
      <w:r>
        <w:rPr>
          <w:rFonts w:ascii="Arial" w:cs="Arial" w:eastAsia="Arial" w:hAnsi="Arial"/>
          <w:sz w:val="20"/>
          <w:szCs w:val="20"/>
        </w:rPr>
        <w:t xml:space="preserve">A short psychometric onboarding (age, language, goals, baseline) generates a tailored lesson sequence with adaptive difficulty.</w:t>
      </w:r>
    </w:p>
    <w:p>
      <w:pPr>
        <w:pStyle w:val="ListParagraph"/>
        <w:numPr>
          <w:ilvl w:val="0"/>
          <w:numId w:val="2"/>
        </w:numPr>
        <w:spacing w:after="90"/>
      </w:pPr>
      <w:r>
        <w:rPr>
          <w:rFonts w:ascii="Arial" w:cs="Arial" w:eastAsia="Arial" w:hAnsi="Arial"/>
          <w:b/>
          <w:bCs/>
          <w:color w:val="1F4E78"/>
          <w:sz w:val="20"/>
          <w:szCs w:val="20"/>
        </w:rPr>
        <w:t xml:space="preserve">Reinforcement Reviews: </w:t>
      </w:r>
      <w:r>
        <w:rPr>
          <w:rFonts w:ascii="Arial" w:cs="Arial" w:eastAsia="Arial" w:hAnsi="Arial"/>
          <w:sz w:val="20"/>
          <w:szCs w:val="20"/>
        </w:rPr>
        <w:t xml:space="preserve">Concepts answered incorrectly are automatically scheduled for short spaced-repetition micro-reviews, building mastery over time instead of one-shot completion.</w:t>
      </w:r>
    </w:p>
    <w:p>
      <w:pPr>
        <w:pStyle w:val="Heading2"/>
        <w:spacing w:after="100" w:before="220"/>
      </w:pPr>
      <w:r>
        <w:rPr>
          <w:rFonts w:ascii="Arial" w:cs="Arial" w:eastAsia="Arial" w:hAnsi="Arial"/>
          <w:b/>
          <w:bCs/>
          <w:color w:val="008AD1"/>
          <w:sz w:val="22"/>
          <w:szCs w:val="22"/>
        </w:rPr>
        <w:t xml:space="preserve">3.2 Engagement Features</w:t>
      </w:r>
    </w:p>
    <w:p>
      <w:pPr>
        <w:pStyle w:val="ListParagraph"/>
        <w:numPr>
          <w:ilvl w:val="0"/>
          <w:numId w:val="2"/>
        </w:numPr>
        <w:spacing w:after="90"/>
      </w:pPr>
      <w:r>
        <w:rPr>
          <w:rFonts w:ascii="Arial" w:cs="Arial" w:eastAsia="Arial" w:hAnsi="Arial"/>
          <w:b/>
          <w:bCs/>
          <w:color w:val="1F4E78"/>
          <w:sz w:val="20"/>
          <w:szCs w:val="20"/>
        </w:rPr>
        <w:t xml:space="preserve">Gamification: </w:t>
      </w:r>
      <w:r>
        <w:rPr>
          <w:rFonts w:ascii="Arial" w:cs="Arial" w:eastAsia="Arial" w:hAnsi="Arial"/>
          <w:sz w:val="20"/>
          <w:szCs w:val="20"/>
        </w:rPr>
        <w:t xml:space="preserve">XP, levels, badges, and a daily streak designed around loss aversion and variable rewards.</w:t>
      </w:r>
    </w:p>
    <w:p>
      <w:pPr>
        <w:pStyle w:val="ListParagraph"/>
        <w:numPr>
          <w:ilvl w:val="0"/>
          <w:numId w:val="2"/>
        </w:numPr>
        <w:spacing w:after="90"/>
      </w:pPr>
      <w:r>
        <w:rPr>
          <w:rFonts w:ascii="Arial" w:cs="Arial" w:eastAsia="Arial" w:hAnsi="Arial"/>
          <w:b/>
          <w:bCs/>
          <w:color w:val="1F4E78"/>
          <w:sz w:val="20"/>
          <w:szCs w:val="20"/>
        </w:rPr>
        <w:t xml:space="preserve">Progress Dashboard: </w:t>
      </w:r>
      <w:r>
        <w:rPr>
          <w:rFonts w:ascii="Arial" w:cs="Arial" w:eastAsia="Arial" w:hAnsi="Arial"/>
          <w:sz w:val="20"/>
          <w:szCs w:val="20"/>
        </w:rPr>
        <w:t xml:space="preserve">Visual mastery scores, streaks, completed lessons, and weak-topic highlights.</w:t>
      </w:r>
    </w:p>
    <w:p>
      <w:pPr>
        <w:pStyle w:val="ListParagraph"/>
        <w:numPr>
          <w:ilvl w:val="0"/>
          <w:numId w:val="2"/>
        </w:numPr>
        <w:spacing w:after="90"/>
      </w:pPr>
      <w:r>
        <w:rPr>
          <w:rFonts w:ascii="Arial" w:cs="Arial" w:eastAsia="Arial" w:hAnsi="Arial"/>
          <w:b/>
          <w:bCs/>
          <w:color w:val="1F4E78"/>
          <w:sz w:val="20"/>
          <w:szCs w:val="20"/>
        </w:rPr>
        <w:t xml:space="preserve">Territorial Progress: </w:t>
      </w:r>
      <w:r>
        <w:rPr>
          <w:rFonts w:ascii="Arial" w:cs="Arial" w:eastAsia="Arial" w:hAnsi="Arial"/>
          <w:sz w:val="20"/>
          <w:szCs w:val="20"/>
        </w:rPr>
        <w:t xml:space="preserve">Individual achievement is framed as community advancement — “You helped Lagos reach 14% algebra mastery” — turning study into shared purpose.</w:t>
      </w:r>
    </w:p>
    <w:p>
      <w:pPr>
        <w:pStyle w:val="ListParagraph"/>
        <w:numPr>
          <w:ilvl w:val="0"/>
          <w:numId w:val="2"/>
        </w:numPr>
        <w:spacing w:after="90"/>
      </w:pPr>
      <w:r>
        <w:rPr>
          <w:rFonts w:ascii="Arial" w:cs="Arial" w:eastAsia="Arial" w:hAnsi="Arial"/>
          <w:b/>
          <w:bCs/>
          <w:color w:val="1F4E78"/>
          <w:sz w:val="20"/>
          <w:szCs w:val="20"/>
        </w:rPr>
        <w:t xml:space="preserve">Social Sharing: </w:t>
      </w:r>
      <w:r>
        <w:rPr>
          <w:rFonts w:ascii="Arial" w:cs="Arial" w:eastAsia="Arial" w:hAnsi="Arial"/>
          <w:sz w:val="20"/>
          <w:szCs w:val="20"/>
        </w:rPr>
        <w:t xml:space="preserve">Shareable achievement cards for LinkedIn, X, and Instagram featuring badges and territorial contribution stats.</w:t>
      </w:r>
    </w:p>
    <w:p>
      <w:pPr>
        <w:pStyle w:val="Heading2"/>
        <w:spacing w:after="100" w:before="220"/>
      </w:pPr>
      <w:r>
        <w:rPr>
          <w:rFonts w:ascii="Arial" w:cs="Arial" w:eastAsia="Arial" w:hAnsi="Arial"/>
          <w:b/>
          <w:bCs/>
          <w:color w:val="008AD1"/>
          <w:sz w:val="22"/>
          <w:szCs w:val="22"/>
        </w:rPr>
        <w:t xml:space="preserve">3.3 Access Features</w:t>
      </w:r>
    </w:p>
    <w:p>
      <w:pPr>
        <w:pStyle w:val="ListParagraph"/>
        <w:numPr>
          <w:ilvl w:val="0"/>
          <w:numId w:val="2"/>
        </w:numPr>
        <w:spacing w:after="90"/>
      </w:pPr>
      <w:r>
        <w:rPr>
          <w:rFonts w:ascii="Arial" w:cs="Arial" w:eastAsia="Arial" w:hAnsi="Arial"/>
          <w:b/>
          <w:bCs/>
          <w:color w:val="1F4E78"/>
          <w:sz w:val="20"/>
          <w:szCs w:val="20"/>
        </w:rPr>
        <w:t xml:space="preserve">Instant Anonymous Access: </w:t>
      </w:r>
      <w:r>
        <w:rPr>
          <w:rFonts w:ascii="Arial" w:cs="Arial" w:eastAsia="Arial" w:hAnsi="Arial"/>
          <w:sz w:val="20"/>
          <w:szCs w:val="20"/>
        </w:rPr>
        <w:t xml:space="preserve">Learning starts immediately in the browser with no signup; an optional account enables cloud sync.</w:t>
      </w:r>
    </w:p>
    <w:p>
      <w:pPr>
        <w:pStyle w:val="ListParagraph"/>
        <w:numPr>
          <w:ilvl w:val="0"/>
          <w:numId w:val="2"/>
        </w:numPr>
        <w:spacing w:after="90"/>
      </w:pPr>
      <w:r>
        <w:rPr>
          <w:rFonts w:ascii="Arial" w:cs="Arial" w:eastAsia="Arial" w:hAnsi="Arial"/>
          <w:b/>
          <w:bCs/>
          <w:color w:val="1F4E78"/>
          <w:sz w:val="20"/>
          <w:szCs w:val="20"/>
        </w:rPr>
        <w:t xml:space="preserve">Low-Bandwidth Design: </w:t>
      </w:r>
      <w:r>
        <w:rPr>
          <w:rFonts w:ascii="Arial" w:cs="Arial" w:eastAsia="Arial" w:hAnsi="Arial"/>
          <w:sz w:val="20"/>
          <w:szCs w:val="20"/>
        </w:rPr>
        <w:t xml:space="preserve">Text-first content, compressed media, and lightweight pages built for 2G/3G realities. (Full offline-first sync is on the roadmap, post-hackathon.)</w:t>
      </w:r>
    </w:p>
    <w:p>
      <w:r>
        <w:br w:type="page"/>
      </w:r>
    </w:p>
    <w:p>
      <w:pPr>
        <w:pStyle w:val="Heading1"/>
        <w:spacing w:after="140" w:before="320"/>
      </w:pPr>
      <w:r>
        <w:rPr>
          <w:rFonts w:ascii="Arial" w:cs="Arial" w:eastAsia="Arial" w:hAnsi="Arial"/>
          <w:b/>
          <w:bCs/>
          <w:color w:val="1F4E78"/>
          <w:sz w:val="26"/>
          <w:szCs w:val="26"/>
        </w:rPr>
        <w:t xml:space="preserve">4. Hackathon MVP Scope</w:t>
      </w:r>
    </w:p>
    <w:p>
      <w:pPr>
        <w:spacing w:after="120"/>
        <w:jc w:val="both"/>
      </w:pPr>
      <w:r>
        <w:rPr>
          <w:rFonts w:ascii="Arial" w:cs="Arial" w:eastAsia="Arial" w:hAnsi="Arial"/>
          <w:color w:val="000000"/>
          <w:sz w:val="20"/>
          <w:szCs w:val="20"/>
        </w:rPr>
        <w:t xml:space="preserve">The MVP is one complete, polished learner journey — not a feature tour.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rPr>
          <w:tblHeader/>
        </w:trPr>
        <w:tc>
          <w:tcPr>
            <w:tcW w:type="dxa" w:w="2200"/>
            <w:shd w:fill="1F4E78" w:val="clear"/>
            <w:vAlign w:val="center"/>
          </w:tcPr>
          <w:p>
            <w:pPr>
              <w:spacing w:after="40" w:before="40"/>
              <w:jc w:val="left"/>
            </w:pPr>
            <w:r>
              <w:rPr>
                <w:rFonts w:ascii="Arial" w:cs="Arial" w:eastAsia="Arial" w:hAnsi="Arial"/>
                <w:b/>
                <w:bCs/>
                <w:color w:val="FFFFFF"/>
                <w:sz w:val="18"/>
                <w:szCs w:val="18"/>
              </w:rPr>
              <w:t xml:space="preserve">Status</w:t>
            </w:r>
          </w:p>
        </w:tc>
        <w:tc>
          <w:tcPr>
            <w:tcW w:type="dxa" w:w="6826"/>
            <w:shd w:fill="1F4E78" w:val="clear"/>
            <w:vAlign w:val="center"/>
          </w:tcPr>
          <w:p>
            <w:pPr>
              <w:spacing w:after="40" w:before="40"/>
              <w:jc w:val="left"/>
            </w:pPr>
            <w:r>
              <w:rPr>
                <w:rFonts w:ascii="Arial" w:cs="Arial" w:eastAsia="Arial" w:hAnsi="Arial"/>
                <w:b/>
                <w:bCs/>
                <w:color w:val="FFFFFF"/>
                <w:sz w:val="18"/>
                <w:szCs w:val="18"/>
              </w:rPr>
              <w:t xml:space="preserve">Scope</w:t>
            </w:r>
          </w:p>
        </w:tc>
      </w:tr>
      <w:tr>
        <w:tc>
          <w:tcPr>
            <w:tcW w:type="dxa" w:w="2200"/>
            <w:shd w:fill="FFFFFF" w:val="clear"/>
          </w:tcPr>
          <w:p>
            <w:pPr>
              <w:spacing w:after="40" w:before="40"/>
              <w:jc w:val="left"/>
            </w:pPr>
            <w:r>
              <w:rPr>
                <w:rFonts w:ascii="Arial" w:cs="Arial" w:eastAsia="Arial" w:hAnsi="Arial"/>
                <w:b/>
                <w:bCs/>
                <w:color w:val="000000"/>
                <w:sz w:val="18"/>
                <w:szCs w:val="18"/>
              </w:rPr>
              <w:t xml:space="preserve">IN</w:t>
            </w:r>
          </w:p>
        </w:tc>
        <w:tc>
          <w:tcPr>
            <w:tcW w:type="dxa" w:w="6826"/>
            <w:shd w:fill="FFFFFF" w:val="clear"/>
          </w:tcPr>
          <w:p>
            <w:pPr>
              <w:spacing w:after="40" w:before="40"/>
              <w:jc w:val="left"/>
            </w:pPr>
            <w:r>
              <w:rPr>
                <w:rFonts w:ascii="Arial" w:cs="Arial" w:eastAsia="Arial" w:hAnsi="Arial"/>
                <w:b w:val="false"/>
                <w:bCs w:val="false"/>
                <w:color w:val="000000"/>
                <w:sz w:val="18"/>
                <w:szCs w:val="18"/>
              </w:rPr>
              <w:t xml:space="preserve">Onboarding quiz (60 seconds) • One pathway: “Foundations of Algebra” (5 lessons + quizzes) • Socratic tutor with native-language scaffolding (one language done well) • 3–5 misconception patterns • XP, streak, one badge • Dashboard with mock territorial stat • Anonymous access</w:t>
            </w:r>
          </w:p>
        </w:tc>
      </w:tr>
      <w:tr>
        <w:tc>
          <w:tcPr>
            <w:tcW w:type="dxa" w:w="2200"/>
            <w:shd w:fill="F2F7FB" w:val="clear"/>
          </w:tcPr>
          <w:p>
            <w:pPr>
              <w:spacing w:after="40" w:before="40"/>
              <w:jc w:val="left"/>
            </w:pPr>
            <w:r>
              <w:rPr>
                <w:rFonts w:ascii="Arial" w:cs="Arial" w:eastAsia="Arial" w:hAnsi="Arial"/>
                <w:b/>
                <w:bCs/>
                <w:color w:val="000000"/>
                <w:sz w:val="18"/>
                <w:szCs w:val="18"/>
              </w:rPr>
              <w:t xml:space="preserve">OUT (roadmap)</w:t>
            </w:r>
          </w:p>
        </w:tc>
        <w:tc>
          <w:tcPr>
            <w:tcW w:type="dxa" w:w="6826"/>
            <w:shd w:fill="F2F7FB" w:val="clear"/>
          </w:tcPr>
          <w:p>
            <w:pPr>
              <w:spacing w:after="40" w:before="40"/>
              <w:jc w:val="left"/>
            </w:pPr>
            <w:r>
              <w:rPr>
                <w:rFonts w:ascii="Arial" w:cs="Arial" w:eastAsia="Arial" w:hAnsi="Arial"/>
                <w:b w:val="false"/>
                <w:bCs w:val="false"/>
                <w:color w:val="000000"/>
                <w:sz w:val="18"/>
                <w:szCs w:val="18"/>
              </w:rPr>
              <w:t xml:space="preserve">Offline-first sync • real leaderboards • QR/multi-device sync • RAG/vector database • payments and premium tier • B2B/teacher dashboards • real-time quiz battles • voice tutoring • native mobile apps</w:t>
            </w:r>
          </w:p>
        </w:tc>
      </w:tr>
    </w:tbl>
    <w:p>
      <w:pPr>
        <w:pStyle w:val="Heading1"/>
        <w:spacing w:after="140" w:before="320"/>
      </w:pPr>
      <w:r>
        <w:rPr>
          <w:rFonts w:ascii="Arial" w:cs="Arial" w:eastAsia="Arial" w:hAnsi="Arial"/>
          <w:b/>
          <w:bCs/>
          <w:color w:val="1F4E78"/>
          <w:sz w:val="26"/>
          <w:szCs w:val="26"/>
        </w:rPr>
        <w:t xml:space="preserve">5. Technology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200"/>
        <w:gridCol w:w="3226"/>
      </w:tblGrid>
      <w:tr>
        <w:trPr>
          <w:tblHeader/>
        </w:trPr>
        <w:tc>
          <w:tcPr>
            <w:tcW w:type="dxa" w:w="2600"/>
            <w:shd w:fill="1F4E78" w:val="clear"/>
            <w:vAlign w:val="center"/>
          </w:tcPr>
          <w:p>
            <w:pPr>
              <w:spacing w:after="40" w:before="40"/>
              <w:jc w:val="left"/>
            </w:pPr>
            <w:r>
              <w:rPr>
                <w:rFonts w:ascii="Arial" w:cs="Arial" w:eastAsia="Arial" w:hAnsi="Arial"/>
                <w:b/>
                <w:bCs/>
                <w:color w:val="FFFFFF"/>
                <w:sz w:val="18"/>
                <w:szCs w:val="18"/>
              </w:rPr>
              <w:t xml:space="preserve">Layer</w:t>
            </w:r>
          </w:p>
        </w:tc>
        <w:tc>
          <w:tcPr>
            <w:tcW w:type="dxa" w:w="3200"/>
            <w:shd w:fill="1F4E78" w:val="clear"/>
            <w:vAlign w:val="center"/>
          </w:tcPr>
          <w:p>
            <w:pPr>
              <w:spacing w:after="40" w:before="40"/>
              <w:jc w:val="left"/>
            </w:pPr>
            <w:r>
              <w:rPr>
                <w:rFonts w:ascii="Arial" w:cs="Arial" w:eastAsia="Arial" w:hAnsi="Arial"/>
                <w:b/>
                <w:bCs/>
                <w:color w:val="FFFFFF"/>
                <w:sz w:val="18"/>
                <w:szCs w:val="18"/>
              </w:rPr>
              <w:t xml:space="preserve">Technology</w:t>
            </w:r>
          </w:p>
        </w:tc>
        <w:tc>
          <w:tcPr>
            <w:tcW w:type="dxa" w:w="3226"/>
            <w:shd w:fill="1F4E78" w:val="clear"/>
            <w:vAlign w:val="center"/>
          </w:tcPr>
          <w:p>
            <w:pPr>
              <w:spacing w:after="40" w:before="40"/>
              <w:jc w:val="left"/>
            </w:pPr>
            <w:r>
              <w:rPr>
                <w:rFonts w:ascii="Arial" w:cs="Arial" w:eastAsia="Arial" w:hAnsi="Arial"/>
                <w:b/>
                <w:bCs/>
                <w:color w:val="FFFFFF"/>
                <w:sz w:val="18"/>
                <w:szCs w:val="18"/>
              </w:rPr>
              <w:t xml:space="preserve">Why</w:t>
            </w:r>
          </w:p>
        </w:tc>
      </w:tr>
      <w:tr>
        <w:tc>
          <w:tcPr>
            <w:tcW w:type="dxa" w:w="2600"/>
            <w:shd w:fill="FFFFFF" w:val="clear"/>
          </w:tcPr>
          <w:p>
            <w:pPr>
              <w:spacing w:after="40" w:before="40"/>
              <w:jc w:val="left"/>
            </w:pPr>
            <w:r>
              <w:rPr>
                <w:rFonts w:ascii="Arial" w:cs="Arial" w:eastAsia="Arial" w:hAnsi="Arial"/>
                <w:b/>
                <w:bCs/>
                <w:color w:val="000000"/>
                <w:sz w:val="18"/>
                <w:szCs w:val="18"/>
              </w:rPr>
              <w:t xml:space="preserve">Frontend</w:t>
            </w:r>
          </w:p>
        </w:tc>
        <w:tc>
          <w:tcPr>
            <w:tcW w:type="dxa" w:w="3200"/>
            <w:shd w:fill="FFFFFF" w:val="clear"/>
          </w:tcPr>
          <w:p>
            <w:pPr>
              <w:spacing w:after="40" w:before="40"/>
              <w:jc w:val="left"/>
            </w:pPr>
            <w:r>
              <w:rPr>
                <w:rFonts w:ascii="Arial" w:cs="Arial" w:eastAsia="Arial" w:hAnsi="Arial"/>
                <w:b w:val="false"/>
                <w:bCs w:val="false"/>
                <w:color w:val="000000"/>
                <w:sz w:val="18"/>
                <w:szCs w:val="18"/>
              </w:rPr>
              <w:t xml:space="preserve">React + Vite + Tailwind</w:t>
            </w:r>
          </w:p>
        </w:tc>
        <w:tc>
          <w:tcPr>
            <w:tcW w:type="dxa" w:w="3226"/>
            <w:shd w:fill="FFFFFF" w:val="clear"/>
          </w:tcPr>
          <w:p>
            <w:pPr>
              <w:spacing w:after="40" w:before="40"/>
              <w:jc w:val="left"/>
            </w:pPr>
            <w:r>
              <w:rPr>
                <w:rFonts w:ascii="Arial" w:cs="Arial" w:eastAsia="Arial" w:hAnsi="Arial"/>
                <w:b w:val="false"/>
                <w:bCs w:val="false"/>
                <w:color w:val="000000"/>
                <w:sz w:val="18"/>
                <w:szCs w:val="18"/>
              </w:rPr>
              <w:t xml:space="preserve">Fast build, mobile-first</w:t>
            </w:r>
          </w:p>
        </w:tc>
      </w:tr>
      <w:tr>
        <w:tc>
          <w:tcPr>
            <w:tcW w:type="dxa" w:w="2600"/>
            <w:shd w:fill="F2F7FB" w:val="clear"/>
          </w:tcPr>
          <w:p>
            <w:pPr>
              <w:spacing w:after="40" w:before="40"/>
              <w:jc w:val="left"/>
            </w:pPr>
            <w:r>
              <w:rPr>
                <w:rFonts w:ascii="Arial" w:cs="Arial" w:eastAsia="Arial" w:hAnsi="Arial"/>
                <w:b/>
                <w:bCs/>
                <w:color w:val="000000"/>
                <w:sz w:val="18"/>
                <w:szCs w:val="18"/>
              </w:rPr>
              <w:t xml:space="preserve">Hosting</w:t>
            </w:r>
          </w:p>
        </w:tc>
        <w:tc>
          <w:tcPr>
            <w:tcW w:type="dxa" w:w="3200"/>
            <w:shd w:fill="F2F7FB" w:val="clear"/>
          </w:tcPr>
          <w:p>
            <w:pPr>
              <w:spacing w:after="40" w:before="40"/>
              <w:jc w:val="left"/>
            </w:pPr>
            <w:r>
              <w:rPr>
                <w:rFonts w:ascii="Arial" w:cs="Arial" w:eastAsia="Arial" w:hAnsi="Arial"/>
                <w:b w:val="false"/>
                <w:bCs w:val="false"/>
                <w:color w:val="000000"/>
                <w:sz w:val="18"/>
                <w:szCs w:val="18"/>
              </w:rPr>
              <w:t xml:space="preserve">Firebase Hosting</w:t>
            </w:r>
          </w:p>
        </w:tc>
        <w:tc>
          <w:tcPr>
            <w:tcW w:type="dxa" w:w="3226"/>
            <w:shd w:fill="F2F7FB" w:val="clear"/>
          </w:tcPr>
          <w:p>
            <w:pPr>
              <w:spacing w:after="40" w:before="40"/>
              <w:jc w:val="left"/>
            </w:pPr>
            <w:r>
              <w:rPr>
                <w:rFonts w:ascii="Arial" w:cs="Arial" w:eastAsia="Arial" w:hAnsi="Arial"/>
                <w:b w:val="false"/>
                <w:bCs w:val="false"/>
                <w:color w:val="000000"/>
                <w:sz w:val="18"/>
                <w:szCs w:val="18"/>
              </w:rPr>
              <w:t xml:space="preserve">One-command deploys, global CDN</w:t>
            </w:r>
          </w:p>
        </w:tc>
      </w:tr>
      <w:tr>
        <w:tc>
          <w:tcPr>
            <w:tcW w:type="dxa" w:w="2600"/>
            <w:shd w:fill="FFFFFF" w:val="clear"/>
          </w:tcPr>
          <w:p>
            <w:pPr>
              <w:spacing w:after="40" w:before="40"/>
              <w:jc w:val="left"/>
            </w:pPr>
            <w:r>
              <w:rPr>
                <w:rFonts w:ascii="Arial" w:cs="Arial" w:eastAsia="Arial" w:hAnsi="Arial"/>
                <w:b/>
                <w:bCs/>
                <w:color w:val="000000"/>
                <w:sz w:val="18"/>
                <w:szCs w:val="18"/>
              </w:rPr>
              <w:t xml:space="preserve">Database</w:t>
            </w:r>
          </w:p>
        </w:tc>
        <w:tc>
          <w:tcPr>
            <w:tcW w:type="dxa" w:w="3200"/>
            <w:shd w:fill="FFFFFF" w:val="clear"/>
          </w:tcPr>
          <w:p>
            <w:pPr>
              <w:spacing w:after="40" w:before="40"/>
              <w:jc w:val="left"/>
            </w:pPr>
            <w:r>
              <w:rPr>
                <w:rFonts w:ascii="Arial" w:cs="Arial" w:eastAsia="Arial" w:hAnsi="Arial"/>
                <w:b w:val="false"/>
                <w:bCs w:val="false"/>
                <w:color w:val="000000"/>
                <w:sz w:val="18"/>
                <w:szCs w:val="18"/>
              </w:rPr>
              <w:t xml:space="preserve">Cloud Firestore</w:t>
            </w:r>
          </w:p>
        </w:tc>
        <w:tc>
          <w:tcPr>
            <w:tcW w:type="dxa" w:w="3226"/>
            <w:shd w:fill="FFFFFF" w:val="clear"/>
          </w:tcPr>
          <w:p>
            <w:pPr>
              <w:spacing w:after="40" w:before="40"/>
              <w:jc w:val="left"/>
            </w:pPr>
            <w:r>
              <w:rPr>
                <w:rFonts w:ascii="Arial" w:cs="Arial" w:eastAsia="Arial" w:hAnsi="Arial"/>
                <w:b w:val="false"/>
                <w:bCs w:val="false"/>
                <w:color w:val="000000"/>
                <w:sz w:val="18"/>
                <w:szCs w:val="18"/>
              </w:rPr>
              <w:t xml:space="preserve">Users, lessons, progress, mock regions</w:t>
            </w:r>
          </w:p>
        </w:tc>
      </w:tr>
      <w:tr>
        <w:tc>
          <w:tcPr>
            <w:tcW w:type="dxa" w:w="2600"/>
            <w:shd w:fill="F2F7FB" w:val="clear"/>
          </w:tcPr>
          <w:p>
            <w:pPr>
              <w:spacing w:after="40" w:before="40"/>
              <w:jc w:val="left"/>
            </w:pPr>
            <w:r>
              <w:rPr>
                <w:rFonts w:ascii="Arial" w:cs="Arial" w:eastAsia="Arial" w:hAnsi="Arial"/>
                <w:b/>
                <w:bCs/>
                <w:color w:val="000000"/>
                <w:sz w:val="18"/>
                <w:szCs w:val="18"/>
              </w:rPr>
              <w:t xml:space="preserve">AI Tutor</w:t>
            </w:r>
          </w:p>
        </w:tc>
        <w:tc>
          <w:tcPr>
            <w:tcW w:type="dxa" w:w="3200"/>
            <w:shd w:fill="F2F7FB" w:val="clear"/>
          </w:tcPr>
          <w:p>
            <w:pPr>
              <w:spacing w:after="40" w:before="40"/>
              <w:jc w:val="left"/>
            </w:pPr>
            <w:r>
              <w:rPr>
                <w:rFonts w:ascii="Arial" w:cs="Arial" w:eastAsia="Arial" w:hAnsi="Arial"/>
                <w:b w:val="false"/>
                <w:bCs w:val="false"/>
                <w:color w:val="000000"/>
                <w:sz w:val="18"/>
                <w:szCs w:val="18"/>
              </w:rPr>
              <w:t xml:space="preserve">Gemini API via Cloud Functions</w:t>
            </w:r>
          </w:p>
        </w:tc>
        <w:tc>
          <w:tcPr>
            <w:tcW w:type="dxa" w:w="3226"/>
            <w:shd w:fill="F2F7FB" w:val="clear"/>
          </w:tcPr>
          <w:p>
            <w:pPr>
              <w:spacing w:after="40" w:before="40"/>
              <w:jc w:val="left"/>
            </w:pPr>
            <w:r>
              <w:rPr>
                <w:rFonts w:ascii="Arial" w:cs="Arial" w:eastAsia="Arial" w:hAnsi="Arial"/>
                <w:b w:val="false"/>
                <w:bCs w:val="false"/>
                <w:color w:val="000000"/>
                <w:sz w:val="18"/>
                <w:szCs w:val="18"/>
              </w:rPr>
              <w:t xml:space="preserve">Natively multilingual; free tier; key stays server-side</w:t>
            </w:r>
          </w:p>
        </w:tc>
      </w:tr>
      <w:tr>
        <w:tc>
          <w:tcPr>
            <w:tcW w:type="dxa" w:w="2600"/>
            <w:shd w:fill="FFFFFF" w:val="clear"/>
          </w:tcPr>
          <w:p>
            <w:pPr>
              <w:spacing w:after="40" w:before="40"/>
              <w:jc w:val="left"/>
            </w:pPr>
            <w:r>
              <w:rPr>
                <w:rFonts w:ascii="Arial" w:cs="Arial" w:eastAsia="Arial" w:hAnsi="Arial"/>
                <w:b/>
                <w:bCs/>
                <w:color w:val="000000"/>
                <w:sz w:val="18"/>
                <w:szCs w:val="18"/>
              </w:rPr>
              <w:t xml:space="preserve">Translation</w:t>
            </w:r>
          </w:p>
        </w:tc>
        <w:tc>
          <w:tcPr>
            <w:tcW w:type="dxa" w:w="3200"/>
            <w:shd w:fill="FFFFFF" w:val="clear"/>
          </w:tcPr>
          <w:p>
            <w:pPr>
              <w:spacing w:after="40" w:before="40"/>
              <w:jc w:val="left"/>
            </w:pPr>
            <w:r>
              <w:rPr>
                <w:rFonts w:ascii="Arial" w:cs="Arial" w:eastAsia="Arial" w:hAnsi="Arial"/>
                <w:b w:val="false"/>
                <w:bCs w:val="false"/>
                <w:color w:val="000000"/>
                <w:sz w:val="18"/>
                <w:szCs w:val="18"/>
              </w:rPr>
              <w:t xml:space="preserve">Google Translate API (optional)</w:t>
            </w:r>
          </w:p>
        </w:tc>
        <w:tc>
          <w:tcPr>
            <w:tcW w:type="dxa" w:w="3226"/>
            <w:shd w:fill="FFFFFF" w:val="clear"/>
          </w:tcPr>
          <w:p>
            <w:pPr>
              <w:spacing w:after="40" w:before="40"/>
              <w:jc w:val="left"/>
            </w:pPr>
            <w:r>
              <w:rPr>
                <w:rFonts w:ascii="Arial" w:cs="Arial" w:eastAsia="Arial" w:hAnsi="Arial"/>
                <w:b w:val="false"/>
                <w:bCs w:val="false"/>
                <w:color w:val="000000"/>
                <w:sz w:val="18"/>
                <w:szCs w:val="18"/>
              </w:rPr>
              <w:t xml:space="preserve">UI strings only; Gemini handles pedagogy</w:t>
            </w:r>
          </w:p>
        </w:tc>
      </w:tr>
      <w:tr>
        <w:tc>
          <w:tcPr>
            <w:tcW w:type="dxa" w:w="2600"/>
            <w:shd w:fill="F2F7FB" w:val="clear"/>
          </w:tcPr>
          <w:p>
            <w:pPr>
              <w:spacing w:after="40" w:before="40"/>
              <w:jc w:val="left"/>
            </w:pPr>
            <w:r>
              <w:rPr>
                <w:rFonts w:ascii="Arial" w:cs="Arial" w:eastAsia="Arial" w:hAnsi="Arial"/>
                <w:b/>
                <w:bCs/>
                <w:color w:val="000000"/>
                <w:sz w:val="18"/>
                <w:szCs w:val="18"/>
              </w:rPr>
              <w:t xml:space="preserve">Auth</w:t>
            </w:r>
          </w:p>
        </w:tc>
        <w:tc>
          <w:tcPr>
            <w:tcW w:type="dxa" w:w="3200"/>
            <w:shd w:fill="F2F7FB" w:val="clear"/>
          </w:tcPr>
          <w:p>
            <w:pPr>
              <w:spacing w:after="40" w:before="40"/>
              <w:jc w:val="left"/>
            </w:pPr>
            <w:r>
              <w:rPr>
                <w:rFonts w:ascii="Arial" w:cs="Arial" w:eastAsia="Arial" w:hAnsi="Arial"/>
                <w:b w:val="false"/>
                <w:bCs w:val="false"/>
                <w:color w:val="000000"/>
                <w:sz w:val="18"/>
                <w:szCs w:val="18"/>
              </w:rPr>
              <w:t xml:space="preserve">Firebase Auth (anonymous)</w:t>
            </w:r>
          </w:p>
        </w:tc>
        <w:tc>
          <w:tcPr>
            <w:tcW w:type="dxa" w:w="3226"/>
            <w:shd w:fill="F2F7FB" w:val="clear"/>
          </w:tcPr>
          <w:p>
            <w:pPr>
              <w:spacing w:after="40" w:before="40"/>
              <w:jc w:val="left"/>
            </w:pPr>
            <w:r>
              <w:rPr>
                <w:rFonts w:ascii="Arial" w:cs="Arial" w:eastAsia="Arial" w:hAnsi="Arial"/>
                <w:b w:val="false"/>
                <w:bCs w:val="false"/>
                <w:color w:val="000000"/>
                <w:sz w:val="18"/>
                <w:szCs w:val="18"/>
              </w:rPr>
              <w:t xml:space="preserve">Zero-friction instant access</w:t>
            </w:r>
          </w:p>
        </w:tc>
      </w:tr>
      <w:tr>
        <w:tc>
          <w:tcPr>
            <w:tcW w:type="dxa" w:w="2600"/>
            <w:shd w:fill="FFFFFF" w:val="clear"/>
          </w:tcPr>
          <w:p>
            <w:pPr>
              <w:spacing w:after="40" w:before="40"/>
              <w:jc w:val="left"/>
            </w:pPr>
            <w:r>
              <w:rPr>
                <w:rFonts w:ascii="Arial" w:cs="Arial" w:eastAsia="Arial" w:hAnsi="Arial"/>
                <w:b/>
                <w:bCs/>
                <w:color w:val="000000"/>
                <w:sz w:val="18"/>
                <w:szCs w:val="18"/>
              </w:rPr>
              <w:t xml:space="preserve">Analytics</w:t>
            </w:r>
          </w:p>
        </w:tc>
        <w:tc>
          <w:tcPr>
            <w:tcW w:type="dxa" w:w="3200"/>
            <w:shd w:fill="FFFFFF" w:val="clear"/>
          </w:tcPr>
          <w:p>
            <w:pPr>
              <w:spacing w:after="40" w:before="40"/>
              <w:jc w:val="left"/>
            </w:pPr>
            <w:r>
              <w:rPr>
                <w:rFonts w:ascii="Arial" w:cs="Arial" w:eastAsia="Arial" w:hAnsi="Arial"/>
                <w:b w:val="false"/>
                <w:bCs w:val="false"/>
                <w:color w:val="000000"/>
                <w:sz w:val="18"/>
                <w:szCs w:val="18"/>
              </w:rPr>
              <w:t xml:space="preserve">Firebase Analytics</w:t>
            </w:r>
          </w:p>
        </w:tc>
        <w:tc>
          <w:tcPr>
            <w:tcW w:type="dxa" w:w="3226"/>
            <w:shd w:fill="FFFFFF" w:val="clear"/>
          </w:tcPr>
          <w:p>
            <w:pPr>
              <w:spacing w:after="40" w:before="40"/>
              <w:jc w:val="left"/>
            </w:pPr>
            <w:r>
              <w:rPr>
                <w:rFonts w:ascii="Arial" w:cs="Arial" w:eastAsia="Arial" w:hAnsi="Arial"/>
                <w:b w:val="false"/>
                <w:bCs w:val="false"/>
                <w:color w:val="000000"/>
                <w:sz w:val="18"/>
                <w:szCs w:val="18"/>
              </w:rPr>
              <w:t xml:space="preserve">Engagement + learning event tracking</w:t>
            </w:r>
          </w:p>
        </w:tc>
      </w:tr>
    </w:tbl>
    <w:p>
      <w:pPr>
        <w:pStyle w:val="Heading1"/>
        <w:spacing w:after="140" w:before="320"/>
      </w:pPr>
      <w:r>
        <w:rPr>
          <w:rFonts w:ascii="Arial" w:cs="Arial" w:eastAsia="Arial" w:hAnsi="Arial"/>
          <w:b/>
          <w:bCs/>
          <w:color w:val="1F4E78"/>
          <w:sz w:val="26"/>
          <w:szCs w:val="26"/>
        </w:rPr>
        <w:t xml:space="preserve">6. Success Metrics (Demo Day)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00"/>
        <w:gridCol w:w="4526"/>
      </w:tblGrid>
      <w:tr>
        <w:trPr>
          <w:tblHeader/>
        </w:trPr>
        <w:tc>
          <w:tcPr>
            <w:tcW w:type="dxa" w:w="4500"/>
            <w:shd w:fill="1F4E78" w:val="clear"/>
            <w:vAlign w:val="center"/>
          </w:tcPr>
          <w:p>
            <w:pPr>
              <w:spacing w:after="40" w:before="40"/>
              <w:jc w:val="left"/>
            </w:pPr>
            <w:r>
              <w:rPr>
                <w:rFonts w:ascii="Arial" w:cs="Arial" w:eastAsia="Arial" w:hAnsi="Arial"/>
                <w:b/>
                <w:bCs/>
                <w:color w:val="FFFFFF"/>
                <w:sz w:val="18"/>
                <w:szCs w:val="18"/>
              </w:rPr>
              <w:t xml:space="preserve">Metric</w:t>
            </w:r>
          </w:p>
        </w:tc>
        <w:tc>
          <w:tcPr>
            <w:tcW w:type="dxa" w:w="4526"/>
            <w:shd w:fill="1F4E78" w:val="clear"/>
            <w:vAlign w:val="center"/>
          </w:tcPr>
          <w:p>
            <w:pPr>
              <w:spacing w:after="40" w:before="40"/>
              <w:jc w:val="left"/>
            </w:pPr>
            <w:r>
              <w:rPr>
                <w:rFonts w:ascii="Arial" w:cs="Arial" w:eastAsia="Arial" w:hAnsi="Arial"/>
                <w:b/>
                <w:bCs/>
                <w:color w:val="FFFFFF"/>
                <w:sz w:val="18"/>
                <w:szCs w:val="18"/>
              </w:rPr>
              <w:t xml:space="preserve">Target</w:t>
            </w:r>
          </w:p>
        </w:tc>
      </w:tr>
      <w:tr>
        <w:tc>
          <w:tcPr>
            <w:tcW w:type="dxa" w:w="4500"/>
            <w:shd w:fill="FFFFFF" w:val="clear"/>
          </w:tcPr>
          <w:p>
            <w:pPr>
              <w:spacing w:after="40" w:before="40"/>
              <w:jc w:val="left"/>
            </w:pPr>
            <w:r>
              <w:rPr>
                <w:rFonts w:ascii="Arial" w:cs="Arial" w:eastAsia="Arial" w:hAnsi="Arial"/>
                <w:b/>
                <w:bCs/>
                <w:color w:val="000000"/>
                <w:sz w:val="18"/>
                <w:szCs w:val="18"/>
              </w:rPr>
              <w:t xml:space="preserve">End-to-end demo path</w:t>
            </w:r>
          </w:p>
        </w:tc>
        <w:tc>
          <w:tcPr>
            <w:tcW w:type="dxa" w:w="4526"/>
            <w:shd w:fill="FFFFFF" w:val="clear"/>
          </w:tcPr>
          <w:p>
            <w:pPr>
              <w:spacing w:after="40" w:before="40"/>
              <w:jc w:val="left"/>
            </w:pPr>
            <w:r>
              <w:rPr>
                <w:rFonts w:ascii="Arial" w:cs="Arial" w:eastAsia="Arial" w:hAnsi="Arial"/>
                <w:b w:val="false"/>
                <w:bCs w:val="false"/>
                <w:color w:val="000000"/>
                <w:sz w:val="18"/>
                <w:szCs w:val="18"/>
              </w:rPr>
              <w:t xml:space="preserve">Zero errors on a mobile screen</w:t>
            </w:r>
          </w:p>
        </w:tc>
      </w:tr>
      <w:tr>
        <w:tc>
          <w:tcPr>
            <w:tcW w:type="dxa" w:w="4500"/>
            <w:shd w:fill="F2F7FB" w:val="clear"/>
          </w:tcPr>
          <w:p>
            <w:pPr>
              <w:spacing w:after="40" w:before="40"/>
              <w:jc w:val="left"/>
            </w:pPr>
            <w:r>
              <w:rPr>
                <w:rFonts w:ascii="Arial" w:cs="Arial" w:eastAsia="Arial" w:hAnsi="Arial"/>
                <w:b/>
                <w:bCs/>
                <w:color w:val="000000"/>
                <w:sz w:val="18"/>
                <w:szCs w:val="18"/>
              </w:rPr>
              <w:t xml:space="preserve">Socratic integrity</w:t>
            </w:r>
          </w:p>
        </w:tc>
        <w:tc>
          <w:tcPr>
            <w:tcW w:type="dxa" w:w="4526"/>
            <w:shd w:fill="F2F7FB" w:val="clear"/>
          </w:tcPr>
          <w:p>
            <w:pPr>
              <w:spacing w:after="40" w:before="40"/>
              <w:jc w:val="left"/>
            </w:pPr>
            <w:r>
              <w:rPr>
                <w:rFonts w:ascii="Arial" w:cs="Arial" w:eastAsia="Arial" w:hAnsi="Arial"/>
                <w:b w:val="false"/>
                <w:bCs w:val="false"/>
                <w:color w:val="000000"/>
                <w:sz w:val="18"/>
                <w:szCs w:val="18"/>
              </w:rPr>
              <w:t xml:space="preserve">Tutor never yields a direct answer in testing</w:t>
            </w:r>
          </w:p>
        </w:tc>
      </w:tr>
      <w:tr>
        <w:tc>
          <w:tcPr>
            <w:tcW w:type="dxa" w:w="4500"/>
            <w:shd w:fill="FFFFFF" w:val="clear"/>
          </w:tcPr>
          <w:p>
            <w:pPr>
              <w:spacing w:after="40" w:before="40"/>
              <w:jc w:val="left"/>
            </w:pPr>
            <w:r>
              <w:rPr>
                <w:rFonts w:ascii="Arial" w:cs="Arial" w:eastAsia="Arial" w:hAnsi="Arial"/>
                <w:b/>
                <w:bCs/>
                <w:color w:val="000000"/>
                <w:sz w:val="18"/>
                <w:szCs w:val="18"/>
              </w:rPr>
              <w:t xml:space="preserve">Misconception detection</w:t>
            </w:r>
          </w:p>
        </w:tc>
        <w:tc>
          <w:tcPr>
            <w:tcW w:type="dxa" w:w="4526"/>
            <w:shd w:fill="FFFFFF" w:val="clear"/>
          </w:tcPr>
          <w:p>
            <w:pPr>
              <w:spacing w:after="40" w:before="40"/>
              <w:jc w:val="left"/>
            </w:pPr>
            <w:r>
              <w:rPr>
                <w:rFonts w:ascii="Arial" w:cs="Arial" w:eastAsia="Arial" w:hAnsi="Arial"/>
                <w:b w:val="false"/>
                <w:bCs w:val="false"/>
                <w:color w:val="000000"/>
                <w:sz w:val="18"/>
                <w:szCs w:val="18"/>
              </w:rPr>
              <w:t xml:space="preserve">Fires correctly on all scripted wrong answers</w:t>
            </w:r>
          </w:p>
        </w:tc>
      </w:tr>
      <w:tr>
        <w:tc>
          <w:tcPr>
            <w:tcW w:type="dxa" w:w="4500"/>
            <w:shd w:fill="F2F7FB" w:val="clear"/>
          </w:tcPr>
          <w:p>
            <w:pPr>
              <w:spacing w:after="40" w:before="40"/>
              <w:jc w:val="left"/>
            </w:pPr>
            <w:r>
              <w:rPr>
                <w:rFonts w:ascii="Arial" w:cs="Arial" w:eastAsia="Arial" w:hAnsi="Arial"/>
                <w:b/>
                <w:bCs/>
                <w:color w:val="000000"/>
                <w:sz w:val="18"/>
                <w:szCs w:val="18"/>
              </w:rPr>
              <w:t xml:space="preserve">Lesson completion (beta testers)</w:t>
            </w:r>
          </w:p>
        </w:tc>
        <w:tc>
          <w:tcPr>
            <w:tcW w:type="dxa" w:w="4526"/>
            <w:shd w:fill="F2F7FB" w:val="clear"/>
          </w:tcPr>
          <w:p>
            <w:pPr>
              <w:spacing w:after="40" w:before="40"/>
              <w:jc w:val="left"/>
            </w:pPr>
            <w:r>
              <w:rPr>
                <w:rFonts w:ascii="Arial" w:cs="Arial" w:eastAsia="Arial" w:hAnsi="Arial"/>
                <w:b w:val="false"/>
                <w:bCs w:val="false"/>
                <w:color w:val="000000"/>
                <w:sz w:val="18"/>
                <w:szCs w:val="18"/>
              </w:rPr>
              <w:t xml:space="preserve">≥60% complete Lesson 1→2</w:t>
            </w:r>
          </w:p>
        </w:tc>
      </w:tr>
      <w:tr>
        <w:tc>
          <w:tcPr>
            <w:tcW w:type="dxa" w:w="4500"/>
            <w:shd w:fill="FFFFFF" w:val="clear"/>
          </w:tcPr>
          <w:p>
            <w:pPr>
              <w:spacing w:after="40" w:before="40"/>
              <w:jc w:val="left"/>
            </w:pPr>
            <w:r>
              <w:rPr>
                <w:rFonts w:ascii="Arial" w:cs="Arial" w:eastAsia="Arial" w:hAnsi="Arial"/>
                <w:b/>
                <w:bCs/>
                <w:color w:val="000000"/>
                <w:sz w:val="18"/>
                <w:szCs w:val="18"/>
              </w:rPr>
              <w:t xml:space="preserve">Demo video</w:t>
            </w:r>
          </w:p>
        </w:tc>
        <w:tc>
          <w:tcPr>
            <w:tcW w:type="dxa" w:w="4526"/>
            <w:shd w:fill="FFFFFF" w:val="clear"/>
          </w:tcPr>
          <w:p>
            <w:pPr>
              <w:spacing w:after="40" w:before="40"/>
              <w:jc w:val="left"/>
            </w:pPr>
            <w:r>
              <w:rPr>
                <w:rFonts w:ascii="Arial" w:cs="Arial" w:eastAsia="Arial" w:hAnsi="Arial"/>
                <w:b w:val="false"/>
                <w:bCs w:val="false"/>
                <w:color w:val="000000"/>
                <w:sz w:val="18"/>
                <w:szCs w:val="18"/>
              </w:rPr>
              <w:t xml:space="preserve">≤2 minutes, shows both flagship features live</w:t>
            </w:r>
          </w:p>
        </w:tc>
      </w:tr>
    </w:tbl>
    <w:p>
      <w:pPr>
        <w:pStyle w:val="Heading1"/>
        <w:spacing w:after="140" w:before="320"/>
      </w:pPr>
      <w:r>
        <w:rPr>
          <w:rFonts w:ascii="Arial" w:cs="Arial" w:eastAsia="Arial" w:hAnsi="Arial"/>
          <w:b/>
          <w:bCs/>
          <w:color w:val="1F4E78"/>
          <w:sz w:val="26"/>
          <w:szCs w:val="26"/>
        </w:rPr>
        <w:t xml:space="preserve">7. Team &amp; Roles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400"/>
        <w:gridCol w:w="3226"/>
      </w:tblGrid>
      <w:tr>
        <w:trPr>
          <w:tblHeader/>
        </w:trPr>
        <w:tc>
          <w:tcPr>
            <w:tcW w:type="dxa" w:w="2400"/>
            <w:shd w:fill="1F4E78" w:val="clear"/>
            <w:vAlign w:val="center"/>
          </w:tcPr>
          <w:p>
            <w:pPr>
              <w:spacing w:after="40" w:before="40"/>
              <w:jc w:val="left"/>
            </w:pPr>
            <w:r>
              <w:rPr>
                <w:rFonts w:ascii="Arial" w:cs="Arial" w:eastAsia="Arial" w:hAnsi="Arial"/>
                <w:b/>
                <w:bCs/>
                <w:color w:val="FFFFFF"/>
                <w:sz w:val="18"/>
                <w:szCs w:val="18"/>
              </w:rPr>
              <w:t xml:space="preserve">Role</w:t>
            </w:r>
          </w:p>
        </w:tc>
        <w:tc>
          <w:tcPr>
            <w:tcW w:type="dxa" w:w="3400"/>
            <w:shd w:fill="1F4E78" w:val="clear"/>
            <w:vAlign w:val="center"/>
          </w:tcPr>
          <w:p>
            <w:pPr>
              <w:spacing w:after="40" w:before="40"/>
              <w:jc w:val="left"/>
            </w:pPr>
            <w:r>
              <w:rPr>
                <w:rFonts w:ascii="Arial" w:cs="Arial" w:eastAsia="Arial" w:hAnsi="Arial"/>
                <w:b/>
                <w:bCs/>
                <w:color w:val="FFFFFF"/>
                <w:sz w:val="18"/>
                <w:szCs w:val="18"/>
              </w:rPr>
              <w:t xml:space="preserve">Owns</w:t>
            </w:r>
          </w:p>
        </w:tc>
        <w:tc>
          <w:tcPr>
            <w:tcW w:type="dxa" w:w="3226"/>
            <w:shd w:fill="1F4E78" w:val="clear"/>
            <w:vAlign w:val="center"/>
          </w:tcPr>
          <w:p>
            <w:pPr>
              <w:spacing w:after="40" w:before="40"/>
              <w:jc w:val="left"/>
            </w:pPr>
            <w:r>
              <w:rPr>
                <w:rFonts w:ascii="Arial" w:cs="Arial" w:eastAsia="Arial" w:hAnsi="Arial"/>
                <w:b/>
                <w:bCs/>
                <w:color w:val="FFFFFF"/>
                <w:sz w:val="18"/>
                <w:szCs w:val="18"/>
              </w:rPr>
              <w:t xml:space="preserve">Ships</w:t>
            </w:r>
          </w:p>
        </w:tc>
      </w:tr>
      <w:tr>
        <w:tc>
          <w:tcPr>
            <w:tcW w:type="dxa" w:w="2400"/>
            <w:shd w:fill="FFFFFF" w:val="clear"/>
          </w:tcPr>
          <w:p>
            <w:pPr>
              <w:spacing w:after="40" w:before="40"/>
              <w:jc w:val="left"/>
            </w:pPr>
            <w:r>
              <w:rPr>
                <w:rFonts w:ascii="Arial" w:cs="Arial" w:eastAsia="Arial" w:hAnsi="Arial"/>
                <w:b/>
                <w:bCs/>
                <w:color w:val="000000"/>
                <w:sz w:val="18"/>
                <w:szCs w:val="18"/>
              </w:rPr>
              <w:t xml:space="preserve">P1 — Frontend / UX</w:t>
            </w:r>
          </w:p>
        </w:tc>
        <w:tc>
          <w:tcPr>
            <w:tcW w:type="dxa" w:w="3400"/>
            <w:shd w:fill="FFFFFF" w:val="clear"/>
          </w:tcPr>
          <w:p>
            <w:pPr>
              <w:spacing w:after="40" w:before="40"/>
              <w:jc w:val="left"/>
            </w:pPr>
            <w:r>
              <w:rPr>
                <w:rFonts w:ascii="Arial" w:cs="Arial" w:eastAsia="Arial" w:hAnsi="Arial"/>
                <w:b w:val="false"/>
                <w:bCs w:val="false"/>
                <w:color w:val="000000"/>
                <w:sz w:val="18"/>
                <w:szCs w:val="18"/>
              </w:rPr>
              <w:t xml:space="preserve">App shell, onboarding UI, lesson viewer, chat UI, mobile polish</w:t>
            </w:r>
          </w:p>
        </w:tc>
        <w:tc>
          <w:tcPr>
            <w:tcW w:type="dxa" w:w="3226"/>
            <w:shd w:fill="FFFFFF" w:val="clear"/>
          </w:tcPr>
          <w:p>
            <w:pPr>
              <w:spacing w:after="40" w:before="40"/>
              <w:jc w:val="left"/>
            </w:pPr>
            <w:r>
              <w:rPr>
                <w:rFonts w:ascii="Arial" w:cs="Arial" w:eastAsia="Arial" w:hAnsi="Arial"/>
                <w:b w:val="false"/>
                <w:bCs w:val="false"/>
                <w:color w:val="000000"/>
                <w:sz w:val="18"/>
                <w:szCs w:val="18"/>
              </w:rPr>
              <w:t xml:space="preserve">Every screen the judges see</w:t>
            </w:r>
          </w:p>
        </w:tc>
      </w:tr>
      <w:tr>
        <w:tc>
          <w:tcPr>
            <w:tcW w:type="dxa" w:w="2400"/>
            <w:shd w:fill="F2F7FB" w:val="clear"/>
          </w:tcPr>
          <w:p>
            <w:pPr>
              <w:spacing w:after="40" w:before="40"/>
              <w:jc w:val="left"/>
            </w:pPr>
            <w:r>
              <w:rPr>
                <w:rFonts w:ascii="Arial" w:cs="Arial" w:eastAsia="Arial" w:hAnsi="Arial"/>
                <w:b/>
                <w:bCs/>
                <w:color w:val="000000"/>
                <w:sz w:val="18"/>
                <w:szCs w:val="18"/>
              </w:rPr>
              <w:t xml:space="preserve">P2 — AI Engineering</w:t>
            </w:r>
          </w:p>
        </w:tc>
        <w:tc>
          <w:tcPr>
            <w:tcW w:type="dxa" w:w="3400"/>
            <w:shd w:fill="F2F7FB" w:val="clear"/>
          </w:tcPr>
          <w:p>
            <w:pPr>
              <w:spacing w:after="40" w:before="40"/>
              <w:jc w:val="left"/>
            </w:pPr>
            <w:r>
              <w:rPr>
                <w:rFonts w:ascii="Arial" w:cs="Arial" w:eastAsia="Arial" w:hAnsi="Arial"/>
                <w:b w:val="false"/>
                <w:bCs w:val="false"/>
                <w:color w:val="000000"/>
                <w:sz w:val="18"/>
                <w:szCs w:val="18"/>
              </w:rPr>
              <w:t xml:space="preserve">Cloud Functions, Gemini integration, Socratic + scaffolding prompts, misconception patterns</w:t>
            </w:r>
          </w:p>
        </w:tc>
        <w:tc>
          <w:tcPr>
            <w:tcW w:type="dxa" w:w="3226"/>
            <w:shd w:fill="F2F7FB" w:val="clear"/>
          </w:tcPr>
          <w:p>
            <w:pPr>
              <w:spacing w:after="40" w:before="40"/>
              <w:jc w:val="left"/>
            </w:pPr>
            <w:r>
              <w:rPr>
                <w:rFonts w:ascii="Arial" w:cs="Arial" w:eastAsia="Arial" w:hAnsi="Arial"/>
                <w:b w:val="false"/>
                <w:bCs w:val="false"/>
                <w:color w:val="000000"/>
                <w:sz w:val="18"/>
                <w:szCs w:val="18"/>
              </w:rPr>
              <w:t xml:space="preserve">The two flagship features</w:t>
            </w:r>
          </w:p>
        </w:tc>
      </w:tr>
      <w:tr>
        <w:tc>
          <w:tcPr>
            <w:tcW w:type="dxa" w:w="2400"/>
            <w:shd w:fill="FFFFFF" w:val="clear"/>
          </w:tcPr>
          <w:p>
            <w:pPr>
              <w:spacing w:after="40" w:before="40"/>
              <w:jc w:val="left"/>
            </w:pPr>
            <w:r>
              <w:rPr>
                <w:rFonts w:ascii="Arial" w:cs="Arial" w:eastAsia="Arial" w:hAnsi="Arial"/>
                <w:b/>
                <w:bCs/>
                <w:color w:val="000000"/>
                <w:sz w:val="18"/>
                <w:szCs w:val="18"/>
              </w:rPr>
              <w:t xml:space="preserve">P3 — Content + Game Logic</w:t>
            </w:r>
          </w:p>
        </w:tc>
        <w:tc>
          <w:tcPr>
            <w:tcW w:type="dxa" w:w="3400"/>
            <w:shd w:fill="FFFFFF" w:val="clear"/>
          </w:tcPr>
          <w:p>
            <w:pPr>
              <w:spacing w:after="40" w:before="40"/>
              <w:jc w:val="left"/>
            </w:pPr>
            <w:r>
              <w:rPr>
                <w:rFonts w:ascii="Arial" w:cs="Arial" w:eastAsia="Arial" w:hAnsi="Arial"/>
                <w:b w:val="false"/>
                <w:bCs w:val="false"/>
                <w:color w:val="000000"/>
                <w:sz w:val="18"/>
                <w:szCs w:val="18"/>
              </w:rPr>
              <w:t xml:space="preserve">5 hand-written lessons and quizzes, XP/streak/badges, dashboard, mock territorial data</w:t>
            </w:r>
          </w:p>
        </w:tc>
        <w:tc>
          <w:tcPr>
            <w:tcW w:type="dxa" w:w="3226"/>
            <w:shd w:fill="FFFFFF" w:val="clear"/>
          </w:tcPr>
          <w:p>
            <w:pPr>
              <w:spacing w:after="40" w:before="40"/>
              <w:jc w:val="left"/>
            </w:pPr>
            <w:r>
              <w:rPr>
                <w:rFonts w:ascii="Arial" w:cs="Arial" w:eastAsia="Arial" w:hAnsi="Arial"/>
                <w:b w:val="false"/>
                <w:bCs w:val="false"/>
                <w:color w:val="000000"/>
                <w:sz w:val="18"/>
                <w:szCs w:val="18"/>
              </w:rPr>
              <w:t xml:space="preserve">Substance and motivation</w:t>
            </w:r>
          </w:p>
        </w:tc>
      </w:tr>
      <w:tr>
        <w:tc>
          <w:tcPr>
            <w:tcW w:type="dxa" w:w="2400"/>
            <w:shd w:fill="F2F7FB" w:val="clear"/>
          </w:tcPr>
          <w:p>
            <w:pPr>
              <w:spacing w:after="40" w:before="40"/>
              <w:jc w:val="left"/>
            </w:pPr>
            <w:r>
              <w:rPr>
                <w:rFonts w:ascii="Arial" w:cs="Arial" w:eastAsia="Arial" w:hAnsi="Arial"/>
                <w:b/>
                <w:bCs/>
                <w:color w:val="000000"/>
                <w:sz w:val="18"/>
                <w:szCs w:val="18"/>
              </w:rPr>
              <w:t xml:space="preserve">P4 — Platform + Pitch</w:t>
            </w:r>
          </w:p>
        </w:tc>
        <w:tc>
          <w:tcPr>
            <w:tcW w:type="dxa" w:w="3400"/>
            <w:shd w:fill="F2F7FB" w:val="clear"/>
          </w:tcPr>
          <w:p>
            <w:pPr>
              <w:spacing w:after="40" w:before="40"/>
              <w:jc w:val="left"/>
            </w:pPr>
            <w:r>
              <w:rPr>
                <w:rFonts w:ascii="Arial" w:cs="Arial" w:eastAsia="Arial" w:hAnsi="Arial"/>
                <w:b w:val="false"/>
                <w:bCs w:val="false"/>
                <w:color w:val="000000"/>
                <w:sz w:val="18"/>
                <w:szCs w:val="18"/>
              </w:rPr>
              <w:t xml:space="preserve">Firebase setup, auth, analytics, deploys, integration testing, 2-minute demo video</w:t>
            </w:r>
          </w:p>
        </w:tc>
        <w:tc>
          <w:tcPr>
            <w:tcW w:type="dxa" w:w="3226"/>
            <w:shd w:fill="F2F7FB" w:val="clear"/>
          </w:tcPr>
          <w:p>
            <w:pPr>
              <w:spacing w:after="40" w:before="40"/>
              <w:jc w:val="left"/>
            </w:pPr>
            <w:r>
              <w:rPr>
                <w:rFonts w:ascii="Arial" w:cs="Arial" w:eastAsia="Arial" w:hAnsi="Arial"/>
                <w:b w:val="false"/>
                <w:bCs w:val="false"/>
                <w:color w:val="000000"/>
                <w:sz w:val="18"/>
                <w:szCs w:val="18"/>
              </w:rPr>
              <w:t xml:space="preserve">The glue + the pitch (25% of score)</w:t>
            </w:r>
          </w:p>
        </w:tc>
      </w:tr>
    </w:tbl>
    <w:p>
      <w:pPr>
        <w:pStyle w:val="Heading1"/>
        <w:spacing w:after="140" w:before="320"/>
      </w:pPr>
      <w:r>
        <w:rPr>
          <w:rFonts w:ascii="Arial" w:cs="Arial" w:eastAsia="Arial" w:hAnsi="Arial"/>
          <w:b/>
          <w:bCs/>
          <w:color w:val="1F4E78"/>
          <w:sz w:val="26"/>
          <w:szCs w:val="26"/>
        </w:rPr>
        <w:t xml:space="preserve">8. Build Timeline (1.5 Days)</w:t>
      </w:r>
    </w:p>
    <w:p>
      <w:pPr>
        <w:pStyle w:val="ListParagraph"/>
        <w:numPr>
          <w:ilvl w:val="0"/>
          <w:numId w:val="2"/>
        </w:numPr>
        <w:spacing w:after="80"/>
      </w:pPr>
      <w:r>
        <w:rPr>
          <w:rFonts w:ascii="Arial" w:cs="Arial" w:eastAsia="Arial" w:hAnsi="Arial"/>
          <w:b/>
          <w:bCs/>
          <w:color w:val="1F4E78"/>
          <w:sz w:val="20"/>
          <w:szCs w:val="20"/>
        </w:rPr>
        <w:t xml:space="preserve">Day 1, first hour (all): </w:t>
      </w:r>
      <w:r>
        <w:rPr>
          <w:rFonts w:ascii="Arial" w:cs="Arial" w:eastAsia="Arial" w:hAnsi="Arial"/>
          <w:sz w:val="20"/>
          <w:szCs w:val="20"/>
        </w:rPr>
        <w:t xml:space="preserve">agree Firestore schema and API contracts; Firebase project live; storyboard the demo video before building.</w:t>
      </w:r>
    </w:p>
    <w:p>
      <w:pPr>
        <w:pStyle w:val="ListParagraph"/>
        <w:numPr>
          <w:ilvl w:val="0"/>
          <w:numId w:val="2"/>
        </w:numPr>
        <w:spacing w:after="80"/>
      </w:pPr>
      <w:r>
        <w:rPr>
          <w:rFonts w:ascii="Arial" w:cs="Arial" w:eastAsia="Arial" w:hAnsi="Arial"/>
          <w:b/>
          <w:bCs/>
          <w:color w:val="1F4E78"/>
          <w:sz w:val="20"/>
          <w:szCs w:val="20"/>
        </w:rPr>
        <w:t xml:space="preserve">Day 1: </w:t>
      </w:r>
      <w:r>
        <w:rPr>
          <w:rFonts w:ascii="Arial" w:cs="Arial" w:eastAsia="Arial" w:hAnsi="Arial"/>
          <w:sz w:val="20"/>
          <w:szCs w:val="20"/>
        </w:rPr>
        <w:t xml:space="preserve">onboarding → lesson → quiz working end-to-end with live data; first Socratic exchange working in a test harness; all 5 lessons written.</w:t>
      </w:r>
    </w:p>
    <w:p>
      <w:pPr>
        <w:pStyle w:val="ListParagraph"/>
        <w:numPr>
          <w:ilvl w:val="0"/>
          <w:numId w:val="2"/>
        </w:numPr>
        <w:spacing w:after="80"/>
      </w:pPr>
      <w:r>
        <w:rPr>
          <w:rFonts w:ascii="Arial" w:cs="Arial" w:eastAsia="Arial" w:hAnsi="Arial"/>
          <w:b/>
          <w:bCs/>
          <w:color w:val="1F4E78"/>
          <w:sz w:val="20"/>
          <w:szCs w:val="20"/>
        </w:rPr>
        <w:t xml:space="preserve">Day 2: </w:t>
      </w:r>
      <w:r>
        <w:rPr>
          <w:rFonts w:ascii="Arial" w:cs="Arial" w:eastAsia="Arial" w:hAnsi="Arial"/>
          <w:sz w:val="20"/>
          <w:szCs w:val="20"/>
        </w:rPr>
        <w:t xml:space="preserve">scaffolding + misconception patterns tuned; gamification and dashboard wired; full demo path works on a phone. Feature freeze at end of day.</w:t>
      </w:r>
    </w:p>
    <w:p>
      <w:pPr>
        <w:pStyle w:val="ListParagraph"/>
        <w:numPr>
          <w:ilvl w:val="0"/>
          <w:numId w:val="2"/>
        </w:numPr>
        <w:spacing w:after="80"/>
      </w:pPr>
      <w:r>
        <w:rPr>
          <w:rFonts w:ascii="Arial" w:cs="Arial" w:eastAsia="Arial" w:hAnsi="Arial"/>
          <w:b/>
          <w:bCs/>
          <w:color w:val="1F4E78"/>
          <w:sz w:val="20"/>
          <w:szCs w:val="20"/>
        </w:rPr>
        <w:t xml:space="preserve">Final half-day: </w:t>
      </w:r>
      <w:r>
        <w:rPr>
          <w:rFonts w:ascii="Arial" w:cs="Arial" w:eastAsia="Arial" w:hAnsi="Arial"/>
          <w:sz w:val="20"/>
          <w:szCs w:val="20"/>
        </w:rPr>
        <w:t xml:space="preserve">bug fixes on the demo path only; record and edit the 2-minute video; README and submission.</w:t>
      </w:r>
    </w:p>
    <w:p>
      <w:pPr>
        <w:spacing w:before="400"/>
        <w:jc w:val="center"/>
      </w:pPr>
      <w:r>
        <w:rPr>
          <w:rFonts w:ascii="Arial" w:cs="Arial" w:eastAsia="Arial" w:hAnsi="Arial"/>
          <w:color w:val="808080"/>
          <w:sz w:val="18"/>
          <w:szCs w:val="18"/>
        </w:rPr>
        <w:t xml:space="preserve">— End of Document —  Tinker BRD v2.0 (Focused)  |  Spiritus Agentic Solutions  |  27 July 2026</w:t>
      </w:r>
    </w:p>
    <w:sectPr>
      <w:headerReference w:type="default" r:id="rId7"/>
      <w:footerReference w:type="default" r:id="rId8"/>
      <w:pgSz w:w="11906" w:h="16838" w:orient="portrait"/>
      <w:pgMar w:top="16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Outfit" w:cs="Outfit" w:eastAsia="Outfit" w:hAnsi="Outfit"/>
        <w:b/>
        <w:bCs/>
        <w:color w:val="008AD1"/>
        <w:spacing w:val="40"/>
        <w:sz w:val="14"/>
        <w:szCs w:val="14"/>
      </w:rPr>
      <w:t xml:space="preserve">CONTACT  |  info@spiritustec.com  |  www.spiritustec.com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vAlign w:val="center"/>
        </w:tcPr>
        <w:p>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81000"/>
                        </a:xfrm>
                        <a:prstGeom prst="rect">
                          <a:avLst/>
                        </a:prstGeom>
                      </pic:spPr>
                    </pic:pic>
                  </a:graphicData>
                </a:graphic>
              </wp:inline>
            </w:drawing>
          </w:r>
        </w:p>
      </w:tc>
      <w:tc>
        <w:tcPr>
          <w:tcW w:type="dxa" w:w="4513"/>
          <w:vAlign w:val="center"/>
        </w:tcPr>
        <w:p>
          <w:pPr>
            <w:jc w:val="right"/>
          </w:pPr>
          <w:r>
            <w:rPr>
              <w:rFonts w:ascii="Outfit" w:cs="Outfit" w:eastAsia="Outfit" w:hAnsi="Outfit"/>
              <w:b/>
              <w:bCs/>
              <w:color w:val="008AD1"/>
              <w:sz w:val="19"/>
              <w:szCs w:val="19"/>
            </w:rPr>
            <w:t xml:space="preserve">AI, custom-built for African realities.</w:t>
          </w:r>
        </w:p>
      </w:tc>
    </w:tr>
  </w:tbl>
  <w:p>
    <w:pPr>
      <w:pBdr>
        <w:bottom w:val="single" w:color="008AD1" w:sz="6" w:space="4"/>
      </w:pBd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dd0c528927ed33ccfd605d5eb27ceff73d351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2026-07-28T00:50:12.276Z</dcterms:created>
  <dcterms:modified xsi:type="dcterms:W3CDTF">2026-07-28T00:50:12.277Z</dcterms:modified>
</cp:coreProperties>
</file>

<file path=docProps/custom.xml><?xml version="1.0" encoding="utf-8"?>
<Properties xmlns="http://schemas.openxmlformats.org/officeDocument/2006/custom-properties" xmlns:vt="http://schemas.openxmlformats.org/officeDocument/2006/docPropsVTypes"/>
</file>