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1F4E78"/>
          <w:sz w:val="72"/>
          <w:szCs w:val="72"/>
        </w:rPr>
        <w:t xml:space="preserve">TINKER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8AD1"/>
          <w:sz w:val="26"/>
          <w:szCs w:val="26"/>
        </w:rPr>
        <w:t xml:space="preserve">Learn in your language, through what you love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Business Requirements Document (BRD)  •  Version 2.1  •  27 July 2026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Spiritus Agentic Solutions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1. Problem Statement</w:t>
      </w:r>
    </w:p>
    <w:tbl>
      <w:tblPr>
        <w:tblW w:type="dxa" w:w="9026"/>
        <w:tblBorders>
          <w:top w:val="single" w:color="008AD1" w:sz="8"/>
          <w:left w:val="single" w:color="008AD1" w:sz="24"/>
          <w:bottom w:val="single" w:color="008AD1" w:sz="8"/>
          <w:right w:val="single" w:color="008AD1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/>
                <w:bCs/>
                <w:color w:val="1F4E78"/>
                <w:sz w:val="22"/>
                <w:szCs w:val="22"/>
              </w:rPr>
              <w:t xml:space="preserve">Millions of learners are taught in a language they do not think in, using examples drawn from a world they have never seen, by systems that reward answer-getting over understanding — so they memorize, pass, and forget, or hand their work to AI tools that answer for them and teach them nothing.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single problem sits at the intersection of three global failures: 272 million children and youth are out of school entirely; “learning poverty” leaves the majority of 10-year-olds in low-income countries unable to read a simple text; and the arrival of generative AI has made it easier than ever to complete schoolwork without understanding it. The failure compounds: a learner in rural Zimbabwe is asked to grasp probability through cricket averages, or ratios through a train timetable between two English cities, in a language they are still translating in their head. Existing platforms translate the words or hand out the answers. None start from what the learner already knows.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 Our Solution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Tinker is a website (mobile-first web application) that acts as a personal AI learning companion. It teaches every new concept through two things the learner already owns: the language they think in, and a subject they already love — cooking, football, music, fiction, farming, trading. A learner meets ratios by scaling a jollof recipe for twenty guests, or averages through a striker’s season, in their own language — and Tinker then bridges them to the formal academic terminology. Every lesson is paired with a Socratic AI tutor engineered never to give direct answers: it asks calibrated questions, detects misconceptions, and guides learners to construct understanding for themselves.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This is only possible with generative AI. No content library can be pre-written for every learner’s language crossed with every learner’s passion — the combinations are effectively infinite. The AI is not a feature bolted onto a courseware product; it is the only mechanism by which the product can exist.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 Features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Everything below is a feature in service of the one problem above. ★ marks the two flagship differentiators.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8AD1"/>
          <w:sz w:val="22"/>
          <w:szCs w:val="22"/>
        </w:rPr>
        <w:t xml:space="preserve">3.1 Core Learning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008AD1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Concept-Preserving Scaffolding: </w:t>
      </w:r>
      <w:r>
        <w:rPr>
          <w:rFonts w:ascii="Arial" w:cs="Arial" w:eastAsia="Arial" w:hAnsi="Arial"/>
          <w:sz w:val="20"/>
          <w:szCs w:val="20"/>
        </w:rPr>
        <w:t xml:space="preserve">Tinker never teaches a concept cold. It relocates the concept into territory the learner already navigates confidently, then walks them back to the formal version. Two anchors do this work: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8AD1"/>
          <w:sz w:val="20"/>
          <w:szCs w:val="20"/>
        </w:rPr>
        <w:t xml:space="preserve">Language Anchor — </w:t>
      </w:r>
      <w:r>
        <w:rPr>
          <w:rFonts w:ascii="Arial" w:cs="Arial" w:eastAsia="Arial" w:hAnsi="Arial"/>
          <w:sz w:val="20"/>
          <w:szCs w:val="20"/>
        </w:rPr>
        <w:t xml:space="preserve">The concept is introduced in the learner’s native language (Kiswahili, Hindi, Yoruba, Shona). The academic English term arrives afterwards, as a label for something they already understand — a conceptual bridge, not a translation.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8AD1"/>
          <w:sz w:val="20"/>
          <w:szCs w:val="20"/>
        </w:rPr>
        <w:t xml:space="preserve">Interest Anchor — </w:t>
      </w:r>
      <w:r>
        <w:rPr>
          <w:rFonts w:ascii="Arial" w:cs="Arial" w:eastAsia="Arial" w:hAnsi="Arial"/>
          <w:sz w:val="20"/>
          <w:szCs w:val="20"/>
        </w:rPr>
        <w:t xml:space="preserve">The learner picks up to three worlds they already know — cooking, football, music, fiction, farming, trading, gaming, fashion. The AI then generates explanations, examples and quiz framing inside those worlds. Variables through a striker’s missing goal tally. Balance through doubling a recipe. Compound interest through a market trader’s stock.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Analogy Integrity: </w:t>
      </w:r>
      <w:r>
        <w:rPr>
          <w:rFonts w:ascii="Arial" w:cs="Arial" w:eastAsia="Arial" w:hAnsi="Arial"/>
          <w:sz w:val="20"/>
          <w:szCs w:val="20"/>
        </w:rPr>
        <w:t xml:space="preserve">Every analogy eventually breaks. Tinker names the seam out loud — “this is where the recipe stops behaving like the equation” — so learners never carry a false model forward. This is what separates genuine scaffolding from “explain it like I’m five.”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008AD1"/>
          <w:sz w:val="20"/>
          <w:szCs w:val="20"/>
        </w:rPr>
        <w:t xml:space="preserve">★ </w:t>
      </w: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Socratic AI Tutor: </w:t>
      </w:r>
      <w:r>
        <w:rPr>
          <w:rFonts w:ascii="Arial" w:cs="Arial" w:eastAsia="Arial" w:hAnsi="Arial"/>
          <w:sz w:val="20"/>
          <w:szCs w:val="20"/>
        </w:rPr>
        <w:t xml:space="preserve">A chat companion that refuses to give direct answers. It responds with guiding questions, offers a progressive “hint ladder” when the learner is stuck, and redirects pasted homework questions into guided understanding.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Misconception Detection: </w:t>
      </w:r>
      <w:r>
        <w:rPr>
          <w:rFonts w:ascii="Arial" w:cs="Arial" w:eastAsia="Arial" w:hAnsi="Arial"/>
          <w:sz w:val="20"/>
          <w:szCs w:val="20"/>
        </w:rPr>
        <w:t xml:space="preserve">Wrong quiz answers are matched against a library of common misconception patterns; the tutor names the likely misunderstanding and responds with a clarifying analogy drawn from the learner’s chosen interest, in their own language.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Personalized Learning Pathway: </w:t>
      </w:r>
      <w:r>
        <w:rPr>
          <w:rFonts w:ascii="Arial" w:cs="Arial" w:eastAsia="Arial" w:hAnsi="Arial"/>
          <w:sz w:val="20"/>
          <w:szCs w:val="20"/>
        </w:rPr>
        <w:t xml:space="preserve">A 60-second onboarding captures age, language, interests and goals, and generates a tailored lesson sequence with adaptive difficulty. The interest question is not a profile field — it visibly changes the very next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Reinforcement Reviews: </w:t>
      </w:r>
      <w:r>
        <w:rPr>
          <w:rFonts w:ascii="Arial" w:cs="Arial" w:eastAsia="Arial" w:hAnsi="Arial"/>
          <w:sz w:val="20"/>
          <w:szCs w:val="20"/>
        </w:rPr>
        <w:t xml:space="preserve">Concepts answered incorrectly are automatically scheduled for short spaced-repetition micro-reviews, building mastery over time instead of one-shot completion.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8AD1"/>
          <w:sz w:val="22"/>
          <w:szCs w:val="22"/>
        </w:rPr>
        <w:t xml:space="preserve">3.2 Engagement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Gamification: </w:t>
      </w:r>
      <w:r>
        <w:rPr>
          <w:rFonts w:ascii="Arial" w:cs="Arial" w:eastAsia="Arial" w:hAnsi="Arial"/>
          <w:sz w:val="20"/>
          <w:szCs w:val="20"/>
        </w:rPr>
        <w:t xml:space="preserve">XP, levels, badges, and a daily streak designed around loss aversion and variable rewards.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Progress Dashboard: </w:t>
      </w:r>
      <w:r>
        <w:rPr>
          <w:rFonts w:ascii="Arial" w:cs="Arial" w:eastAsia="Arial" w:hAnsi="Arial"/>
          <w:sz w:val="20"/>
          <w:szCs w:val="20"/>
        </w:rPr>
        <w:t xml:space="preserve">Visual mastery scores, streaks, completed lessons, and weak-topic highlights.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Territorial Progress: </w:t>
      </w:r>
      <w:r>
        <w:rPr>
          <w:rFonts w:ascii="Arial" w:cs="Arial" w:eastAsia="Arial" w:hAnsi="Arial"/>
          <w:sz w:val="20"/>
          <w:szCs w:val="20"/>
        </w:rPr>
        <w:t xml:space="preserve">Individual achievement is framed as community advancement — “You helped Lagos reach 14% algebra mastery” — turning study into shared purpose.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Social Sharing: </w:t>
      </w:r>
      <w:r>
        <w:rPr>
          <w:rFonts w:ascii="Arial" w:cs="Arial" w:eastAsia="Arial" w:hAnsi="Arial"/>
          <w:sz w:val="20"/>
          <w:szCs w:val="20"/>
        </w:rPr>
        <w:t xml:space="preserve">Shareable achievement cards for LinkedIn, X, and Instagram featuring badges and territorial contribution stats.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8AD1"/>
          <w:sz w:val="22"/>
          <w:szCs w:val="22"/>
        </w:rPr>
        <w:t xml:space="preserve">3.3 Access Features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Instant Anonymous Access: </w:t>
      </w:r>
      <w:r>
        <w:rPr>
          <w:rFonts w:ascii="Arial" w:cs="Arial" w:eastAsia="Arial" w:hAnsi="Arial"/>
          <w:sz w:val="20"/>
          <w:szCs w:val="20"/>
        </w:rPr>
        <w:t xml:space="preserve">Learning starts immediately in the browser with no signup; an optional account enables cloud sync.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Low-Bandwidth Design: </w:t>
      </w:r>
      <w:r>
        <w:rPr>
          <w:rFonts w:ascii="Arial" w:cs="Arial" w:eastAsia="Arial" w:hAnsi="Arial"/>
          <w:sz w:val="20"/>
          <w:szCs w:val="20"/>
        </w:rPr>
        <w:t xml:space="preserve">Text-first content, compressed media, and lightweight pages built for 2G/3G realities. (Full offline-first sync is on the roadmap, post-hackathon.)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 Hackathon MVP Scope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MVP is one complete, polished learner journey — not a feature tour.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W w:type="dxa" w:w="68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60-second onboarding capturing language and up to three interests • One pathway: “Foundations of Algebra” (5 lessons + quizzes) • Interest-anchored explanations across at least three domains (cooking, football, music) • Socratic tutor with native-language scaffolding • 8–12 misconception patterns • XP, levels, streak, badges • Dashboard with regional progress stat • Instant anonymous access</w:t>
            </w:r>
          </w:p>
        </w:tc>
      </w:tr>
      <w:tr>
        <w:tc>
          <w:tcPr>
            <w:tcW w:type="dxa" w:w="22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 (roadmap)</w:t>
            </w:r>
          </w:p>
        </w:tc>
        <w:tc>
          <w:tcPr>
            <w:tcW w:type="dxa" w:w="68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Offline-first sync • real leaderboards • QR/multi-device sync • RAG/vector database • payments and premium tier • B2B/teacher dashboards • real-time quiz battles • voice tutoring • native mobile apps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 Technology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0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426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Vite + Tailwind</w:t>
            </w:r>
          </w:p>
        </w:tc>
        <w:tc>
          <w:tcPr>
            <w:tcW w:type="dxa" w:w="34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build, mobile-first</w:t>
            </w:r>
          </w:p>
        </w:tc>
      </w:tr>
      <w:tr>
        <w:tc>
          <w:tcPr>
            <w:tcW w:type="dxa" w:w="2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Hosting</w:t>
            </w:r>
          </w:p>
        </w:tc>
        <w:tc>
          <w:tcPr>
            <w:tcW w:type="dxa" w:w="3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34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One-command deploys, global CDN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34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Users, lessons, progress, regional data</w:t>
            </w:r>
          </w:p>
        </w:tc>
      </w:tr>
      <w:tr>
        <w:tc>
          <w:tcPr>
            <w:tcW w:type="dxa" w:w="2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Tutor</w:t>
            </w:r>
          </w:p>
        </w:tc>
        <w:tc>
          <w:tcPr>
            <w:tcW w:type="dxa" w:w="3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 NIM (Llama 3.3 70B, Qwen 2.5 72B, Nemotron, Mistral)</w:t>
            </w:r>
          </w:p>
        </w:tc>
        <w:tc>
          <w:tcPr>
            <w:tcW w:type="dxa" w:w="34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hosted inference, OpenAI-compatible API, keys stay server-side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Resilience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Ranked model failover chain</w:t>
            </w:r>
          </w:p>
        </w:tc>
        <w:tc>
          <w:tcPr>
            <w:tcW w:type="dxa" w:w="34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tiers rate-limit. On 429/5xx/timeout the service steps to the next model and cools the failed one for 60 seconds, so the tutor never goes down mid-session.</w:t>
            </w:r>
          </w:p>
        </w:tc>
      </w:tr>
      <w:tr>
        <w:tc>
          <w:tcPr>
            <w:tcW w:type="dxa" w:w="2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Translation</w:t>
            </w:r>
          </w:p>
        </w:tc>
        <w:tc>
          <w:tcPr>
            <w:tcW w:type="dxa" w:w="3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Cloud Translate API</w:t>
            </w:r>
          </w:p>
        </w:tc>
        <w:tc>
          <w:tcPr>
            <w:tcW w:type="dxa" w:w="34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Llama-class models are weak on Yoruba and Shona. For those, the model reasons in English and Translate renders the learner-facing text — surfaced honestly in the UI.</w:t>
            </w:r>
          </w:p>
        </w:tc>
      </w:tr>
      <w:tr>
        <w:tc>
          <w:tcPr>
            <w:tcW w:type="dxa" w:w="2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3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Auth (anonymous)</w:t>
            </w:r>
          </w:p>
        </w:tc>
        <w:tc>
          <w:tcPr>
            <w:tcW w:type="dxa" w:w="34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Zero-friction instant access</w:t>
            </w:r>
          </w:p>
        </w:tc>
      </w:tr>
      <w:tr>
        <w:tc>
          <w:tcPr>
            <w:tcW w:type="dxa" w:w="2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dxa" w:w="33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 Analytics</w:t>
            </w:r>
          </w:p>
        </w:tc>
        <w:tc>
          <w:tcPr>
            <w:tcW w:type="dxa" w:w="34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+ learning event tracking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Architectural note: the tutor endpoint is deliberately platform-agnostic. It runs on Firebase Cloud Functions where the project is on the Blaze plan, and moves to a Cloudflare Worker with roughly fifteen lines of glue where it is not — the client only ever knows a single endpoint URL.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 Success Metrics (Demo Day)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526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End-to-end demo path</w:t>
            </w:r>
          </w:p>
        </w:tc>
        <w:tc>
          <w:tcPr>
            <w:tcW w:type="dxa" w:w="45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errors on a mobile screen</w:t>
            </w:r>
          </w:p>
        </w:tc>
      </w:tr>
      <w:tr>
        <w:tc>
          <w:tcPr>
            <w:tcW w:type="dxa" w:w="45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Socratic integrity</w:t>
            </w:r>
          </w:p>
        </w:tc>
        <w:tc>
          <w:tcPr>
            <w:tcW w:type="dxa" w:w="45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Tutor never yields a direct answer in testing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Misconception detection</w:t>
            </w:r>
          </w:p>
        </w:tc>
        <w:tc>
          <w:tcPr>
            <w:tcW w:type="dxa" w:w="45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Fires correctly on all scripted wrong answers</w:t>
            </w:r>
          </w:p>
        </w:tc>
      </w:tr>
      <w:tr>
        <w:tc>
          <w:tcPr>
            <w:tcW w:type="dxa" w:w="45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Lesson completion (beta testers)</w:t>
            </w:r>
          </w:p>
        </w:tc>
        <w:tc>
          <w:tcPr>
            <w:tcW w:type="dxa" w:w="452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≥60% complete Lesson 1→2</w:t>
            </w:r>
          </w:p>
        </w:tc>
      </w:tr>
      <w:tr>
        <w:tc>
          <w:tcPr>
            <w:tcW w:type="dxa" w:w="45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Demo video</w:t>
            </w:r>
          </w:p>
        </w:tc>
        <w:tc>
          <w:tcPr>
            <w:tcW w:type="dxa" w:w="452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≤2 minutes, shows both flagship features live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7. Team &amp; Roles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role owns files, not features — the repository enforces this separation so four people can build simultaneously without merge conflicts.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0"/>
        <w:gridCol w:w="2400"/>
        <w:gridCol w:w="2200"/>
        <w:gridCol w:w="2176"/>
      </w:tblGrid>
      <w:tr>
        <w:trPr>
          <w:tblHeader/>
        </w:trPr>
        <w:tc>
          <w:tcPr>
            <w:tcW w:type="dxa" w:w="225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 (code paths)</w:t>
            </w:r>
          </w:p>
        </w:tc>
        <w:tc>
          <w:tcPr>
            <w:tcW w:type="dxa" w:w="2200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Ships</w:t>
            </w:r>
          </w:p>
        </w:tc>
        <w:tc>
          <w:tcPr>
            <w:tcW w:type="dxa" w:w="2176"/>
            <w:shd w:fill="1F4E7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 — Frontend / UX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src/pages, src/components, styles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screen the judges see</w:t>
            </w:r>
          </w:p>
        </w:tc>
        <w:tc>
          <w:tcPr>
            <w:tcW w:type="dxa" w:w="217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Tobacco</w:t>
            </w:r>
          </w:p>
        </w:tc>
      </w:tr>
      <w:tr>
        <w:tc>
          <w:tcPr>
            <w:tcW w:type="dxa" w:w="225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 — AI Engineering</w:t>
            </w:r>
          </w:p>
        </w:tc>
        <w:tc>
          <w:tcPr>
            <w:tcW w:type="dxa" w:w="24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functions/, src/lib/tutor.js</w:t>
            </w:r>
          </w:p>
        </w:tc>
        <w:tc>
          <w:tcPr>
            <w:tcW w:type="dxa" w:w="22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Socratic tutor, interest anchoring, model failover</w:t>
            </w:r>
          </w:p>
        </w:tc>
        <w:tc>
          <w:tcPr>
            <w:tcW w:type="dxa" w:w="217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Makomborero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 — Content + Game Logic</w:t>
            </w:r>
          </w:p>
        </w:tc>
        <w:tc>
          <w:tcPr>
            <w:tcW w:type="dxa" w:w="24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src/data, src/lib/gamification.js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lessons, misconception library, XP and streaks</w:t>
            </w:r>
          </w:p>
        </w:tc>
        <w:tc>
          <w:tcPr>
            <w:tcW w:type="dxa" w:w="2176"/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Donnovan</w:t>
            </w:r>
          </w:p>
        </w:tc>
      </w:tr>
      <w:tr>
        <w:tc>
          <w:tcPr>
            <w:tcW w:type="dxa" w:w="225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 — Platform + Pitch</w:t>
            </w:r>
          </w:p>
        </w:tc>
        <w:tc>
          <w:tcPr>
            <w:tcW w:type="dxa" w:w="24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Firebase, store.js, deploys, repo</w:t>
            </w:r>
          </w:p>
        </w:tc>
        <w:tc>
          <w:tcPr>
            <w:tcW w:type="dxa" w:w="2200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Infrastructure and the 2-minute video (25% of score)</w:t>
            </w:r>
          </w:p>
        </w:tc>
        <w:tc>
          <w:tcPr>
            <w:tcW w:type="dxa" w:w="2176"/>
            <w:shd w:fill="F2F7FB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Adoni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Nobody is blocked on anybody: the application ships with a complete mock layer, so all four workstreams begin in hour one without Firebase, API keys, or each other’s code. The mocks are retained as the demo-day fallback.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8. Build Timeline (1.5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Day 1, first hour (all): </w:t>
      </w:r>
      <w:r>
        <w:rPr>
          <w:rFonts w:ascii="Arial" w:cs="Arial" w:eastAsia="Arial" w:hAnsi="Arial"/>
          <w:sz w:val="20"/>
          <w:szCs w:val="20"/>
        </w:rPr>
        <w:t xml:space="preserve">agree Firestore schema and API contracts; Firebase project live; storyboard the demo video before building.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Day 1: </w:t>
      </w:r>
      <w:r>
        <w:rPr>
          <w:rFonts w:ascii="Arial" w:cs="Arial" w:eastAsia="Arial" w:hAnsi="Arial"/>
          <w:sz w:val="20"/>
          <w:szCs w:val="20"/>
        </w:rPr>
        <w:t xml:space="preserve">onboarding → lesson → quiz working end-to-end with live data; first Socratic exchange working in a test harness; all 5 lessons written.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Day 2: </w:t>
      </w:r>
      <w:r>
        <w:rPr>
          <w:rFonts w:ascii="Arial" w:cs="Arial" w:eastAsia="Arial" w:hAnsi="Arial"/>
          <w:sz w:val="20"/>
          <w:szCs w:val="20"/>
        </w:rPr>
        <w:t xml:space="preserve">scaffolding + misconception patterns tuned; gamification and dashboard wired; full demo path works on a phone. Feature freeze at end of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Final half-day: </w:t>
      </w:r>
      <w:r>
        <w:rPr>
          <w:rFonts w:ascii="Arial" w:cs="Arial" w:eastAsia="Arial" w:hAnsi="Arial"/>
          <w:sz w:val="20"/>
          <w:szCs w:val="20"/>
        </w:rPr>
        <w:t xml:space="preserve">bug fixes on the demo path only; record and edit the 2-minute video; README and submission.</w:t>
      </w:r>
    </w:p>
    <w:p>
      <w:pPr>
        <w:spacing w:before="4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— End of Document —  Tinker BRD v2.1  |  Spiritus Agentic Solutions  |  27 July 2026</w:t>
      </w:r>
    </w:p>
    <w:sectPr>
      <w:headerReference w:type="default" r:id="rId7"/>
      <w:footerReference w:type="default" r:id="rId8"/>
      <w:pgSz w:w="11906" w:h="16838" w:orient="portrait"/>
      <w:pgMar w:top="16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utfit" w:cs="Outfit" w:eastAsia="Outfit" w:hAnsi="Outfit"/>
        <w:b/>
        <w:bCs/>
        <w:color w:val="008AD1"/>
        <w:spacing w:val="40"/>
        <w:sz w:val="14"/>
        <w:szCs w:val="14"/>
      </w:rPr>
      <w:t xml:space="preserve">CONTACT  |  info@spiritustec.com  |  www.spiritustec.com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513"/>
      <w:gridCol w:w="4513"/>
    </w:tblGrid>
    <w:tr>
      <w:tc>
        <w:tcPr>
          <w:tcW w:type="dxa" w:w="4513"/>
          <w:vAlign w:val="center"/>
        </w:tcPr>
        <w:p>
          <w:r>
            <w:drawing>
              <wp:inline distT="0" distB="0" distL="0" distR="0">
                <wp:extent cx="1143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vAlign w:val="center"/>
        </w:tcPr>
        <w:p>
          <w:pPr>
            <w:jc w:val="right"/>
          </w:pPr>
          <w:r>
            <w:rPr>
              <w:rFonts w:ascii="Outfit" w:cs="Outfit" w:eastAsia="Outfit" w:hAnsi="Outfit"/>
              <w:b/>
              <w:bCs/>
              <w:color w:val="008AD1"/>
              <w:sz w:val="19"/>
              <w:szCs w:val="19"/>
            </w:rPr>
            <w:t xml:space="preserve">AI, custom-built for African realities.</w:t>
          </w:r>
        </w:p>
      </w:tc>
    </w:tr>
  </w:tbl>
  <w:p>
    <w:pPr>
      <w:pBdr>
        <w:bottom w:val="single" w:color="008AD1" w:sz="6" w:space="4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d0c528927ed33ccfd605d5eb27ceff73d351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2026-07-28T02:06:33.336Z</dcterms:created>
  <dcterms:modified xsi:type="dcterms:W3CDTF">2026-07-28T02:06:33.337Z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