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Arial" w:cs="Arial" w:eastAsia="Arial" w:hAnsi="Arial"/>
          <w:b/>
          <w:bCs/>
          <w:color w:val="1F4E78"/>
          <w:sz w:val="56"/>
          <w:szCs w:val="56"/>
        </w:rPr>
        <w:t xml:space="preserve">SUBMISSION</w:t>
      </w:r>
    </w:p>
    <w:p>
      <w:pPr>
        <w:spacing w:after="60"/>
        <w:jc w:val="center"/>
      </w:pPr>
      <w:r>
        <w:rPr>
          <w:rFonts w:ascii="Arial" w:cs="Arial" w:eastAsia="Arial" w:hAnsi="Arial"/>
          <w:b/>
          <w:bCs/>
          <w:color w:val="008AD1"/>
          <w:sz w:val="26"/>
          <w:szCs w:val="26"/>
        </w:rPr>
        <w:t xml:space="preserve">Tinker — hackathon entry</w:t>
      </w:r>
    </w:p>
    <w:p>
      <w:pPr>
        <w:spacing w:after="320"/>
        <w:jc w:val="center"/>
      </w:pPr>
      <w:r>
        <w:rPr>
          <w:rFonts w:ascii="Arial" w:cs="Arial" w:eastAsia="Arial" w:hAnsi="Arial"/>
          <w:color w:val="595959"/>
          <w:sz w:val="20"/>
          <w:szCs w:val="20"/>
        </w:rPr>
        <w:t xml:space="preserve">Spiritus Agentic Solutions</w:t>
      </w:r>
    </w:p>
    <w:p>
      <w:pPr>
        <w:spacing w:after="120"/>
        <w:jc w:val="both"/>
      </w:pPr>
      <w:r>
        <w:rPr>
          <w:rFonts w:ascii="Arial" w:cs="Arial" w:eastAsia="Arial" w:hAnsi="Arial"/>
          <w:i/>
          <w:iCs/>
          <w:color w:val="595959"/>
          <w:sz w:val="20"/>
          <w:szCs w:val="20"/>
        </w:rPr>
        <w:t xml:space="preserve">Answers below map to the fields most hackathon forms ask for. Copy the ones your form needs. Anything in square brackets still needs a value from you.</w:t>
      </w:r>
    </w:p>
    <w:p>
      <w:pPr>
        <w:pStyle w:val="Heading1"/>
        <w:spacing w:after="140" w:before="320"/>
      </w:pPr>
      <w:r>
        <w:rPr>
          <w:rFonts w:ascii="Arial" w:cs="Arial" w:eastAsia="Arial" w:hAnsi="Arial"/>
          <w:b/>
          <w:bCs/>
          <w:color w:val="1F4E78"/>
          <w:sz w:val="26"/>
          <w:szCs w:val="26"/>
        </w:rPr>
        <w:t xml:space="preserve">The basics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26"/>
      </w:tblGrid>
      <w:tr>
        <w:trPr>
          <w:tblHeader/>
        </w:trPr>
        <w:tc>
          <w:tcPr>
            <w:tcW w:type="dxa" w:w="2600"/>
            <w:shd w:fill="1F4E78" w:val="clear"/>
            <w:vAlign w:val="center"/>
          </w:tcPr>
          <w:p>
            <w:pPr>
              <w:spacing w:after="40" w:before="40"/>
            </w:pPr>
            <w:r>
              <w:rPr>
                <w:rFonts w:ascii="Arial" w:cs="Arial" w:eastAsia="Arial" w:hAnsi="Arial"/>
                <w:b/>
                <w:bCs/>
                <w:color w:val="FFFFFF"/>
                <w:sz w:val="18"/>
                <w:szCs w:val="18"/>
              </w:rPr>
              <w:t xml:space="preserve">Field</w:t>
            </w:r>
          </w:p>
        </w:tc>
        <w:tc>
          <w:tcPr>
            <w:tcW w:type="dxa" w:w="6426"/>
            <w:shd w:fill="1F4E78" w:val="clear"/>
            <w:vAlign w:val="center"/>
          </w:tcPr>
          <w:p>
            <w:pPr>
              <w:spacing w:after="40" w:before="40"/>
            </w:pPr>
            <w:r>
              <w:rPr>
                <w:rFonts w:ascii="Arial" w:cs="Arial" w:eastAsia="Arial" w:hAnsi="Arial"/>
                <w:b/>
                <w:bCs/>
                <w:color w:val="FFFFFF"/>
                <w:sz w:val="18"/>
                <w:szCs w:val="18"/>
              </w:rPr>
              <w:t xml:space="preserve">Answer</w:t>
            </w:r>
          </w:p>
        </w:tc>
      </w:tr>
      <w:tr>
        <w:tc>
          <w:tcPr>
            <w:tcW w:type="dxa" w:w="2600"/>
            <w:shd w:fill="FFFFFF" w:val="clear"/>
          </w:tcPr>
          <w:p>
            <w:pPr>
              <w:spacing w:after="40" w:before="40"/>
            </w:pPr>
            <w:r>
              <w:rPr>
                <w:rFonts w:ascii="Arial" w:cs="Arial" w:eastAsia="Arial" w:hAnsi="Arial"/>
                <w:b/>
                <w:bCs/>
                <w:sz w:val="18"/>
                <w:szCs w:val="18"/>
              </w:rPr>
              <w:t xml:space="preserve">Project name</w:t>
            </w:r>
          </w:p>
        </w:tc>
        <w:tc>
          <w:tcPr>
            <w:tcW w:type="dxa" w:w="6426"/>
            <w:shd w:fill="FFFFFF" w:val="clear"/>
          </w:tcPr>
          <w:p>
            <w:pPr>
              <w:spacing w:after="40" w:before="40"/>
            </w:pPr>
            <w:r>
              <w:rPr>
                <w:rFonts w:ascii="Arial" w:cs="Arial" w:eastAsia="Arial" w:hAnsi="Arial"/>
                <w:b w:val="false"/>
                <w:bCs w:val="false"/>
                <w:sz w:val="18"/>
                <w:szCs w:val="18"/>
              </w:rPr>
              <w:t xml:space="preserve">Tinker</w:t>
            </w:r>
          </w:p>
        </w:tc>
      </w:tr>
      <w:tr>
        <w:tc>
          <w:tcPr>
            <w:tcW w:type="dxa" w:w="2600"/>
            <w:shd w:fill="F2F7FB" w:val="clear"/>
          </w:tcPr>
          <w:p>
            <w:pPr>
              <w:spacing w:after="40" w:before="40"/>
            </w:pPr>
            <w:r>
              <w:rPr>
                <w:rFonts w:ascii="Arial" w:cs="Arial" w:eastAsia="Arial" w:hAnsi="Arial"/>
                <w:b/>
                <w:bCs/>
                <w:sz w:val="18"/>
                <w:szCs w:val="18"/>
              </w:rPr>
              <w:t xml:space="preserve">Tagline</w:t>
            </w:r>
          </w:p>
        </w:tc>
        <w:tc>
          <w:tcPr>
            <w:tcW w:type="dxa" w:w="6426"/>
            <w:shd w:fill="F2F7FB" w:val="clear"/>
          </w:tcPr>
          <w:p>
            <w:pPr>
              <w:spacing w:after="40" w:before="40"/>
            </w:pPr>
            <w:r>
              <w:rPr>
                <w:rFonts w:ascii="Arial" w:cs="Arial" w:eastAsia="Arial" w:hAnsi="Arial"/>
                <w:b w:val="false"/>
                <w:bCs w:val="false"/>
                <w:sz w:val="18"/>
                <w:szCs w:val="18"/>
              </w:rPr>
              <w:t xml:space="preserve">Learn in the language you think in, through what you already know.</w:t>
            </w:r>
          </w:p>
        </w:tc>
      </w:tr>
      <w:tr>
        <w:tc>
          <w:tcPr>
            <w:tcW w:type="dxa" w:w="2600"/>
            <w:shd w:fill="FFFFFF" w:val="clear"/>
          </w:tcPr>
          <w:p>
            <w:pPr>
              <w:spacing w:after="40" w:before="40"/>
            </w:pPr>
            <w:r>
              <w:rPr>
                <w:rFonts w:ascii="Arial" w:cs="Arial" w:eastAsia="Arial" w:hAnsi="Arial"/>
                <w:b/>
                <w:bCs/>
                <w:sz w:val="18"/>
                <w:szCs w:val="18"/>
              </w:rPr>
              <w:t xml:space="preserve">Live demo</w:t>
            </w:r>
          </w:p>
        </w:tc>
        <w:tc>
          <w:tcPr>
            <w:tcW w:type="dxa" w:w="6426"/>
            <w:shd w:fill="FFFFFF" w:val="clear"/>
          </w:tcPr>
          <w:p>
            <w:pPr>
              <w:spacing w:after="40" w:before="40"/>
            </w:pPr>
            <w:r>
              <w:rPr>
                <w:rFonts w:ascii="Arial" w:cs="Arial" w:eastAsia="Arial" w:hAnsi="Arial"/>
                <w:b w:val="false"/>
                <w:bCs w:val="false"/>
                <w:sz w:val="18"/>
                <w:szCs w:val="18"/>
              </w:rPr>
              <w:t xml:space="preserve">https://tinkersas.web.app</w:t>
            </w:r>
          </w:p>
        </w:tc>
      </w:tr>
      <w:tr>
        <w:tc>
          <w:tcPr>
            <w:tcW w:type="dxa" w:w="2600"/>
            <w:shd w:fill="F2F7FB" w:val="clear"/>
          </w:tcPr>
          <w:p>
            <w:pPr>
              <w:spacing w:after="40" w:before="40"/>
            </w:pPr>
            <w:r>
              <w:rPr>
                <w:rFonts w:ascii="Arial" w:cs="Arial" w:eastAsia="Arial" w:hAnsi="Arial"/>
                <w:b/>
                <w:bCs/>
                <w:sz w:val="18"/>
                <w:szCs w:val="18"/>
              </w:rPr>
              <w:t xml:space="preserve">Source code</w:t>
            </w:r>
          </w:p>
        </w:tc>
        <w:tc>
          <w:tcPr>
            <w:tcW w:type="dxa" w:w="6426"/>
            <w:shd w:fill="F2F7FB" w:val="clear"/>
          </w:tcPr>
          <w:p>
            <w:pPr>
              <w:spacing w:after="40" w:before="40"/>
            </w:pPr>
            <w:r>
              <w:rPr>
                <w:rFonts w:ascii="Arial" w:cs="Arial" w:eastAsia="Arial" w:hAnsi="Arial"/>
                <w:b w:val="false"/>
                <w:bCs w:val="false"/>
                <w:sz w:val="18"/>
                <w:szCs w:val="18"/>
              </w:rPr>
              <w:t xml:space="preserve">https://github.com/Adonis278/Tinker</w:t>
            </w:r>
          </w:p>
        </w:tc>
      </w:tr>
      <w:tr>
        <w:tc>
          <w:tcPr>
            <w:tcW w:type="dxa" w:w="2600"/>
            <w:shd w:fill="FFFFFF" w:val="clear"/>
          </w:tcPr>
          <w:p>
            <w:pPr>
              <w:spacing w:after="40" w:before="40"/>
            </w:pPr>
            <w:r>
              <w:rPr>
                <w:rFonts w:ascii="Arial" w:cs="Arial" w:eastAsia="Arial" w:hAnsi="Arial"/>
                <w:b/>
                <w:bCs/>
                <w:sz w:val="18"/>
                <w:szCs w:val="18"/>
              </w:rPr>
              <w:t xml:space="preserve">Demo video</w:t>
            </w:r>
          </w:p>
        </w:tc>
        <w:tc>
          <w:tcPr>
            <w:tcW w:type="dxa" w:w="6426"/>
            <w:shd w:fill="FFFFFF" w:val="clear"/>
          </w:tcPr>
          <w:p>
            <w:pPr>
              <w:spacing w:after="40" w:before="40"/>
            </w:pPr>
            <w:r>
              <w:rPr>
                <w:rFonts w:ascii="Arial" w:cs="Arial" w:eastAsia="Arial" w:hAnsi="Arial"/>
                <w:b w:val="false"/>
                <w:bCs w:val="false"/>
                <w:sz w:val="18"/>
                <w:szCs w:val="18"/>
              </w:rPr>
              <w:t xml:space="preserve">[paste your video link]</w:t>
            </w:r>
          </w:p>
        </w:tc>
      </w:tr>
      <w:tr>
        <w:tc>
          <w:tcPr>
            <w:tcW w:type="dxa" w:w="2600"/>
            <w:shd w:fill="F2F7FB" w:val="clear"/>
          </w:tcPr>
          <w:p>
            <w:pPr>
              <w:spacing w:after="40" w:before="40"/>
            </w:pPr>
            <w:r>
              <w:rPr>
                <w:rFonts w:ascii="Arial" w:cs="Arial" w:eastAsia="Arial" w:hAnsi="Arial"/>
                <w:b/>
                <w:bCs/>
                <w:sz w:val="18"/>
                <w:szCs w:val="18"/>
              </w:rPr>
              <w:t xml:space="preserve">Team</w:t>
            </w:r>
          </w:p>
        </w:tc>
        <w:tc>
          <w:tcPr>
            <w:tcW w:type="dxa" w:w="6426"/>
            <w:shd w:fill="F2F7FB" w:val="clear"/>
          </w:tcPr>
          <w:p>
            <w:pPr>
              <w:spacing w:after="40" w:before="40"/>
            </w:pPr>
            <w:r>
              <w:rPr>
                <w:rFonts w:ascii="Arial" w:cs="Arial" w:eastAsia="Arial" w:hAnsi="Arial"/>
                <w:b w:val="false"/>
                <w:bCs w:val="false"/>
                <w:sz w:val="18"/>
                <w:szCs w:val="18"/>
              </w:rPr>
              <w:t xml:space="preserve">Adonis (platform &amp; pitch), Tobacco (frontend), Makomborero (AI), Donnovan (content)</w:t>
            </w:r>
          </w:p>
        </w:tc>
      </w:tr>
      <w:tr>
        <w:tc>
          <w:tcPr>
            <w:tcW w:type="dxa" w:w="2600"/>
            <w:shd w:fill="FFFFFF" w:val="clear"/>
          </w:tcPr>
          <w:p>
            <w:pPr>
              <w:spacing w:after="40" w:before="40"/>
            </w:pPr>
            <w:r>
              <w:rPr>
                <w:rFonts w:ascii="Arial" w:cs="Arial" w:eastAsia="Arial" w:hAnsi="Arial"/>
                <w:b/>
                <w:bCs/>
                <w:sz w:val="18"/>
                <w:szCs w:val="18"/>
              </w:rPr>
              <w:t xml:space="preserve">Built by</w:t>
            </w:r>
          </w:p>
        </w:tc>
        <w:tc>
          <w:tcPr>
            <w:tcW w:type="dxa" w:w="6426"/>
            <w:shd w:fill="FFFFFF" w:val="clear"/>
          </w:tcPr>
          <w:p>
            <w:pPr>
              <w:spacing w:after="40" w:before="40"/>
            </w:pPr>
            <w:r>
              <w:rPr>
                <w:rFonts w:ascii="Arial" w:cs="Arial" w:eastAsia="Arial" w:hAnsi="Arial"/>
                <w:b w:val="false"/>
                <w:bCs w:val="false"/>
                <w:sz w:val="18"/>
                <w:szCs w:val="18"/>
              </w:rPr>
              <w:t xml:space="preserve">Spiritus Agentic Solutions</w:t>
            </w:r>
          </w:p>
        </w:tc>
      </w:tr>
    </w:tbl>
    <w:p>
      <w:pPr>
        <w:pStyle w:val="Heading1"/>
        <w:spacing w:after="140" w:before="320"/>
      </w:pPr>
      <w:r>
        <w:rPr>
          <w:rFonts w:ascii="Arial" w:cs="Arial" w:eastAsia="Arial" w:hAnsi="Arial"/>
          <w:b/>
          <w:bCs/>
          <w:color w:val="1F4E78"/>
          <w:sz w:val="26"/>
          <w:szCs w:val="26"/>
        </w:rPr>
        <w:t xml:space="preserve">What it does</w:t>
      </w:r>
    </w:p>
    <w:p>
      <w:pPr>
        <w:spacing w:after="120"/>
        <w:jc w:val="both"/>
      </w:pPr>
      <w:r>
        <w:rPr>
          <w:rFonts w:ascii="Arial" w:cs="Arial" w:eastAsia="Arial" w:hAnsi="Arial"/>
          <w:sz w:val="20"/>
          <w:szCs w:val="20"/>
        </w:rPr>
        <w:t xml:space="preserve">Tinker is an AI learning companion that teaches any topic through two things the learner already owns: the language they think in, and a subject they already know well.</w:t>
      </w:r>
    </w:p>
    <w:p>
      <w:pPr>
        <w:spacing w:after="120"/>
        <w:jc w:val="both"/>
      </w:pPr>
      <w:r>
        <w:rPr>
          <w:rFonts w:ascii="Arial" w:cs="Arial" w:eastAsia="Arial" w:hAnsi="Arial"/>
          <w:sz w:val="20"/>
          <w:szCs w:val="20"/>
        </w:rPr>
        <w:t xml:space="preserve">You tell it what you want to learn, and you can attach your own notes or a chapter. Tinker indexes that material, builds a lesson plan from it, and explains each idea inside a world you already navigate confidently — cooking, football, farming, or anything you type yourself. Every answer shows which passage of your material it came from.</w:t>
      </w:r>
    </w:p>
    <w:p>
      <w:pPr>
        <w:spacing w:after="120"/>
        <w:jc w:val="both"/>
      </w:pPr>
      <w:r>
        <w:rPr>
          <w:rFonts w:ascii="Arial" w:cs="Arial" w:eastAsia="Arial" w:hAnsi="Arial"/>
          <w:sz w:val="20"/>
          <w:szCs w:val="20"/>
        </w:rPr>
        <w:t xml:space="preserve">The tutor is engineered to refuse to give answers. Ask it to just tell you and it will not, every time. It asks a better question instead, and when you get something wrong it names the misconception rather than marking you down.</w:t>
      </w:r>
    </w:p>
    <w:p>
      <w:pPr>
        <w:pStyle w:val="Heading1"/>
        <w:spacing w:after="140" w:before="320"/>
      </w:pPr>
      <w:r>
        <w:rPr>
          <w:rFonts w:ascii="Arial" w:cs="Arial" w:eastAsia="Arial" w:hAnsi="Arial"/>
          <w:b/>
          <w:bCs/>
          <w:color w:val="1F4E78"/>
          <w:sz w:val="26"/>
          <w:szCs w:val="26"/>
        </w:rPr>
        <w:t xml:space="preserve">The problem</w:t>
      </w:r>
    </w:p>
    <w:p>
      <w:pPr>
        <w:spacing w:after="120"/>
        <w:jc w:val="both"/>
      </w:pPr>
      <w:r>
        <w:rPr>
          <w:rFonts w:ascii="Arial" w:cs="Arial" w:eastAsia="Arial" w:hAnsi="Arial"/>
          <w:sz w:val="20"/>
          <w:szCs w:val="20"/>
        </w:rPr>
        <w:t xml:space="preserve">Millions of learners are taught in a language they do not think in, using examples from a world they have never seen, by systems that reward answer-getting over understanding. So they memorise, pass, and forget — or hand the work to an AI that answers for them and teaches them nothing.</w:t>
      </w:r>
    </w:p>
    <w:p>
      <w:pPr>
        <w:spacing w:after="120"/>
        <w:jc w:val="both"/>
      </w:pPr>
      <w:r>
        <w:rPr>
          <w:rFonts w:ascii="Arial" w:cs="Arial" w:eastAsia="Arial" w:hAnsi="Arial"/>
          <w:sz w:val="20"/>
          <w:szCs w:val="20"/>
        </w:rPr>
        <w:t xml:space="preserve">A learner in rural Zimbabwe meets probability through cricket averages and ratios through a train timetable between two English cities, in a language they are still translating in their head. Existing tools translate the words, or hand over the answer. Neither starts from what the learner already knows.</w:t>
      </w:r>
    </w:p>
    <w:p>
      <w:pPr>
        <w:pStyle w:val="Heading1"/>
        <w:spacing w:after="140" w:before="320"/>
      </w:pPr>
      <w:r>
        <w:rPr>
          <w:rFonts w:ascii="Arial" w:cs="Arial" w:eastAsia="Arial" w:hAnsi="Arial"/>
          <w:b/>
          <w:bCs/>
          <w:color w:val="1F4E78"/>
          <w:sz w:val="26"/>
          <w:szCs w:val="26"/>
        </w:rPr>
        <w:t xml:space="preserve">Creative use of AI/ML</w:t>
      </w:r>
    </w:p>
    <w:p>
      <w:pPr>
        <w:pStyle w:val="ListParagraph"/>
        <w:numPr>
          <w:ilvl w:val="0"/>
          <w:numId w:val="2"/>
        </w:numPr>
        <w:spacing w:after="80"/>
      </w:pPr>
      <w:r>
        <w:rPr>
          <w:rFonts w:ascii="Arial" w:cs="Arial" w:eastAsia="Arial" w:hAnsi="Arial"/>
          <w:b/>
          <w:bCs/>
          <w:color w:val="1F4E78"/>
          <w:sz w:val="20"/>
          <w:szCs w:val="20"/>
        </w:rPr>
        <w:t xml:space="preserve">Retrieval over the learner’s own material. </w:t>
      </w:r>
      <w:r>
        <w:rPr>
          <w:rFonts w:ascii="Arial" w:cs="Arial" w:eastAsia="Arial" w:hAnsi="Arial"/>
          <w:sz w:val="20"/>
          <w:szCs w:val="20"/>
        </w:rPr>
        <w:t xml:space="preserve">Uploaded text is chunked, embedded with NVIDIA retrieval models, and ranked by cosine similarity at query time. Answers cite the passage they used, and an off-topic question returns no passages rather than the least-bad one.</w:t>
      </w:r>
    </w:p>
    <w:p>
      <w:pPr>
        <w:pStyle w:val="ListParagraph"/>
        <w:numPr>
          <w:ilvl w:val="0"/>
          <w:numId w:val="2"/>
        </w:numPr>
        <w:spacing w:after="80"/>
      </w:pPr>
      <w:r>
        <w:rPr>
          <w:rFonts w:ascii="Arial" w:cs="Arial" w:eastAsia="Arial" w:hAnsi="Arial"/>
          <w:b/>
          <w:bCs/>
          <w:color w:val="1F4E78"/>
          <w:sz w:val="20"/>
          <w:szCs w:val="20"/>
        </w:rPr>
        <w:t xml:space="preserve">Interest anchoring. </w:t>
      </w:r>
      <w:r>
        <w:rPr>
          <w:rFonts w:ascii="Arial" w:cs="Arial" w:eastAsia="Arial" w:hAnsi="Arial"/>
          <w:sz w:val="20"/>
          <w:szCs w:val="20"/>
        </w:rPr>
        <w:t xml:space="preserve">The model is instructed to relocate a concept into a domain the learner already knows, and to say where the analogy stops holding. This is why the AI is not decorative: no content library can be pre-written for every language crossed with every learner’s passion crossed with their own notes.</w:t>
      </w:r>
    </w:p>
    <w:p>
      <w:pPr>
        <w:pStyle w:val="ListParagraph"/>
        <w:numPr>
          <w:ilvl w:val="0"/>
          <w:numId w:val="2"/>
        </w:numPr>
        <w:spacing w:after="80"/>
      </w:pPr>
      <w:r>
        <w:rPr>
          <w:rFonts w:ascii="Arial" w:cs="Arial" w:eastAsia="Arial" w:hAnsi="Arial"/>
          <w:b/>
          <w:bCs/>
          <w:color w:val="1F4E78"/>
          <w:sz w:val="20"/>
          <w:szCs w:val="20"/>
        </w:rPr>
        <w:t xml:space="preserve">Socratic resistance. </w:t>
      </w:r>
      <w:r>
        <w:rPr>
          <w:rFonts w:ascii="Arial" w:cs="Arial" w:eastAsia="Arial" w:hAnsi="Arial"/>
          <w:sz w:val="20"/>
          <w:szCs w:val="20"/>
        </w:rPr>
        <w:t xml:space="preserve">A hardened system prompt refuses direct answers, holds its identity against instruction-override attempts, and escalates through a hint ladder instead of capitulating.</w:t>
      </w:r>
    </w:p>
    <w:p>
      <w:pPr>
        <w:pStyle w:val="ListParagraph"/>
        <w:numPr>
          <w:ilvl w:val="0"/>
          <w:numId w:val="2"/>
        </w:numPr>
        <w:spacing w:after="80"/>
      </w:pPr>
      <w:r>
        <w:rPr>
          <w:rFonts w:ascii="Arial" w:cs="Arial" w:eastAsia="Arial" w:hAnsi="Arial"/>
          <w:b/>
          <w:bCs/>
          <w:color w:val="1F4E78"/>
          <w:sz w:val="20"/>
          <w:szCs w:val="20"/>
        </w:rPr>
        <w:t xml:space="preserve">Misconception detection. </w:t>
      </w:r>
      <w:r>
        <w:rPr>
          <w:rFonts w:ascii="Arial" w:cs="Arial" w:eastAsia="Arial" w:hAnsi="Arial"/>
          <w:sz w:val="20"/>
          <w:szCs w:val="20"/>
        </w:rPr>
        <w:t xml:space="preserve">Wrong answers are matched against a library of observable error patterns so the tutor can name the misunderstanding.</w:t>
      </w:r>
    </w:p>
    <w:p>
      <w:pPr>
        <w:pStyle w:val="Heading1"/>
        <w:spacing w:after="140" w:before="320"/>
      </w:pPr>
      <w:r>
        <w:rPr>
          <w:rFonts w:ascii="Arial" w:cs="Arial" w:eastAsia="Arial" w:hAnsi="Arial"/>
          <w:b/>
          <w:bCs/>
          <w:color w:val="1F4E78"/>
          <w:sz w:val="26"/>
          <w:szCs w:val="26"/>
        </w:rPr>
        <w:t xml:space="preserve">How we built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26"/>
      </w:tblGrid>
      <w:tr>
        <w:trPr>
          <w:tblHeader/>
        </w:trPr>
        <w:tc>
          <w:tcPr>
            <w:tcW w:type="dxa" w:w="2600"/>
            <w:shd w:fill="1F4E78" w:val="clear"/>
            <w:vAlign w:val="center"/>
          </w:tcPr>
          <w:p>
            <w:pPr>
              <w:spacing w:after="40" w:before="40"/>
            </w:pPr>
            <w:r>
              <w:rPr>
                <w:rFonts w:ascii="Arial" w:cs="Arial" w:eastAsia="Arial" w:hAnsi="Arial"/>
                <w:b/>
                <w:bCs/>
                <w:color w:val="FFFFFF"/>
                <w:sz w:val="18"/>
                <w:szCs w:val="18"/>
              </w:rPr>
              <w:t xml:space="preserve">Layer</w:t>
            </w:r>
          </w:p>
        </w:tc>
        <w:tc>
          <w:tcPr>
            <w:tcW w:type="dxa" w:w="6426"/>
            <w:shd w:fill="1F4E78" w:val="clear"/>
            <w:vAlign w:val="center"/>
          </w:tcPr>
          <w:p>
            <w:pPr>
              <w:spacing w:after="40" w:before="40"/>
            </w:pPr>
            <w:r>
              <w:rPr>
                <w:rFonts w:ascii="Arial" w:cs="Arial" w:eastAsia="Arial" w:hAnsi="Arial"/>
                <w:b/>
                <w:bCs/>
                <w:color w:val="FFFFFF"/>
                <w:sz w:val="18"/>
                <w:szCs w:val="18"/>
              </w:rPr>
              <w:t xml:space="preserve">Choice</w:t>
            </w:r>
          </w:p>
        </w:tc>
      </w:tr>
      <w:tr>
        <w:tc>
          <w:tcPr>
            <w:tcW w:type="dxa" w:w="2600"/>
            <w:shd w:fill="FFFFFF" w:val="clear"/>
          </w:tcPr>
          <w:p>
            <w:pPr>
              <w:spacing w:after="40" w:before="40"/>
            </w:pPr>
            <w:r>
              <w:rPr>
                <w:rFonts w:ascii="Arial" w:cs="Arial" w:eastAsia="Arial" w:hAnsi="Arial"/>
                <w:b/>
                <w:bCs/>
                <w:sz w:val="18"/>
                <w:szCs w:val="18"/>
              </w:rPr>
              <w:t xml:space="preserve">Frontend</w:t>
            </w:r>
          </w:p>
        </w:tc>
        <w:tc>
          <w:tcPr>
            <w:tcW w:type="dxa" w:w="6426"/>
            <w:shd w:fill="FFFFFF" w:val="clear"/>
          </w:tcPr>
          <w:p>
            <w:pPr>
              <w:spacing w:after="40" w:before="40"/>
            </w:pPr>
            <w:r>
              <w:rPr>
                <w:rFonts w:ascii="Arial" w:cs="Arial" w:eastAsia="Arial" w:hAnsi="Arial"/>
                <w:b w:val="false"/>
                <w:bCs w:val="false"/>
                <w:sz w:val="18"/>
                <w:szCs w:val="18"/>
              </w:rPr>
              <w:t xml:space="preserve">React, Vite, Tailwind — mobile-first, responsive to desktop</w:t>
            </w:r>
          </w:p>
        </w:tc>
      </w:tr>
      <w:tr>
        <w:tc>
          <w:tcPr>
            <w:tcW w:type="dxa" w:w="2600"/>
            <w:shd w:fill="F2F7FB" w:val="clear"/>
          </w:tcPr>
          <w:p>
            <w:pPr>
              <w:spacing w:after="40" w:before="40"/>
            </w:pPr>
            <w:r>
              <w:rPr>
                <w:rFonts w:ascii="Arial" w:cs="Arial" w:eastAsia="Arial" w:hAnsi="Arial"/>
                <w:b/>
                <w:bCs/>
                <w:sz w:val="18"/>
                <w:szCs w:val="18"/>
              </w:rPr>
              <w:t xml:space="preserve">Hosting</w:t>
            </w:r>
          </w:p>
        </w:tc>
        <w:tc>
          <w:tcPr>
            <w:tcW w:type="dxa" w:w="6426"/>
            <w:shd w:fill="F2F7FB" w:val="clear"/>
          </w:tcPr>
          <w:p>
            <w:pPr>
              <w:spacing w:after="40" w:before="40"/>
            </w:pPr>
            <w:r>
              <w:rPr>
                <w:rFonts w:ascii="Arial" w:cs="Arial" w:eastAsia="Arial" w:hAnsi="Arial"/>
                <w:b w:val="false"/>
                <w:bCs w:val="false"/>
                <w:sz w:val="18"/>
                <w:szCs w:val="18"/>
              </w:rPr>
              <w:t xml:space="preserve">Firebase Hosting</w:t>
            </w:r>
          </w:p>
        </w:tc>
      </w:tr>
      <w:tr>
        <w:tc>
          <w:tcPr>
            <w:tcW w:type="dxa" w:w="2600"/>
            <w:shd w:fill="FFFFFF" w:val="clear"/>
          </w:tcPr>
          <w:p>
            <w:pPr>
              <w:spacing w:after="40" w:before="40"/>
            </w:pPr>
            <w:r>
              <w:rPr>
                <w:rFonts w:ascii="Arial" w:cs="Arial" w:eastAsia="Arial" w:hAnsi="Arial"/>
                <w:b/>
                <w:bCs/>
                <w:sz w:val="18"/>
                <w:szCs w:val="18"/>
              </w:rPr>
              <w:t xml:space="preserve">Data</w:t>
            </w:r>
          </w:p>
        </w:tc>
        <w:tc>
          <w:tcPr>
            <w:tcW w:type="dxa" w:w="6426"/>
            <w:shd w:fill="FFFFFF" w:val="clear"/>
          </w:tcPr>
          <w:p>
            <w:pPr>
              <w:spacing w:after="40" w:before="40"/>
            </w:pPr>
            <w:r>
              <w:rPr>
                <w:rFonts w:ascii="Arial" w:cs="Arial" w:eastAsia="Arial" w:hAnsi="Arial"/>
                <w:b w:val="false"/>
                <w:bCs w:val="false"/>
                <w:sz w:val="18"/>
                <w:szCs w:val="18"/>
              </w:rPr>
              <w:t xml:space="preserve">Cloud Firestore behind a local-first cache</w:t>
            </w:r>
          </w:p>
        </w:tc>
      </w:tr>
      <w:tr>
        <w:tc>
          <w:tcPr>
            <w:tcW w:type="dxa" w:w="2600"/>
            <w:shd w:fill="F2F7FB" w:val="clear"/>
          </w:tcPr>
          <w:p>
            <w:pPr>
              <w:spacing w:after="40" w:before="40"/>
            </w:pPr>
            <w:r>
              <w:rPr>
                <w:rFonts w:ascii="Arial" w:cs="Arial" w:eastAsia="Arial" w:hAnsi="Arial"/>
                <w:b/>
                <w:bCs/>
                <w:sz w:val="18"/>
                <w:szCs w:val="18"/>
              </w:rPr>
              <w:t xml:space="preserve">Auth</w:t>
            </w:r>
          </w:p>
        </w:tc>
        <w:tc>
          <w:tcPr>
            <w:tcW w:type="dxa" w:w="6426"/>
            <w:shd w:fill="F2F7FB" w:val="clear"/>
          </w:tcPr>
          <w:p>
            <w:pPr>
              <w:spacing w:after="40" w:before="40"/>
            </w:pPr>
            <w:r>
              <w:rPr>
                <w:rFonts w:ascii="Arial" w:cs="Arial" w:eastAsia="Arial" w:hAnsi="Arial"/>
                <w:b w:val="false"/>
                <w:bCs w:val="false"/>
                <w:sz w:val="18"/>
                <w:szCs w:val="18"/>
              </w:rPr>
              <w:t xml:space="preserve">Firebase Auth — anonymous by default, Google sign-in links to it</w:t>
            </w:r>
          </w:p>
        </w:tc>
      </w:tr>
      <w:tr>
        <w:tc>
          <w:tcPr>
            <w:tcW w:type="dxa" w:w="2600"/>
            <w:shd w:fill="FFFFFF" w:val="clear"/>
          </w:tcPr>
          <w:p>
            <w:pPr>
              <w:spacing w:after="40" w:before="40"/>
            </w:pPr>
            <w:r>
              <w:rPr>
                <w:rFonts w:ascii="Arial" w:cs="Arial" w:eastAsia="Arial" w:hAnsi="Arial"/>
                <w:b/>
                <w:bCs/>
                <w:sz w:val="18"/>
                <w:szCs w:val="18"/>
              </w:rPr>
              <w:t xml:space="preserve">Tutor</w:t>
            </w:r>
          </w:p>
        </w:tc>
        <w:tc>
          <w:tcPr>
            <w:tcW w:type="dxa" w:w="6426"/>
            <w:shd w:fill="FFFFFF" w:val="clear"/>
          </w:tcPr>
          <w:p>
            <w:pPr>
              <w:spacing w:after="40" w:before="40"/>
            </w:pPr>
            <w:r>
              <w:rPr>
                <w:rFonts w:ascii="Arial" w:cs="Arial" w:eastAsia="Arial" w:hAnsi="Arial"/>
                <w:b w:val="false"/>
                <w:bCs w:val="false"/>
                <w:sz w:val="18"/>
                <w:szCs w:val="18"/>
              </w:rPr>
              <w:t xml:space="preserve">NVIDIA NIM chat models, OpenAI-compatible</w:t>
            </w:r>
          </w:p>
        </w:tc>
      </w:tr>
      <w:tr>
        <w:tc>
          <w:tcPr>
            <w:tcW w:type="dxa" w:w="2600"/>
            <w:shd w:fill="F2F7FB" w:val="clear"/>
          </w:tcPr>
          <w:p>
            <w:pPr>
              <w:spacing w:after="40" w:before="40"/>
            </w:pPr>
            <w:r>
              <w:rPr>
                <w:rFonts w:ascii="Arial" w:cs="Arial" w:eastAsia="Arial" w:hAnsi="Arial"/>
                <w:b/>
                <w:bCs/>
                <w:sz w:val="18"/>
                <w:szCs w:val="18"/>
              </w:rPr>
              <w:t xml:space="preserve">Retrieval</w:t>
            </w:r>
          </w:p>
        </w:tc>
        <w:tc>
          <w:tcPr>
            <w:tcW w:type="dxa" w:w="6426"/>
            <w:shd w:fill="F2F7FB" w:val="clear"/>
          </w:tcPr>
          <w:p>
            <w:pPr>
              <w:spacing w:after="40" w:before="40"/>
            </w:pPr>
            <w:r>
              <w:rPr>
                <w:rFonts w:ascii="Arial" w:cs="Arial" w:eastAsia="Arial" w:hAnsi="Arial"/>
                <w:b w:val="false"/>
                <w:bCs w:val="false"/>
                <w:sz w:val="18"/>
                <w:szCs w:val="18"/>
              </w:rPr>
              <w:t xml:space="preserve">NVIDIA embeddings + in-process cosine similarity</w:t>
            </w:r>
          </w:p>
        </w:tc>
      </w:tr>
      <w:tr>
        <w:tc>
          <w:tcPr>
            <w:tcW w:type="dxa" w:w="2600"/>
            <w:shd w:fill="FFFFFF" w:val="clear"/>
          </w:tcPr>
          <w:p>
            <w:pPr>
              <w:spacing w:after="40" w:before="40"/>
            </w:pPr>
            <w:r>
              <w:rPr>
                <w:rFonts w:ascii="Arial" w:cs="Arial" w:eastAsia="Arial" w:hAnsi="Arial"/>
                <w:b/>
                <w:bCs/>
                <w:sz w:val="18"/>
                <w:szCs w:val="18"/>
              </w:rPr>
              <w:t xml:space="preserve">Resilience</w:t>
            </w:r>
          </w:p>
        </w:tc>
        <w:tc>
          <w:tcPr>
            <w:tcW w:type="dxa" w:w="6426"/>
            <w:shd w:fill="FFFFFF" w:val="clear"/>
          </w:tcPr>
          <w:p>
            <w:pPr>
              <w:spacing w:after="40" w:before="40"/>
            </w:pPr>
            <w:r>
              <w:rPr>
                <w:rFonts w:ascii="Arial" w:cs="Arial" w:eastAsia="Arial" w:hAnsi="Arial"/>
                <w:b w:val="false"/>
                <w:bCs w:val="false"/>
                <w:sz w:val="18"/>
                <w:szCs w:val="18"/>
              </w:rPr>
              <w:t xml:space="preserve">Ranked model failover with cooldowns</w:t>
            </w:r>
          </w:p>
        </w:tc>
      </w:tr>
      <w:tr>
        <w:tc>
          <w:tcPr>
            <w:tcW w:type="dxa" w:w="2600"/>
            <w:shd w:fill="F2F7FB" w:val="clear"/>
          </w:tcPr>
          <w:p>
            <w:pPr>
              <w:spacing w:after="40" w:before="40"/>
            </w:pPr>
            <w:r>
              <w:rPr>
                <w:rFonts w:ascii="Arial" w:cs="Arial" w:eastAsia="Arial" w:hAnsi="Arial"/>
                <w:b/>
                <w:bCs/>
                <w:sz w:val="18"/>
                <w:szCs w:val="18"/>
              </w:rPr>
              <w:t xml:space="preserve">Analytics</w:t>
            </w:r>
          </w:p>
        </w:tc>
        <w:tc>
          <w:tcPr>
            <w:tcW w:type="dxa" w:w="6426"/>
            <w:shd w:fill="F2F7FB" w:val="clear"/>
          </w:tcPr>
          <w:p>
            <w:pPr>
              <w:spacing w:after="40" w:before="40"/>
            </w:pPr>
            <w:r>
              <w:rPr>
                <w:rFonts w:ascii="Arial" w:cs="Arial" w:eastAsia="Arial" w:hAnsi="Arial"/>
                <w:b w:val="false"/>
                <w:bCs w:val="false"/>
                <w:sz w:val="18"/>
                <w:szCs w:val="18"/>
              </w:rPr>
              <w:t xml:space="preserve">Firebase Analytics on learning events</w:t>
            </w:r>
          </w:p>
        </w:tc>
      </w:tr>
    </w:tbl>
    <w:p>
      <w:pPr>
        <w:pStyle w:val="Heading1"/>
        <w:spacing w:after="140" w:before="320"/>
      </w:pPr>
      <w:r>
        <w:rPr>
          <w:rFonts w:ascii="Arial" w:cs="Arial" w:eastAsia="Arial" w:hAnsi="Arial"/>
          <w:b/>
          <w:bCs/>
          <w:color w:val="1F4E78"/>
          <w:sz w:val="26"/>
          <w:szCs w:val="26"/>
        </w:rPr>
        <w:t xml:space="preserve">Challenges we ran into</w:t>
      </w:r>
    </w:p>
    <w:p>
      <w:pPr>
        <w:pStyle w:val="ListParagraph"/>
        <w:numPr>
          <w:ilvl w:val="0"/>
          <w:numId w:val="2"/>
        </w:numPr>
        <w:spacing w:after="80"/>
      </w:pPr>
      <w:r>
        <w:rPr>
          <w:rFonts w:ascii="Arial" w:cs="Arial" w:eastAsia="Arial" w:hAnsi="Arial"/>
          <w:b/>
          <w:bCs/>
          <w:color w:val="1F4E78"/>
          <w:sz w:val="20"/>
          <w:szCs w:val="20"/>
        </w:rPr>
        <w:t xml:space="preserve">Four of five model IDs were dead. </w:t>
      </w:r>
      <w:r>
        <w:rPr>
          <w:rFonts w:ascii="Arial" w:cs="Arial" w:eastAsia="Arial" w:hAnsi="Arial"/>
          <w:sz w:val="20"/>
          <w:szCs w:val="20"/>
        </w:rPr>
        <w:t xml:space="preserve">We assumed the chain worked. Testing each against a real Socratic prompt showed most 404’d or returned 503 under free-tier load. We now ship a script that re-verifies the chain in one command.</w:t>
      </w:r>
    </w:p>
    <w:p>
      <w:pPr>
        <w:pStyle w:val="ListParagraph"/>
        <w:numPr>
          <w:ilvl w:val="0"/>
          <w:numId w:val="2"/>
        </w:numPr>
        <w:spacing w:after="80"/>
      </w:pPr>
      <w:r>
        <w:rPr>
          <w:rFonts w:ascii="Arial" w:cs="Arial" w:eastAsia="Arial" w:hAnsi="Arial"/>
          <w:b/>
          <w:bCs/>
          <w:color w:val="1F4E78"/>
          <w:sz w:val="20"/>
          <w:szCs w:val="20"/>
        </w:rPr>
        <w:t xml:space="preserve">The weakest model kept winning. </w:t>
      </w:r>
      <w:r>
        <w:rPr>
          <w:rFonts w:ascii="Arial" w:cs="Arial" w:eastAsia="Arial" w:hAnsi="Arial"/>
          <w:sz w:val="20"/>
          <w:szCs w:val="20"/>
        </w:rPr>
        <w:t xml:space="preserve">Course generation exceeded the timeout on every capable model, so the smallest fallback answered — producing fluent but wrong content. Shrinking the job let a good model finish.</w:t>
      </w:r>
    </w:p>
    <w:p>
      <w:pPr>
        <w:pStyle w:val="ListParagraph"/>
        <w:numPr>
          <w:ilvl w:val="0"/>
          <w:numId w:val="2"/>
        </w:numPr>
        <w:spacing w:after="80"/>
      </w:pPr>
      <w:r>
        <w:rPr>
          <w:rFonts w:ascii="Arial" w:cs="Arial" w:eastAsia="Arial" w:hAnsi="Arial"/>
          <w:b/>
          <w:bCs/>
          <w:color w:val="1F4E78"/>
          <w:sz w:val="20"/>
          <w:szCs w:val="20"/>
        </w:rPr>
        <w:t xml:space="preserve">Chunk size decided retrieval quality. </w:t>
      </w:r>
      <w:r>
        <w:rPr>
          <w:rFonts w:ascii="Arial" w:cs="Arial" w:eastAsia="Arial" w:hAnsi="Arial"/>
          <w:sz w:val="20"/>
          <w:szCs w:val="20"/>
        </w:rPr>
        <w:t xml:space="preserve">At 900 characters a five-paragraph handout collapsed into two chunks and a question about planting density retrieved the passage on leaf colour. One paragraph per chunk fixed it.</w:t>
      </w:r>
    </w:p>
    <w:p>
      <w:pPr>
        <w:pStyle w:val="ListParagraph"/>
        <w:numPr>
          <w:ilvl w:val="0"/>
          <w:numId w:val="2"/>
        </w:numPr>
        <w:spacing w:after="80"/>
      </w:pPr>
      <w:r>
        <w:rPr>
          <w:rFonts w:ascii="Arial" w:cs="Arial" w:eastAsia="Arial" w:hAnsi="Arial"/>
          <w:b/>
          <w:bCs/>
          <w:color w:val="1F4E78"/>
          <w:sz w:val="20"/>
          <w:szCs w:val="20"/>
        </w:rPr>
        <w:t xml:space="preserve">A caching bug hid every deploy. </w:t>
      </w:r>
      <w:r>
        <w:rPr>
          <w:rFonts w:ascii="Arial" w:cs="Arial" w:eastAsia="Arial" w:hAnsi="Arial"/>
          <w:sz w:val="20"/>
          <w:szCs w:val="20"/>
        </w:rPr>
        <w:t xml:space="preserve">Our SPA entry point inherited a one-hour cache, so fixes did not reach anyone who had already visited. Firebase header rules match the request path, and every route is rewritten to index.html rather than requested by name.</w:t>
      </w:r>
    </w:p>
    <w:p>
      <w:pPr>
        <w:pStyle w:val="ListParagraph"/>
        <w:numPr>
          <w:ilvl w:val="0"/>
          <w:numId w:val="2"/>
        </w:numPr>
        <w:spacing w:after="80"/>
      </w:pPr>
      <w:r>
        <w:rPr>
          <w:rFonts w:ascii="Arial" w:cs="Arial" w:eastAsia="Arial" w:hAnsi="Arial"/>
          <w:b/>
          <w:bCs/>
          <w:color w:val="1F4E78"/>
          <w:sz w:val="20"/>
          <w:szCs w:val="20"/>
        </w:rPr>
        <w:t xml:space="preserve">Most of the gamification was never wired up. </w:t>
      </w:r>
      <w:r>
        <w:rPr>
          <w:rFonts w:ascii="Arial" w:cs="Arial" w:eastAsia="Arial" w:hAnsi="Arial"/>
          <w:sz w:val="20"/>
          <w:szCs w:val="20"/>
        </w:rPr>
        <w:t xml:space="preserve">An audit found the streak frozen at one and three of five badges testing fields nothing ever wrote. Written logic is not working logic.</w:t>
      </w:r>
    </w:p>
    <w:p>
      <w:pPr>
        <w:pStyle w:val="Heading1"/>
        <w:spacing w:after="140" w:before="320"/>
      </w:pPr>
      <w:r>
        <w:rPr>
          <w:rFonts w:ascii="Arial" w:cs="Arial" w:eastAsia="Arial" w:hAnsi="Arial"/>
          <w:b/>
          <w:bCs/>
          <w:color w:val="1F4E78"/>
          <w:sz w:val="26"/>
          <w:szCs w:val="26"/>
        </w:rPr>
        <w:t xml:space="preserve">What we are proud of</w:t>
      </w:r>
    </w:p>
    <w:p>
      <w:pPr>
        <w:pStyle w:val="ListParagraph"/>
        <w:numPr>
          <w:ilvl w:val="0"/>
          <w:numId w:val="2"/>
        </w:numPr>
        <w:spacing w:after="80"/>
      </w:pPr>
      <w:r>
        <w:rPr>
          <w:rFonts w:ascii="Arial" w:cs="Arial" w:eastAsia="Arial" w:hAnsi="Arial"/>
          <w:sz w:val="20"/>
          <w:szCs w:val="20"/>
        </w:rPr>
        <w:t xml:space="preserve">Retrieval that admits when it does not know: an off-topic question returns zero passages rather than inventing an answer around the closest match.</w:t>
      </w:r>
    </w:p>
    <w:p>
      <w:pPr>
        <w:pStyle w:val="ListParagraph"/>
        <w:numPr>
          <w:ilvl w:val="0"/>
          <w:numId w:val="2"/>
        </w:numPr>
        <w:spacing w:after="80"/>
      </w:pPr>
      <w:r>
        <w:rPr>
          <w:rFonts w:ascii="Arial" w:cs="Arial" w:eastAsia="Arial" w:hAnsi="Arial"/>
          <w:sz w:val="20"/>
          <w:szCs w:val="20"/>
        </w:rPr>
        <w:t xml:space="preserve">A tutor that holds its line under pressure, including direct instruction-override attempts.</w:t>
      </w:r>
    </w:p>
    <w:p>
      <w:pPr>
        <w:pStyle w:val="ListParagraph"/>
        <w:numPr>
          <w:ilvl w:val="0"/>
          <w:numId w:val="2"/>
        </w:numPr>
        <w:spacing w:after="80"/>
      </w:pPr>
      <w:r>
        <w:rPr>
          <w:rFonts w:ascii="Arial" w:cs="Arial" w:eastAsia="Arial" w:hAnsi="Arial"/>
          <w:sz w:val="20"/>
          <w:szCs w:val="20"/>
        </w:rPr>
        <w:t xml:space="preserve">A free-text option for what you already know, so the ten preset domains are not a ceiling on whose expertise counts.</w:t>
      </w:r>
    </w:p>
    <w:p>
      <w:pPr>
        <w:pStyle w:val="ListParagraph"/>
        <w:numPr>
          <w:ilvl w:val="0"/>
          <w:numId w:val="2"/>
        </w:numPr>
        <w:spacing w:after="80"/>
      </w:pPr>
      <w:r>
        <w:rPr>
          <w:rFonts w:ascii="Arial" w:cs="Arial" w:eastAsia="Arial" w:hAnsi="Arial"/>
          <w:sz w:val="20"/>
          <w:szCs w:val="20"/>
        </w:rPr>
        <w:t xml:space="preserve">An app that runs fully on mocks with no keys, so any teammate could start in five minutes — and which doubles as the demo-day safety net.</w:t>
      </w:r>
    </w:p>
    <w:p>
      <w:pPr>
        <w:pStyle w:val="Heading1"/>
        <w:spacing w:after="140" w:before="320"/>
      </w:pPr>
      <w:r>
        <w:rPr>
          <w:rFonts w:ascii="Arial" w:cs="Arial" w:eastAsia="Arial" w:hAnsi="Arial"/>
          <w:b/>
          <w:bCs/>
          <w:color w:val="1F4E78"/>
          <w:sz w:val="26"/>
          <w:szCs w:val="26"/>
        </w:rPr>
        <w:t xml:space="preserve">What we learned</w:t>
      </w:r>
    </w:p>
    <w:p>
      <w:pPr>
        <w:spacing w:after="120"/>
        <w:jc w:val="both"/>
      </w:pPr>
      <w:r>
        <w:rPr>
          <w:rFonts w:ascii="Arial" w:cs="Arial" w:eastAsia="Arial" w:hAnsi="Arial"/>
          <w:sz w:val="20"/>
          <w:szCs w:val="20"/>
        </w:rPr>
        <w:t xml:space="preserve">Verify, do not assume. Almost every real problem in this build was invisible until something was actually run against the live service — the dead models, the fallback winning, the chunk size, the cache header, the disconnected game logic. Each looked fine in the code.</w:t>
      </w:r>
    </w:p>
    <w:p>
      <w:pPr>
        <w:pStyle w:val="Heading1"/>
        <w:spacing w:after="140" w:before="320"/>
      </w:pPr>
      <w:r>
        <w:rPr>
          <w:rFonts w:ascii="Arial" w:cs="Arial" w:eastAsia="Arial" w:hAnsi="Arial"/>
          <w:b/>
          <w:bCs/>
          <w:color w:val="1F4E78"/>
          <w:sz w:val="26"/>
          <w:szCs w:val="26"/>
        </w:rPr>
        <w:t xml:space="preserve">What is next</w:t>
      </w:r>
    </w:p>
    <w:p>
      <w:pPr>
        <w:pStyle w:val="ListParagraph"/>
        <w:numPr>
          <w:ilvl w:val="0"/>
          <w:numId w:val="2"/>
        </w:numPr>
        <w:spacing w:after="80"/>
      </w:pPr>
      <w:r>
        <w:rPr>
          <w:rFonts w:ascii="Arial" w:cs="Arial" w:eastAsia="Arial" w:hAnsi="Arial"/>
          <w:sz w:val="20"/>
          <w:szCs w:val="20"/>
        </w:rPr>
        <w:t xml:space="preserve">Full offline-first sync with service workers, for genuinely intermittent connectivity.</w:t>
      </w:r>
    </w:p>
    <w:p>
      <w:pPr>
        <w:pStyle w:val="ListParagraph"/>
        <w:numPr>
          <w:ilvl w:val="0"/>
          <w:numId w:val="2"/>
        </w:numPr>
        <w:spacing w:after="80"/>
      </w:pPr>
      <w:r>
        <w:rPr>
          <w:rFonts w:ascii="Arial" w:cs="Arial" w:eastAsia="Arial" w:hAnsi="Arial"/>
          <w:sz w:val="20"/>
          <w:szCs w:val="20"/>
        </w:rPr>
        <w:t xml:space="preserve">Configure Google Translate so the Yoruba and Shona pivot path produces those languages rather than falling back to English.</w:t>
      </w:r>
    </w:p>
    <w:p>
      <w:pPr>
        <w:pStyle w:val="ListParagraph"/>
        <w:numPr>
          <w:ilvl w:val="0"/>
          <w:numId w:val="2"/>
        </w:numPr>
        <w:spacing w:after="80"/>
      </w:pPr>
      <w:r>
        <w:rPr>
          <w:rFonts w:ascii="Arial" w:cs="Arial" w:eastAsia="Arial" w:hAnsi="Arial"/>
          <w:sz w:val="20"/>
          <w:szCs w:val="20"/>
        </w:rPr>
        <w:t xml:space="preserve">Teacher view: which misconceptions are most common across a class.</w:t>
      </w:r>
    </w:p>
    <w:p>
      <w:pPr>
        <w:pStyle w:val="ListParagraph"/>
        <w:numPr>
          <w:ilvl w:val="0"/>
          <w:numId w:val="2"/>
        </w:numPr>
        <w:spacing w:after="80"/>
      </w:pPr>
      <w:r>
        <w:rPr>
          <w:rFonts w:ascii="Arial" w:cs="Arial" w:eastAsia="Arial" w:hAnsi="Arial"/>
          <w:sz w:val="20"/>
          <w:szCs w:val="20"/>
        </w:rPr>
        <w:t xml:space="preserve">WhatsApp delivery, so the tutor reaches learners with no smartphone.</w:t>
      </w:r>
    </w:p>
    <w:p>
      <w:pPr>
        <w:pStyle w:val="Heading1"/>
        <w:spacing w:after="140" w:before="320"/>
      </w:pPr>
      <w:r>
        <w:rPr>
          <w:rFonts w:ascii="Arial" w:cs="Arial" w:eastAsia="Arial" w:hAnsi="Arial"/>
          <w:b/>
          <w:bCs/>
          <w:color w:val="1F4E78"/>
          <w:sz w:val="26"/>
          <w:szCs w:val="26"/>
        </w:rPr>
        <w:t xml:space="preserve">Honest limitations</w:t>
      </w:r>
    </w:p>
    <w:p>
      <w:pPr>
        <w:spacing w:after="120"/>
        <w:jc w:val="both"/>
      </w:pPr>
      <w:r>
        <w:rPr>
          <w:rFonts w:ascii="Arial" w:cs="Arial" w:eastAsia="Arial" w:hAnsi="Arial"/>
          <w:i/>
          <w:iCs/>
          <w:color w:val="595959"/>
          <w:sz w:val="20"/>
          <w:szCs w:val="20"/>
        </w:rPr>
        <w:t xml:space="preserve">Worth stating plainly rather than being caught by a judge:</w:t>
      </w:r>
    </w:p>
    <w:p>
      <w:pPr>
        <w:pStyle w:val="ListParagraph"/>
        <w:numPr>
          <w:ilvl w:val="0"/>
          <w:numId w:val="2"/>
        </w:numPr>
        <w:spacing w:after="80"/>
      </w:pPr>
      <w:r>
        <w:rPr>
          <w:rFonts w:ascii="Arial" w:cs="Arial" w:eastAsia="Arial" w:hAnsi="Arial"/>
          <w:sz w:val="20"/>
          <w:szCs w:val="20"/>
        </w:rPr>
        <w:t xml:space="preserve">Kiswahili, Hindi and English are handled directly by the models. Yoruba and Shona are designed to route through Google Translate, which is not configured yet, so they currently return English.</w:t>
      </w:r>
    </w:p>
    <w:p>
      <w:pPr>
        <w:pStyle w:val="ListParagraph"/>
        <w:numPr>
          <w:ilvl w:val="0"/>
          <w:numId w:val="2"/>
        </w:numPr>
        <w:spacing w:after="80"/>
      </w:pPr>
      <w:r>
        <w:rPr>
          <w:rFonts w:ascii="Arial" w:cs="Arial" w:eastAsia="Arial" w:hAnsi="Arial"/>
          <w:sz w:val="20"/>
          <w:szCs w:val="20"/>
        </w:rPr>
        <w:t xml:space="preserve">Course generation takes 25–50 seconds on free-tier inference.</w:t>
      </w:r>
    </w:p>
    <w:p>
      <w:pPr>
        <w:pStyle w:val="ListParagraph"/>
        <w:numPr>
          <w:ilvl w:val="0"/>
          <w:numId w:val="2"/>
        </w:numPr>
        <w:spacing w:after="80"/>
      </w:pPr>
      <w:r>
        <w:rPr>
          <w:rFonts w:ascii="Arial" w:cs="Arial" w:eastAsia="Arial" w:hAnsi="Arial"/>
          <w:sz w:val="20"/>
          <w:szCs w:val="20"/>
        </w:rPr>
        <w:t xml:space="preserve">Regional progress figures are representative sample data, not live aggregates.</w:t>
      </w:r>
    </w:p>
    <w:p>
      <w:pPr>
        <w:spacing w:before="400"/>
        <w:jc w:val="center"/>
      </w:pPr>
      <w:r>
        <w:rPr>
          <w:rFonts w:ascii="Arial" w:cs="Arial" w:eastAsia="Arial" w:hAnsi="Arial"/>
          <w:color w:val="808080"/>
          <w:sz w:val="18"/>
          <w:szCs w:val="18"/>
        </w:rPr>
        <w:t xml:space="preserve">— Tinker Submission  |  Spiritus Agentic Solutions —</w:t>
      </w:r>
    </w:p>
    <w:sectPr>
      <w:headerReference w:type="default" r:id="rId7"/>
      <w:footerReference w:type="default" r:id="rId8"/>
      <w:pgSz w:w="11906" w:h="16838" w:orient="portrait"/>
      <w:pgMar w:top="16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Outfit" w:cs="Outfit" w:eastAsia="Outfit" w:hAnsi="Outfit"/>
        <w:b/>
        <w:bCs/>
        <w:color w:val="008AD1"/>
        <w:spacing w:val="40"/>
        <w:sz w:val="14"/>
        <w:szCs w:val="14"/>
      </w:rPr>
      <w:t xml:space="preserve">CONTACT  |  info@spiritustec.com  |  www.spiritustec.com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vAlign w:val="center"/>
        </w:tcPr>
        <w:p>
          <w:r>
            <w:drawing>
              <wp:inline distT="0" distB="0" distL="0" distR="0">
                <wp:extent cx="1143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81000"/>
                        </a:xfrm>
                        <a:prstGeom prst="rect">
                          <a:avLst/>
                        </a:prstGeom>
                      </pic:spPr>
                    </pic:pic>
                  </a:graphicData>
                </a:graphic>
              </wp:inline>
            </w:drawing>
          </w:r>
        </w:p>
      </w:tc>
      <w:tc>
        <w:tcPr>
          <w:tcW w:type="dxa" w:w="4513"/>
          <w:vAlign w:val="center"/>
        </w:tcPr>
        <w:p>
          <w:pPr>
            <w:jc w:val="right"/>
          </w:pPr>
          <w:r>
            <w:rPr>
              <w:rFonts w:ascii="Outfit" w:cs="Outfit" w:eastAsia="Outfit" w:hAnsi="Outfit"/>
              <w:b/>
              <w:bCs/>
              <w:color w:val="008AD1"/>
              <w:sz w:val="19"/>
              <w:szCs w:val="19"/>
            </w:rPr>
            <w:t xml:space="preserve">AI, custom-built for African realities.</w:t>
          </w:r>
        </w:p>
      </w:tc>
    </w:tr>
  </w:tbl>
  <w:p>
    <w:pPr>
      <w:pBdr>
        <w:bottom w:val="single" w:color="008AD1" w:sz="6" w:space="4"/>
      </w:pBd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dd0c528927ed33ccfd605d5eb27ceff73d351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2026-07-31T02:59:18.214Z</dcterms:created>
  <dcterms:modified xsi:type="dcterms:W3CDTF">2026-07-31T02:59:18.214Z</dcterms:modified>
</cp:coreProperties>
</file>

<file path=docProps/custom.xml><?xml version="1.0" encoding="utf-8"?>
<Properties xmlns="http://schemas.openxmlformats.org/officeDocument/2006/custom-properties" xmlns:vt="http://schemas.openxmlformats.org/officeDocument/2006/docPropsVTypes"/>
</file>