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ind w:hanging="0" w:left="0"/>
        <w:jc w:val="right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  <w:t>{{gmina}}</w:t>
      </w:r>
      <w:r>
        <w:rPr>
          <w:rFonts w:cs="Arial" w:ascii="Arial" w:hAnsi="Arial"/>
          <w:sz w:val="24"/>
        </w:rPr>
        <w:t>, dnia {{today}} r.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{{znak_sprawy}}.2026</w:t>
      </w:r>
    </w:p>
    <w:p>
      <w:pPr>
        <w:pStyle w:val="Heading1"/>
        <w:numPr>
          <w:ilvl w:val="0"/>
          <w:numId w:val="1"/>
        </w:numPr>
        <w:tabs>
          <w:tab w:val="clear" w:pos="708"/>
        </w:tabs>
        <w:jc w:val="left"/>
        <w:rPr>
          <w:rFonts w:ascii="Arial" w:hAnsi="Arial" w:cs="Arial"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</w:rPr>
      </w:pPr>
      <w:bookmarkStart w:id="0" w:name="_Hlk217994764"/>
      <w:bookmarkEnd w:id="0"/>
      <w:r>
        <w:rPr>
          <w:rFonts w:cs="Arial" w:ascii="Arial" w:hAnsi="Arial"/>
          <w:b/>
          <w:bCs/>
        </w:rPr>
        <w:t xml:space="preserve">ANALIZA </w:t>
      </w:r>
      <w:r>
        <w:rPr>
          <w:rFonts w:cs="Arial" w:ascii="Arial" w:hAnsi="Arial"/>
          <w:b/>
        </w:rPr>
        <w:t>CECH ZABUDOWY I ZAGOSPODAROWANIA TERENU</w:t>
      </w:r>
    </w:p>
    <w:p>
      <w:pPr>
        <w:pStyle w:val="Normal"/>
        <w:jc w:val="center"/>
        <w:rPr>
          <w:rFonts w:ascii="Arial" w:hAnsi="Arial" w:cs="Arial"/>
          <w:iCs/>
          <w:lang w:val="x-none"/>
        </w:rPr>
      </w:pPr>
      <w:r>
        <w:rPr>
          <w:rFonts w:cs="Arial" w:ascii="Arial" w:hAnsi="Arial"/>
          <w:iCs/>
          <w:lang w:val="x-none"/>
        </w:rPr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8355" w:leader="none"/>
        </w:tabs>
        <w:ind w:hanging="284" w:left="284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Podstawa opracowania:</w:t>
      </w:r>
    </w:p>
    <w:p>
      <w:pPr>
        <w:pStyle w:val="Normal"/>
        <w:numPr>
          <w:ilvl w:val="0"/>
          <w:numId w:val="28"/>
        </w:numPr>
        <w:suppressAutoHyphens w:val="false"/>
        <w:ind w:hanging="284"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Art. 4 pkt 2, art. 13a ust. 5, art. 59 ust. 1, art. 60, art. 61 ust. 1 i 5a, art. 64 ust. 1 ustawy z dnia 27 marca 2003 roku o planowaniu i zagospodarowaniu przestrzennym (Dz. U. z 2026 r. poz. 538 z późn. zm.), zwana dalej u.p.z.p.</w:t>
      </w:r>
    </w:p>
    <w:p>
      <w:pPr>
        <w:pStyle w:val="Normal"/>
        <w:numPr>
          <w:ilvl w:val="0"/>
          <w:numId w:val="29"/>
        </w:numPr>
        <w:suppressAutoHyphens w:val="false"/>
        <w:ind w:hanging="284"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 xml:space="preserve">Rozporządzenie </w:t>
      </w:r>
      <w:bookmarkStart w:id="1" w:name="_Hlk174105105"/>
      <w:r>
        <w:rPr>
          <w:rFonts w:cs="Arial" w:ascii="Arial" w:hAnsi="Arial"/>
          <w:bCs/>
        </w:rPr>
        <w:t>Ministra Rozwoju i Technologii z 15 lipca 2024 r. w sprawie sposobu ustalania wymagań dotyczących nowej zabudowy i zagospodarowania terenu w przypadku braku miejscowego planu zagospodarowania przestrzennego (Dz.U. z 2024 r. poz. 1116</w:t>
      </w:r>
      <w:bookmarkEnd w:id="1"/>
      <w:r>
        <w:rPr>
          <w:rFonts w:cs="Arial" w:ascii="Arial" w:hAnsi="Arial"/>
          <w:bCs/>
        </w:rPr>
        <w:t>), zwane dalej rozporządzeniem.</w:t>
      </w:r>
    </w:p>
    <w:p>
      <w:pPr>
        <w:pStyle w:val="Normal"/>
        <w:numPr>
          <w:ilvl w:val="0"/>
          <w:numId w:val="30"/>
        </w:numPr>
        <w:suppressAutoHyphens w:val="false"/>
        <w:ind w:hanging="284"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Rozporządzenie Ministra Infrastruktury z 26 sierpnia 2003 r. w sprawie oznaczeń i nazewnictwa stosowanych w decyzji o ustaleniu lokalizacji inwestycji celu publicznego oraz w decyzji o warunkach zabudowy (Dz.U. Nr 164 poz. 1589).</w:t>
      </w:r>
    </w:p>
    <w:p>
      <w:pPr>
        <w:pStyle w:val="Normal"/>
        <w:numPr>
          <w:ilvl w:val="0"/>
          <w:numId w:val="31"/>
        </w:numPr>
        <w:suppressAutoHyphens w:val="false"/>
        <w:ind w:hanging="284"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</w:rPr>
        <w:t>Plan ogólny Gminy Miasto Ostrów Wielkopolski zatw. uchwałą Nr XXVIII/284/2026 Rady Miejskiej Ostrowa Wielkopolskiego (ogł. w Dzienniku Urzędowym Województwa Wielkopolskiego z dnia 7 lipca 2026 r. poz. 5273), zwany dalej planem ogólnym.</w:t>
      </w:r>
    </w:p>
    <w:p>
      <w:pPr>
        <w:pStyle w:val="Normal"/>
        <w:numPr>
          <w:ilvl w:val="0"/>
          <w:numId w:val="32"/>
        </w:numPr>
        <w:suppressAutoHyphens w:val="false"/>
        <w:ind w:hanging="284"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Wniosek o wydanie decyzji o warunkach zabudowy z dnia {{data_wniosku}} r.</w:t>
      </w:r>
    </w:p>
    <w:p>
      <w:pPr>
        <w:pStyle w:val="Normal"/>
        <w:numPr>
          <w:ilvl w:val="0"/>
          <w:numId w:val="33"/>
        </w:numPr>
        <w:suppressAutoHyphens w:val="false"/>
        <w:ind w:hanging="284"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Inwentaryzacja terenu.</w:t>
      </w:r>
    </w:p>
    <w:p>
      <w:pPr>
        <w:pStyle w:val="Normal"/>
        <w:numPr>
          <w:ilvl w:val="0"/>
          <w:numId w:val="34"/>
        </w:numPr>
        <w:suppressAutoHyphens w:val="false"/>
        <w:ind w:hanging="284"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 xml:space="preserve">Umowa nr </w:t>
      </w:r>
    </w:p>
    <w:p>
      <w:pPr>
        <w:pStyle w:val="Normal"/>
        <w:ind w:left="964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0"/>
        </w:numPr>
        <w:spacing w:before="0" w:after="0"/>
        <w:ind w:hanging="284" w:left="28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  <w:b/>
        </w:rPr>
        <w:t>Wnioskodawca:</w:t>
      </w:r>
      <w:r>
        <w:rPr>
          <w:rFonts w:cs="Arial" w:ascii="Arial" w:hAnsi="Arial"/>
        </w:rPr>
        <w:t xml:space="preserve"> 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0"/>
        </w:numPr>
        <w:tabs>
          <w:tab w:val="clear" w:pos="708"/>
          <w:tab w:val="right" w:pos="5670" w:leader="none"/>
        </w:tabs>
        <w:ind w:hanging="284" w:left="284"/>
        <w:jc w:val="both"/>
        <w:rPr>
          <w:rFonts w:ascii="Arial" w:hAnsi="Arial" w:cs="Arial"/>
        </w:rPr>
      </w:pPr>
      <w:r>
        <w:rPr>
          <w:rFonts w:cs="Arial" w:ascii="Arial" w:hAnsi="Arial"/>
          <w:b/>
        </w:rPr>
        <w:t>Nazwa inwestycji:</w:t>
      </w:r>
      <w:r>
        <w:rPr>
          <w:rFonts w:cs="Arial" w:ascii="Arial" w:hAnsi="Arial"/>
        </w:rPr>
        <w:t xml:space="preserve"> {{Nazwa_inwestycji}}, przewidziana do realizacji na działce działkach nr {{nr_dzialki}} (obręb {{nr_obrebu}}), położonej położonych w </w:t>
      </w:r>
      <w:r>
        <w:rPr>
          <w:rFonts w:cs="Arial" w:ascii="Arial" w:hAnsi="Arial"/>
        </w:rPr>
        <w:t>{{gmina}}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0"/>
        </w:numPr>
        <w:ind w:hanging="284" w:left="284"/>
        <w:jc w:val="both"/>
        <w:rPr>
          <w:rFonts w:ascii="Arial" w:hAnsi="Arial" w:cs="Arial"/>
        </w:rPr>
      </w:pPr>
      <w:r>
        <w:rPr>
          <w:rFonts w:cs="Arial" w:ascii="Arial" w:hAnsi="Arial"/>
          <w:b/>
        </w:rPr>
        <w:t>Rodzaj zabudowy:</w:t>
      </w:r>
      <w:r>
        <w:rPr>
          <w:rFonts w:cs="Arial" w:ascii="Arial" w:hAnsi="Arial"/>
        </w:rPr>
        <w:t xml:space="preserve"> zabudowa {{Rodzaj_zabudowy}}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0"/>
        </w:numPr>
        <w:ind w:hanging="284" w:left="284"/>
        <w:jc w:val="both"/>
        <w:rPr>
          <w:rFonts w:ascii="Arial" w:hAnsi="Arial" w:cs="Arial"/>
        </w:rPr>
      </w:pPr>
      <w:r>
        <w:rPr>
          <w:rFonts w:cs="Arial" w:ascii="Arial" w:hAnsi="Arial"/>
          <w:b/>
        </w:rPr>
        <w:t>Analiza graficzna:</w:t>
      </w:r>
      <w:r>
        <w:rPr>
          <w:rFonts w:cs="Arial" w:ascii="Arial" w:hAnsi="Arial"/>
          <w:b/>
          <w:bCs/>
        </w:rPr>
        <w:t xml:space="preserve"> </w:t>
      </w:r>
    </w:p>
    <w:p>
      <w:pPr>
        <w:pStyle w:val="Normal"/>
        <w:numPr>
          <w:ilvl w:val="1"/>
          <w:numId w:val="35"/>
        </w:numPr>
        <w:tabs>
          <w:tab w:val="clear" w:pos="708"/>
          <w:tab w:val="left" w:pos="1843" w:leader="none"/>
        </w:tabs>
        <w:spacing w:before="0" w:after="0"/>
        <w:ind w:hanging="283" w:left="567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Na podstawie art. 61 ust. 5a u.p.z.p., w celu ustalenia wymagań dla nowej zabudowy i zagospodarowania terenu właściwy organ wyznacza wokół terenu, o którym mowa w art. 52 ust. 2 pkt 1a, na kopii mapy zasadniczej lub mapy ewidencyjnej dołączonej do wniosku o ustalenie warunków zabudowy obszar analizowany w odległości równej trzykrotnej szerokości frontu terenu, o którym mowa w art. 52 ust. 2 pkt 1a, jednak nie mniejszej niż 50 m oraz nie większej niż 200 m, i przeprowadza na nim analizę cech zabudowy i zagospodarowania terenu w zakresie warunków, o których mowa w ust. 1. Przez front terenu należy rozumieć tę część granicy działki budowlanej, która przylega do drogi publicznej, drogi wewnętrznej lub granicy działki obciążonej służebnością drogową, z której odbywa się główny wjazd na działkę.</w:t>
      </w:r>
    </w:p>
    <w:p>
      <w:pPr>
        <w:pStyle w:val="Normal"/>
        <w:numPr>
          <w:ilvl w:val="1"/>
          <w:numId w:val="36"/>
        </w:numPr>
        <w:tabs>
          <w:tab w:val="clear" w:pos="708"/>
          <w:tab w:val="left" w:pos="1843" w:leader="none"/>
        </w:tabs>
        <w:spacing w:before="0" w:after="0"/>
        <w:ind w:hanging="283" w:left="567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Front terenu planowanej inwestycji posiada szerokość {{dlugosc_frontu}}, wobec tego ustalony promień obszaru analizowanego wynosi {{promien_bufora}}.</w:t>
      </w:r>
    </w:p>
    <w:p>
      <w:pPr>
        <w:pStyle w:val="Normal"/>
        <w:ind w:left="426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0"/>
        </w:numPr>
        <w:spacing w:before="0" w:after="0"/>
        <w:ind w:hanging="284" w:left="284"/>
        <w:contextualSpacing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Analiza cech zabudowy i zagospodarowania terenu w zakresie warunków, o których mowa w art. 61 ust.1 u.p.z.p.:</w:t>
      </w:r>
    </w:p>
    <w:p>
      <w:pPr>
        <w:pStyle w:val="Normal"/>
        <w:numPr>
          <w:ilvl w:val="0"/>
          <w:numId w:val="26"/>
        </w:numPr>
        <w:spacing w:before="0" w:after="0"/>
        <w:ind w:hanging="283" w:left="567"/>
        <w:contextualSpacing/>
        <w:jc w:val="both"/>
        <w:rPr>
          <w:rFonts w:ascii="Arial" w:hAnsi="Arial" w:cs="Arial"/>
          <w:b/>
        </w:rPr>
      </w:pPr>
      <w:r>
        <w:rPr>
          <w:rFonts w:cs="Arial" w:ascii="Arial" w:hAnsi="Arial"/>
        </w:rPr>
        <w:t>Spełnienie wymagań dla nowej zabudowy w zakresie kontynuacji parametrów, cech i wskaźników kształtowania zabudowy oraz zagospodarowania terenu, w tym gabarytów i formy architektonicznej obiektów budowlanych, linii zabudowy oraz intensywności wykorzystania terenu: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2127" w:leader="none"/>
        </w:tabs>
        <w:spacing w:before="60" w:after="60"/>
        <w:ind w:hanging="284" w:left="851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Sposób użytkowania obiektów budowlanych położonych w obszarze analizowanym:</w:t>
      </w:r>
    </w:p>
    <w:p>
      <w:pPr>
        <w:pStyle w:val="Normal"/>
        <w:numPr>
          <w:ilvl w:val="0"/>
          <w:numId w:val="4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</w:rPr>
        <w:t>obszar analizowany zainwestowany jest zabudową {{zabudowa_obszar}},</w:t>
      </w:r>
    </w:p>
    <w:p>
      <w:pPr>
        <w:pStyle w:val="Normal"/>
        <w:numPr>
          <w:ilvl w:val="0"/>
          <w:numId w:val="4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na terenie objętym wnioskiem {{obecne_zagospodarowanie}},</w:t>
      </w:r>
    </w:p>
    <w:p>
      <w:pPr>
        <w:pStyle w:val="Normal"/>
        <w:numPr>
          <w:ilvl w:val="0"/>
          <w:numId w:val="4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wnioskowany sposób zagospodarowania – zabudowa {{Rodzaj_zabudowy}},</w:t>
      </w:r>
    </w:p>
    <w:p>
      <w:pPr>
        <w:pStyle w:val="Normal"/>
        <w:numPr>
          <w:ilvl w:val="0"/>
          <w:numId w:val="4"/>
        </w:numPr>
        <w:suppressAutoHyphens w:val="false"/>
        <w:ind w:hanging="283" w:left="1134"/>
        <w:jc w:val="both"/>
        <w:rPr>
          <w:rFonts w:ascii="Arial" w:hAnsi="Arial" w:cs="Arial"/>
          <w:b/>
          <w:bCs/>
          <w:iCs/>
        </w:rPr>
      </w:pPr>
      <w:r>
        <w:rPr>
          <w:rFonts w:cs="Arial" w:ascii="Arial" w:hAnsi="Arial"/>
        </w:rPr>
        <w:t>zgodnie z planem ogólnym teren objęty wnioskiem znajduje się w strefie {{pog_strefa_nazwa}}, oznaczonej symbolem {{pog_strefa_oznaczenie}},</w:t>
      </w:r>
    </w:p>
    <w:p>
      <w:pPr>
        <w:pStyle w:val="Normal"/>
        <w:numPr>
          <w:ilvl w:val="0"/>
          <w:numId w:val="4"/>
        </w:numPr>
        <w:suppressAutoHyphens w:val="false"/>
        <w:ind w:hanging="283" w:left="1134"/>
        <w:jc w:val="both"/>
        <w:rPr>
          <w:rFonts w:ascii="Arial" w:hAnsi="Arial" w:cs="Arial"/>
          <w:b/>
          <w:bCs/>
          <w:iCs/>
        </w:rPr>
      </w:pPr>
      <w:r>
        <w:rPr>
          <w:rFonts w:cs="Arial" w:ascii="Arial" w:hAnsi="Arial"/>
        </w:rPr>
        <w:t>funkcje zabudowy i zagospodarowania terenu mieszczące się w profilu podstawowym w planie ogólnym dla wskazanej strefy: {{pog_profil_podstawowy}},</w:t>
      </w:r>
    </w:p>
    <w:p>
      <w:pPr>
        <w:pStyle w:val="Normal"/>
        <w:numPr>
          <w:ilvl w:val="0"/>
          <w:numId w:val="4"/>
        </w:numPr>
        <w:suppressAutoHyphens w:val="false"/>
        <w:ind w:hanging="283" w:left="1134"/>
        <w:jc w:val="both"/>
        <w:rPr>
          <w:rFonts w:ascii="Arial" w:hAnsi="Arial" w:cs="Arial"/>
          <w:b/>
          <w:bCs/>
          <w:iCs/>
        </w:rPr>
      </w:pPr>
      <w:r>
        <w:rPr>
          <w:rFonts w:cs="Arial" w:ascii="Arial" w:hAnsi="Arial"/>
        </w:rPr>
        <w:t>funkcje zabudowy i zagospodarowania terenu mieszczące się w profilu dodatkowym w planie ogólnym dla wskazanej strefy: {{pog_profil_dodatkowy}},</w:t>
      </w:r>
    </w:p>
    <w:p>
      <w:pPr>
        <w:pStyle w:val="Normal"/>
        <w:numPr>
          <w:ilvl w:val="0"/>
          <w:numId w:val="4"/>
        </w:numPr>
        <w:suppressAutoHyphens w:val="false"/>
        <w:ind w:hanging="283" w:left="1134"/>
        <w:jc w:val="both"/>
        <w:rPr>
          <w:rFonts w:ascii="Arial" w:hAnsi="Arial" w:cs="Arial"/>
          <w:b/>
          <w:bCs/>
          <w:iCs/>
        </w:rPr>
      </w:pPr>
      <w:r>
        <w:rPr>
          <w:rFonts w:cs="Arial" w:ascii="Arial" w:hAnsi="Arial"/>
        </w:rPr>
        <w:t>zgodność funkcji planowanej inwestycji z planem ogólnym: planowana funkcja {{pog_zgodnosc_funkcji}} w profilu funkcjonalnym strefy planistycznej obejmującej teren;</w:t>
      </w:r>
    </w:p>
    <w:p>
      <w:pPr>
        <w:pStyle w:val="Normal"/>
        <w:numPr>
          <w:ilvl w:val="0"/>
          <w:numId w:val="4"/>
        </w:numPr>
        <w:suppressAutoHyphens w:val="false"/>
        <w:ind w:hanging="283" w:left="1134"/>
        <w:jc w:val="both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  <w:t>{{podstawa_ustalen_zdanie}}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1247" w:leader="none"/>
          <w:tab w:val="left" w:pos="2127" w:leader="none"/>
        </w:tabs>
        <w:spacing w:before="60" w:after="60"/>
        <w:ind w:hanging="284" w:left="851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Linia zabudowy: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zabudowa występująca w obszarze analizowanym kształtuje linie zabudowy od dróg publicznych w odległościach od {{Lz_min}} do {{Lz_max}},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wnioskowana linia zabudowy: {{Lz_w}},</w:t>
      </w:r>
    </w:p>
    <w:p>
      <w:pPr>
        <w:pStyle w:val="Normal"/>
        <w:numPr>
          <w:ilvl w:val="0"/>
          <w:numId w:val="5"/>
        </w:numPr>
        <w:suppressAutoHyphens w:val="false"/>
        <w:spacing w:before="60" w:after="60"/>
        <w:ind w:hanging="283" w:left="113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{{par3_fraza}} dla planowanej inwestycji ustala się {{rodzaj_Lz}} linię zabudowy w odległości {{Lz_ustalona}} od drogi publicznej ul. {{adres_dzialki}} (tj. działki nr {{dzialka_dojazd}}), zgodnie z załącznikiem graficznym do decyzji,</w:t>
      </w:r>
    </w:p>
    <w:p>
      <w:pPr>
        <w:pStyle w:val="Normal"/>
        <w:numPr>
          <w:ilvl w:val="0"/>
          <w:numId w:val="5"/>
        </w:numPr>
        <w:suppressAutoHyphens w:val="false"/>
        <w:spacing w:before="60" w:after="60"/>
        <w:ind w:hanging="283" w:left="113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dopuszcza się styczne usytuowanie budynku co najmniej jednym narożnikiem w obowiązującej linii zabudowy.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1247" w:leader="none"/>
          <w:tab w:val="left" w:pos="2268" w:leader="none"/>
        </w:tabs>
        <w:spacing w:before="60" w:after="60"/>
        <w:ind w:hanging="284" w:left="851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Intensywność zabudowy oraz nadziemna intensywność zabudowy występująca {{zakres_wystepujaca}}: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minimalna nadziemna intensywność zabudowy w obszarze analizowanym: {{min_nadz_inten_zab}},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maksymalna nadziemna intensywność zabudowy w obszarze analizowanym: {{maks_nadz_inten_zab}},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maksymalna intensywność zabudowy w obszarze analizowanym: {{maks_inten_zab}},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średni wskaźnik nadziemnej intensywności zabudowy w obszarze analizowanym: {{Sredni_wniz}},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średni wskaźnik intensywności zabudowy w obszarze analizowanym: {{Sredni_wiz}},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wnioskowana nadziemna intensywność zabudowy: od {{w_wniz_planowane_min}} do {{w_wniz_planowane_max}},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wnioskowana intensywność zabudowy: od {{w_wiz_planowane_min}} do {{w_wiz_planowane_max}},</w:t>
      </w:r>
    </w:p>
    <w:p>
      <w:pPr>
        <w:pStyle w:val="Normal"/>
        <w:numPr>
          <w:ilvl w:val="0"/>
          <w:numId w:val="5"/>
        </w:numPr>
        <w:suppressAutoHyphens w:val="false"/>
        <w:spacing w:before="0" w:after="60"/>
        <w:ind w:hanging="283" w:left="1134"/>
        <w:jc w:val="both"/>
        <w:rPr>
          <w:rFonts w:ascii="Arial" w:hAnsi="Arial" w:cs="Arial"/>
        </w:rPr>
      </w:pPr>
      <w:r>
        <w:rPr>
          <w:rFonts w:cs="Arial" w:ascii="Arial" w:hAnsi="Arial"/>
        </w:rPr>
        <w:t>maksymalna nadziemna intensywność zabudowy określona dla ww. strefy planistycznej w planie ogólnym: {{pog_maks_nadz_intens}},</w:t>
      </w:r>
    </w:p>
    <w:p>
      <w:pPr>
        <w:pStyle w:val="Normal"/>
        <w:numPr>
          <w:ilvl w:val="0"/>
          <w:numId w:val="5"/>
        </w:numPr>
        <w:suppressAutoHyphens w:val="false"/>
        <w:spacing w:before="0" w:after="60"/>
        <w:ind w:hanging="283" w:left="1134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  <w:bCs/>
        </w:rPr>
        <w:t>zgodnie z § 4 ust. 1-2 rozporządzenia dla planowanej inwestycji ustala się:</w:t>
      </w:r>
    </w:p>
    <w:p>
      <w:pPr>
        <w:pStyle w:val="Normal"/>
        <w:numPr>
          <w:ilvl w:val="0"/>
          <w:numId w:val="9"/>
        </w:numPr>
        <w:suppressAutoHyphens w:val="false"/>
        <w:ind w:hanging="284" w:left="1418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minimalną wartość nadziemnej intensywności zabudowy: {{min_nadz_inten_zab}},</w:t>
      </w:r>
    </w:p>
    <w:p>
      <w:pPr>
        <w:pStyle w:val="Normal"/>
        <w:numPr>
          <w:ilvl w:val="0"/>
          <w:numId w:val="9"/>
        </w:numPr>
        <w:suppressAutoHyphens w:val="false"/>
        <w:ind w:hanging="284" w:left="1418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maksymalną wartość nadziemnej intensywności zabudowy: {{maks_nadz_inten_zab_inw}},</w:t>
      </w:r>
    </w:p>
    <w:p>
      <w:pPr>
        <w:pStyle w:val="Normal"/>
        <w:numPr>
          <w:ilvl w:val="0"/>
          <w:numId w:val="9"/>
        </w:numPr>
        <w:suppressAutoHyphens w:val="false"/>
        <w:ind w:hanging="284" w:left="1418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  <w:bCs/>
        </w:rPr>
        <w:t>maksymalną wartość intensywności zabudowy: {{maks_inten_zab_inw}},</w:t>
      </w:r>
    </w:p>
    <w:p>
      <w:pPr>
        <w:pStyle w:val="Normal"/>
        <w:numPr>
          <w:ilvl w:val="0"/>
          <w:numId w:val="11"/>
        </w:numPr>
        <w:suppressAutoHyphens w:val="false"/>
        <w:spacing w:before="0" w:after="60"/>
        <w:ind w:hanging="283" w:left="1134"/>
        <w:jc w:val="both"/>
        <w:rPr>
          <w:rFonts w:ascii="Arial" w:hAnsi="Arial" w:cs="Arial"/>
        </w:rPr>
      </w:pPr>
      <w:r>
        <w:rPr>
          <w:rFonts w:cs="Arial" w:ascii="Arial" w:hAnsi="Arial"/>
        </w:rPr>
        <w:t>maksymalna nadziemna intensywność zabudowy ustalona dla planowanej inwestycji {{pog_ocena_nadz_intens}} niż maksymalna nadziemna intensywność zabudowy określona dla strefy planistycznej obejmującej ten teren w planie ogólnym,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1247" w:leader="none"/>
          <w:tab w:val="left" w:pos="2268" w:leader="none"/>
        </w:tabs>
        <w:spacing w:before="60" w:after="60"/>
        <w:ind w:hanging="284" w:left="851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Udział powierzchni zabudowy występującej {{zakres_wystepujaca}}: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minimalny udział powierzchni zabudowy w obszarze analizowanym: {{wpz_min}},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maksymalny udział powierzchni zabudowy w obszarze analizowanym: {{wpz_max}},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Cs/>
        </w:rPr>
        <w:t>średnia wartość wskaźnika udziału powierzchni zabudowy w obszarze analizowanym: {{Sredni_wpz}},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Cs/>
        </w:rPr>
        <w:t>wnioskowany udział powierzchni zabudowy: od {{w_wpz_planowane_min}}% do {{w_wpz_planowane_max}}%,</w:t>
      </w:r>
    </w:p>
    <w:p>
      <w:pPr>
        <w:pStyle w:val="Normal"/>
        <w:numPr>
          <w:ilvl w:val="0"/>
          <w:numId w:val="5"/>
        </w:numPr>
        <w:suppressAutoHyphens w:val="false"/>
        <w:spacing w:before="0" w:after="60"/>
        <w:ind w:hanging="283" w:left="1134"/>
        <w:jc w:val="both"/>
        <w:rPr>
          <w:rFonts w:ascii="Arial" w:hAnsi="Arial" w:cs="Arial"/>
        </w:rPr>
      </w:pPr>
      <w:r>
        <w:rPr>
          <w:rFonts w:cs="Arial" w:ascii="Arial" w:hAnsi="Arial"/>
        </w:rPr>
        <w:t>maksymalny udział powierzchni zabudowy określony dla ww. strefy planistycznej w planie ogólnym: {{pog_maks_udzial_pow_zab}},</w:t>
      </w:r>
    </w:p>
    <w:p>
      <w:pPr>
        <w:pStyle w:val="Normal"/>
        <w:numPr>
          <w:ilvl w:val="0"/>
          <w:numId w:val="5"/>
        </w:numPr>
        <w:suppressAutoHyphens w:val="false"/>
        <w:spacing w:before="0" w:after="60"/>
        <w:ind w:hanging="283" w:left="1134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zgodnie z § 5 ust. 1 rozporządzenia dla planowanej inwestycji ustala się wartość udziału powierzchni zabudowy na poziomie: od {{wpz_min}} do {{Sredni_wpz}},</w:t>
      </w:r>
    </w:p>
    <w:p>
      <w:pPr>
        <w:pStyle w:val="Normal"/>
        <w:numPr>
          <w:ilvl w:val="0"/>
          <w:numId w:val="5"/>
        </w:numPr>
        <w:suppressAutoHyphens w:val="false"/>
        <w:spacing w:before="0" w:after="60"/>
        <w:ind w:hanging="283" w:left="1134"/>
        <w:jc w:val="both"/>
        <w:rPr>
          <w:rFonts w:ascii="Arial" w:hAnsi="Arial" w:cs="Arial"/>
        </w:rPr>
      </w:pPr>
      <w:r>
        <w:rPr>
          <w:rFonts w:cs="Arial" w:ascii="Arial" w:hAnsi="Arial"/>
        </w:rPr>
        <w:t>udział powierzchni zabudowy ustalony dla planowanej inwestycji {{pog_ocena_udzial_pow_zab}} niż maksymalny udział powierzchni zabudowy określony dla strefy planistycznej obejmującej teren w planie ogólnym,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2268" w:leader="none"/>
        </w:tabs>
        <w:suppressAutoHyphens w:val="false"/>
        <w:spacing w:before="60" w:after="60"/>
        <w:ind w:hanging="284" w:left="851"/>
        <w:jc w:val="both"/>
        <w:rPr>
          <w:rFonts w:ascii="Arial" w:hAnsi="Arial" w:cs="Arial"/>
        </w:rPr>
      </w:pPr>
      <w:r>
        <w:rPr>
          <w:rFonts w:cs="Arial" w:ascii="Arial" w:hAnsi="Arial"/>
        </w:rPr>
        <w:t>Szerokość elewacji frontowej zabudowy {{zakres_polozonej}}: {% for budynek in budynki %}</w:t>
      </w:r>
    </w:p>
    <w:p>
      <w:pPr>
        <w:pStyle w:val="Normal"/>
        <w:numPr>
          <w:ilvl w:val="0"/>
          <w:numId w:val="3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minimalna szerokość elewacji frontowej zabudowy w obszarze analizowanym: {{budynek.szer_elew_front_min}},</w:t>
      </w:r>
    </w:p>
    <w:p>
      <w:pPr>
        <w:pStyle w:val="Normal"/>
        <w:numPr>
          <w:ilvl w:val="0"/>
          <w:numId w:val="3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maksymalna szerokość elewacji frontowej zabudowy w obszarze analizowanym: {{budynek.szer_elew_front_max}},</w:t>
      </w:r>
    </w:p>
    <w:p>
      <w:pPr>
        <w:pStyle w:val="Normal"/>
        <w:numPr>
          <w:ilvl w:val="0"/>
          <w:numId w:val="3"/>
        </w:numPr>
        <w:suppressAutoHyphens w:val="false"/>
        <w:ind w:hanging="283" w:left="1134"/>
        <w:jc w:val="both"/>
        <w:rPr>
          <w:rFonts w:ascii="Arial" w:hAnsi="Arial" w:cs="Arial"/>
          <w:bCs/>
          <w:lang w:val="x-none"/>
        </w:rPr>
      </w:pPr>
      <w:r>
        <w:rPr>
          <w:rFonts w:cs="Arial" w:ascii="Arial" w:hAnsi="Arial"/>
          <w:bCs/>
        </w:rPr>
        <w:t>średnia szerokość elewacji frontowej zabudowy w analizowanym obszarze: {{budynek.SrElewFront}},</w:t>
      </w:r>
    </w:p>
    <w:p>
      <w:pPr>
        <w:pStyle w:val="Normal"/>
        <w:numPr>
          <w:ilvl w:val="0"/>
          <w:numId w:val="3"/>
        </w:numPr>
        <w:suppressAutoHyphens w:val="false"/>
        <w:ind w:hanging="283" w:left="1134"/>
        <w:jc w:val="both"/>
        <w:rPr>
          <w:rFonts w:ascii="Arial" w:hAnsi="Arial" w:cs="Arial"/>
          <w:bCs/>
          <w:lang w:val="x-none"/>
        </w:rPr>
      </w:pPr>
      <w:r>
        <w:rPr>
          <w:rFonts w:cs="Arial" w:ascii="Arial" w:hAnsi="Arial"/>
          <w:bCs/>
        </w:rPr>
        <w:t>wnioskowana szerokość elewacji frontowej (względem ul. {{adres_dzialki}}): od {{budynek.WszerFrontmin}} m do {{budynek.WszerFrontmax}} m,</w:t>
      </w:r>
    </w:p>
    <w:p>
      <w:pPr>
        <w:pStyle w:val="Normal"/>
        <w:numPr>
          <w:ilvl w:val="0"/>
          <w:numId w:val="7"/>
        </w:numPr>
        <w:suppressAutoHyphens w:val="false"/>
        <w:ind w:hanging="283" w:left="1134"/>
        <w:jc w:val="both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</w:rPr>
        <w:t>zgodnie z § 6 ust. 1 rozporządzenia dla planowanej inwestycji ustala się szerokość elewacji frontowej na poziomie {{budynek.SrElewFront}} +-20%, tj. od {{budynek.szer_elew_front_08}} do {{budynek.szer_elew_front_12}} (względem ul. {{adres_dzialki}}), {% endfor %}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2268" w:leader="none"/>
        </w:tabs>
        <w:suppressAutoHyphens w:val="false"/>
        <w:spacing w:before="60" w:after="60"/>
        <w:ind w:hanging="284" w:left="851"/>
        <w:jc w:val="both"/>
        <w:rPr>
          <w:rFonts w:ascii="Arial" w:hAnsi="Arial" w:cs="Arial"/>
        </w:rPr>
      </w:pPr>
      <w:r>
        <w:rPr>
          <w:rFonts w:cs="Arial" w:ascii="Arial" w:hAnsi="Arial"/>
        </w:rPr>
        <w:t>Wysokość zabudowy (zgodnie z art. 2 pkt 30 lit. a u.p.z.p) {{zakres_polozonej}}: {% for budynek in budynki %}</w:t>
      </w:r>
    </w:p>
    <w:p>
      <w:pPr>
        <w:pStyle w:val="Normal"/>
        <w:numPr>
          <w:ilvl w:val="0"/>
          <w:numId w:val="6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minimalna wysokość zabudowy w obszarze analizowanym: {{budynek.wys_zab_min}},</w:t>
      </w:r>
    </w:p>
    <w:p>
      <w:pPr>
        <w:pStyle w:val="Normal"/>
        <w:numPr>
          <w:ilvl w:val="0"/>
          <w:numId w:val="6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maksymalna wysokość zabudowy w obszarze analizowanym: {{budynek.wys_zab_max}},</w:t>
      </w:r>
    </w:p>
    <w:p>
      <w:pPr>
        <w:pStyle w:val="Normal"/>
        <w:numPr>
          <w:ilvl w:val="0"/>
          <w:numId w:val="6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średnia wysokość zabudowy w obszarze analizowanym: {{budynek.srWysZab}}, {% endfor %}</w:t>
      </w:r>
    </w:p>
    <w:p>
      <w:pPr>
        <w:pStyle w:val="Normal"/>
        <w:numPr>
          <w:ilvl w:val="0"/>
          <w:numId w:val="6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średnia wysokość zabudowy występująca na dostępnych z tej samej drogi publicznej przylegających działkach sąsiednich: {{sr_wys_dz_sasiednie}}, {% for budynek in budynki %}</w:t>
      </w:r>
    </w:p>
    <w:p>
      <w:pPr>
        <w:pStyle w:val="Normal"/>
        <w:numPr>
          <w:ilvl w:val="0"/>
          <w:numId w:val="6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wnioskowana wysokość zabudowy: od {{budynek.w_wys_min}} m do {{budynek.w_wys_max}} m, {% endfor %}</w:t>
      </w:r>
    </w:p>
    <w:p>
      <w:pPr>
        <w:pStyle w:val="Normal"/>
        <w:numPr>
          <w:ilvl w:val="0"/>
          <w:numId w:val="6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</w:rPr>
        <w:t>maksymalna wysokość zabudowy określona dla ww. strefy planistycznej w planie ogólnym: {{pog_maks_wysokosc}}, {% for budynek in budynki %}</w:t>
      </w:r>
    </w:p>
    <w:p>
      <w:pPr>
        <w:pStyle w:val="Normal"/>
        <w:numPr>
          <w:ilvl w:val="0"/>
          <w:numId w:val="2"/>
        </w:numPr>
        <w:suppressAutoHyphens w:val="false"/>
        <w:ind w:hanging="283" w:left="1134"/>
        <w:jc w:val="both"/>
        <w:rPr>
          <w:rFonts w:ascii="Arial" w:hAnsi="Arial" w:cs="Arial"/>
          <w:bCs/>
          <w:lang w:val="x-none"/>
        </w:rPr>
      </w:pPr>
      <w:r>
        <w:rPr>
          <w:rFonts w:cs="Arial" w:ascii="Arial" w:hAnsi="Arial"/>
          <w:b/>
        </w:rPr>
        <w:t>{{par7_fraza}} dla planowanej inwestycji ustala się wysokość zabudowy na poziomie od {{budynek.</w:t>
      </w:r>
      <w:r>
        <w:rPr>
          <w:rFonts w:cs="Arial" w:ascii="Arial" w:hAnsi="Arial"/>
          <w:b/>
          <w:bCs/>
          <w:sz w:val="24"/>
        </w:rPr>
        <w:t>wys_zab_min</w:t>
      </w:r>
      <w:r>
        <w:rPr>
          <w:rFonts w:cs="Arial" w:ascii="Arial" w:hAnsi="Arial"/>
          <w:b/>
        </w:rPr>
        <w:t>}} do {{budynek.wys_ustalona}} (dotyczy najwyżej położonego punktu budynku na dachu), {% endfor %}</w:t>
      </w:r>
    </w:p>
    <w:p>
      <w:pPr>
        <w:pStyle w:val="Normal"/>
        <w:numPr>
          <w:ilvl w:val="0"/>
          <w:numId w:val="2"/>
        </w:numPr>
        <w:suppressAutoHyphens w:val="false"/>
        <w:ind w:hanging="283" w:left="1134"/>
        <w:jc w:val="both"/>
        <w:rPr>
          <w:rFonts w:ascii="Arial" w:hAnsi="Arial" w:cs="Arial"/>
          <w:bCs/>
          <w:lang w:val="x-none"/>
        </w:rPr>
      </w:pPr>
      <w:r>
        <w:rPr>
          <w:rFonts w:cs="Arial" w:ascii="Arial" w:hAnsi="Arial"/>
          <w:bCs/>
          <w:lang w:val="x-none"/>
        </w:rPr>
        <w:t>wysokość zabudowy ustalona dla planowanej inwestycji {{pog_ocena_wysokosc}} niż maksymalna wysokość zabudowy określona dla strefy planistycznej obejmującej teren w planie ogólnym,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2268" w:leader="none"/>
        </w:tabs>
        <w:suppressAutoHyphens w:val="false"/>
        <w:spacing w:before="60" w:after="60"/>
        <w:ind w:hanging="284" w:left="851"/>
        <w:jc w:val="both"/>
        <w:rPr>
          <w:rFonts w:ascii="Arial" w:hAnsi="Arial" w:cs="Arial"/>
        </w:rPr>
      </w:pPr>
      <w:r>
        <w:rPr>
          <w:rFonts w:cs="Arial" w:ascii="Arial" w:hAnsi="Arial"/>
        </w:rPr>
        <w:t>Geometria dachu (kąt nachylenia i układ połaci dachowej) zabudowy {{zakres_polozonej}}: {% for budynek in budynki %}</w:t>
      </w:r>
    </w:p>
    <w:p>
      <w:pPr>
        <w:pStyle w:val="Normal"/>
        <w:numPr>
          <w:ilvl w:val="0"/>
          <w:numId w:val="3"/>
        </w:numPr>
        <w:suppressAutoHyphens w:val="false"/>
        <w:ind w:hanging="283" w:left="1134"/>
        <w:jc w:val="both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Cs/>
        </w:rPr>
        <w:t>geometria dachu zabudowy występującej w obszarze analizowanym: {{budynek.geometriaDachow}}</w:t>
      </w:r>
    </w:p>
    <w:p>
      <w:pPr>
        <w:pStyle w:val="Normal"/>
        <w:numPr>
          <w:ilvl w:val="0"/>
          <w:numId w:val="3"/>
        </w:numPr>
        <w:suppressAutoHyphens w:val="false"/>
        <w:ind w:hanging="283" w:left="1134"/>
        <w:jc w:val="both"/>
        <w:rPr>
          <w:rFonts w:ascii="Arial" w:hAnsi="Arial" w:cs="Arial"/>
          <w:bCs/>
          <w:iCs/>
        </w:rPr>
      </w:pPr>
      <w:r>
        <w:rPr>
          <w:rFonts w:cs="Arial" w:ascii="Arial" w:hAnsi="Arial"/>
          <w:bCs/>
          <w:iCs/>
        </w:rPr>
        <w:t>wnioskowana geometria dachu: dach {{budynek.dachProj}}, o pochyleniu połaci dachowej {{budynek.nachylenieProjMin}}° – {{budynek.nachylenieProjMax}}°, kierunek głównej kalenicy w stosunku do frontu działki – {{budynek.kalenicaProj}},</w:t>
      </w:r>
    </w:p>
    <w:p>
      <w:pPr>
        <w:pStyle w:val="Normal"/>
        <w:numPr>
          <w:ilvl w:val="0"/>
          <w:numId w:val="3"/>
        </w:numPr>
        <w:suppressAutoHyphens w:val="false"/>
        <w:ind w:hanging="283" w:left="1134"/>
        <w:jc w:val="both"/>
        <w:rPr>
          <w:rFonts w:ascii="Arial" w:hAnsi="Arial" w:cs="Arial"/>
          <w:b/>
          <w:iCs/>
        </w:rPr>
      </w:pPr>
      <w:r>
        <w:rPr>
          <w:rFonts w:cs="Arial" w:ascii="Arial" w:hAnsi="Arial"/>
          <w:b/>
        </w:rPr>
        <w:t>zgodnie z § 8 ust. 1 rozporządzenia dla planowanej inwestycji ustala się dach {{budynek.dachProj}}, o pochyleniu połaci dachowej {{budynek.nachylenieProjMin}}° – {{budynek.nachylenieProjMax}}°, spadek połaci na działkę Inwestora, główna kalenica w układzie {{budynek.kalenicaProj}} do frontu działki, {% endfor %}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1247" w:leader="none"/>
          <w:tab w:val="left" w:pos="2268" w:leader="none"/>
        </w:tabs>
        <w:spacing w:before="60" w:after="60"/>
        <w:ind w:hanging="284" w:left="851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Udział powierzchni biologicznie czynnej występujący {{zakres_wystepujaca}}: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minimalna wartość udziału powierzchni biologicznie czynnej w obszarze analizowanym: {{wpbc_min}},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maksymalna wartość udziału powierzchni biologicznie czynnej w obszarze analizowanym: {{wpbc_max}},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średnia wartość udziału powierzchni biologicznie czynnej w obszarze analizowanym: {{Sredni_wpbc}},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wnioskowana wartość udziału powierzchni biologicznie czynnej: od {{w_wpbc_planowane_min}}% do {{w_wpbc_planowane_max}}%,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</w:rPr>
        <w:t>minimalny udział powierzchni biologicznie czynnej określony dla ww. strefy planistycznej w planie ogólnym: {{pog_min_pbc}},</w:t>
      </w:r>
    </w:p>
    <w:p>
      <w:pPr>
        <w:pStyle w:val="Normal"/>
        <w:numPr>
          <w:ilvl w:val="0"/>
          <w:numId w:val="5"/>
        </w:numPr>
        <w:suppressAutoHyphens w:val="false"/>
        <w:spacing w:before="60" w:after="60"/>
        <w:ind w:hanging="283" w:left="1134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  <w:bCs/>
        </w:rPr>
        <w:t>zgodnie z § 9 ust. 1 rozporządzenia dla planowanej inwestycji ustala się wartość udziału powierzchni biologicznie czynnej na poziomie min. {{Sredni_wpbc}},</w:t>
      </w:r>
    </w:p>
    <w:p>
      <w:pPr>
        <w:pStyle w:val="Normal"/>
        <w:numPr>
          <w:ilvl w:val="0"/>
          <w:numId w:val="5"/>
        </w:numPr>
        <w:suppressAutoHyphens w:val="false"/>
        <w:spacing w:before="60" w:after="60"/>
        <w:ind w:hanging="283" w:left="1134"/>
        <w:jc w:val="both"/>
        <w:rPr>
          <w:rFonts w:ascii="Arial" w:hAnsi="Arial" w:cs="Arial"/>
          <w:b/>
        </w:rPr>
      </w:pPr>
      <w:r>
        <w:rPr>
          <w:rFonts w:cs="Arial" w:ascii="Arial" w:hAnsi="Arial"/>
        </w:rPr>
        <w:t>minimalny udział powierzchni biologicznie czynnej ustalony dla planowanej inwestycji {{pog_ocena_pbc}} niż minimalny udział powierzchni biologicznie czynnej określony dla strefy planistycznej obejmującej teren w planie ogólnym,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851" w:leader="none"/>
        </w:tabs>
        <w:suppressAutoHyphens w:val="false"/>
        <w:spacing w:before="60" w:after="60"/>
        <w:ind w:hanging="284" w:left="851"/>
        <w:jc w:val="both"/>
        <w:rPr>
          <w:rFonts w:ascii="Arial" w:hAnsi="Arial" w:cs="Arial"/>
        </w:rPr>
      </w:pPr>
      <w:r>
        <w:rPr>
          <w:rFonts w:cs="Arial" w:ascii="Arial" w:hAnsi="Arial"/>
        </w:rPr>
        <w:t>minimalna liczba miejsc do parkowania:</w:t>
      </w:r>
    </w:p>
    <w:p>
      <w:pPr>
        <w:pStyle w:val="Normal"/>
        <w:numPr>
          <w:ilvl w:val="3"/>
          <w:numId w:val="37"/>
        </w:numPr>
        <w:tabs>
          <w:tab w:val="clear" w:pos="708"/>
          <w:tab w:val="left" w:pos="1134" w:leader="none"/>
        </w:tabs>
        <w:suppressAutoHyphens w:val="false"/>
        <w:spacing w:before="60" w:after="60"/>
        <w:ind w:hanging="283" w:left="1134"/>
        <w:jc w:val="both"/>
        <w:rPr>
          <w:rFonts w:ascii="Arial" w:hAnsi="Arial" w:cs="Arial"/>
        </w:rPr>
      </w:pPr>
      <w:r>
        <w:rPr>
          <w:rFonts w:cs="Arial" w:ascii="Arial" w:hAnsi="Arial"/>
        </w:rPr>
        <w:t>wnioskowana: od {{w_l_park_min}} do {{w_l_park_max}},</w:t>
      </w:r>
    </w:p>
    <w:p>
      <w:pPr>
        <w:pStyle w:val="Normal"/>
        <w:numPr>
          <w:ilvl w:val="3"/>
          <w:numId w:val="38"/>
        </w:numPr>
        <w:tabs>
          <w:tab w:val="clear" w:pos="708"/>
          <w:tab w:val="left" w:pos="1134" w:leader="none"/>
        </w:tabs>
        <w:suppressAutoHyphens w:val="false"/>
        <w:ind w:hanging="283" w:left="113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dla planowanej inwestycji ustala się: {{l_park}}</w:t>
      </w:r>
    </w:p>
    <w:p>
      <w:pPr>
        <w:pStyle w:val="Normal"/>
        <w:tabs>
          <w:tab w:val="clear" w:pos="708"/>
          <w:tab w:val="left" w:pos="1440" w:leader="none"/>
        </w:tabs>
        <w:suppressAutoHyphens w:val="false"/>
        <w:ind w:left="1134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26"/>
        </w:numPr>
        <w:suppressAutoHyphens w:val="false"/>
        <w:ind w:hanging="283" w:left="567"/>
        <w:jc w:val="both"/>
        <w:rPr>
          <w:rFonts w:ascii="Arial" w:hAnsi="Arial" w:cs="Arial"/>
        </w:rPr>
      </w:pPr>
      <w:r>
        <w:rPr>
          <w:rFonts w:cs="Arial" w:ascii="Arial" w:hAnsi="Arial"/>
        </w:rPr>
        <w:t>Obszar uzupełnienia zabudowy:</w:t>
      </w:r>
    </w:p>
    <w:p>
      <w:pPr>
        <w:pStyle w:val="Normal"/>
        <w:numPr>
          <w:ilvl w:val="1"/>
          <w:numId w:val="26"/>
        </w:numPr>
        <w:suppressAutoHyphens w:val="false"/>
        <w:ind w:hanging="284" w:left="851"/>
        <w:jc w:val="both"/>
        <w:rPr>
          <w:rFonts w:ascii="Arial" w:hAnsi="Arial" w:cs="Arial"/>
        </w:rPr>
      </w:pPr>
      <w:r>
        <w:rPr>
          <w:rFonts w:cs="Arial" w:ascii="Arial" w:hAnsi="Arial"/>
        </w:rPr>
        <w:t>teren objęty wnioskiem {{pog_ouz_zdanie}}</w:t>
      </w:r>
    </w:p>
    <w:p>
      <w:pPr>
        <w:pStyle w:val="Normal"/>
        <w:ind w:left="567"/>
        <w:rPr>
          <w:rFonts w:ascii="Arial" w:hAnsi="Arial" w:cs="Arial"/>
          <w:i/>
          <w:i/>
        </w:rPr>
      </w:pPr>
      <w:r>
        <w:rPr>
          <w:rFonts w:cs="Arial" w:ascii="Arial" w:hAnsi="Arial"/>
          <w:i/>
        </w:rPr>
      </w:r>
    </w:p>
    <w:p>
      <w:pPr>
        <w:pStyle w:val="Normal"/>
        <w:numPr>
          <w:ilvl w:val="0"/>
          <w:numId w:val="26"/>
        </w:numPr>
        <w:ind w:hanging="283" w:left="567"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</w:rPr>
        <w:t>Dostęp do drogi publicznej:</w:t>
        <w:tab/>
      </w:r>
    </w:p>
    <w:p>
      <w:pPr>
        <w:pStyle w:val="Normal"/>
        <w:numPr>
          <w:ilvl w:val="1"/>
          <w:numId w:val="26"/>
        </w:numPr>
        <w:suppressAutoHyphens w:val="false"/>
        <w:ind w:hanging="284" w:left="851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Obsługa komunikacyjna – {{obsluga_komunikacyjna}}, od ul. {{adres_dzialki}} (tj. działki nr {{dzialka_dojazd}}).</w:t>
      </w:r>
    </w:p>
    <w:p>
      <w:pPr>
        <w:pStyle w:val="Normal"/>
        <w:suppressAutoHyphens w:val="false"/>
        <w:ind w:left="851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numPr>
          <w:ilvl w:val="0"/>
          <w:numId w:val="26"/>
        </w:numPr>
        <w:tabs>
          <w:tab w:val="clear" w:pos="708"/>
          <w:tab w:val="left" w:pos="1134" w:leader="none"/>
        </w:tabs>
        <w:spacing w:before="0" w:after="0"/>
        <w:ind w:hanging="283" w:left="567"/>
        <w:contextualSpacing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</w:rPr>
        <w:t>Istniejące lub projektowane uzbrojenie terenu:</w:t>
      </w:r>
    </w:p>
    <w:p>
      <w:pPr>
        <w:pStyle w:val="Normal"/>
        <w:numPr>
          <w:ilvl w:val="1"/>
          <w:numId w:val="26"/>
        </w:numPr>
        <w:suppressAutoHyphens w:val="false"/>
        <w:ind w:hanging="284" w:left="851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Zaopatrzenie w wodę i dostęp do kanalizacji sanitarnej zgodnie z pismem z dnia {{wodkan_data}} r. o znaku: {{wodkan_znak}},</w:t>
      </w:r>
    </w:p>
    <w:p>
      <w:pPr>
        <w:pStyle w:val="Normal"/>
        <w:numPr>
          <w:ilvl w:val="1"/>
          <w:numId w:val="26"/>
        </w:numPr>
        <w:suppressAutoHyphens w:val="false"/>
        <w:ind w:hanging="284" w:left="851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Zaopatrzenie w energię elektryczną zgodnie z pismem z dnia {{energa_data}} r. o znaku: {{energa_znak}},</w:t>
      </w:r>
    </w:p>
    <w:p>
      <w:pPr>
        <w:pStyle w:val="Normal"/>
        <w:numPr>
          <w:ilvl w:val="1"/>
          <w:numId w:val="26"/>
        </w:numPr>
        <w:suppressAutoHyphens w:val="false"/>
        <w:ind w:hanging="284" w:left="851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Zaopatrzenie w energię cieplną/gaz zgodnie z pismem z dnia …..2026 r. o znaku: …….</w:t>
      </w:r>
    </w:p>
    <w:p>
      <w:pPr>
        <w:pStyle w:val="Normal"/>
        <w:suppressAutoHyphens w:val="false"/>
        <w:ind w:left="851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numPr>
          <w:ilvl w:val="0"/>
          <w:numId w:val="26"/>
        </w:numPr>
        <w:spacing w:before="0" w:after="0"/>
        <w:ind w:hanging="283" w:left="567"/>
        <w:contextualSpacing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</w:rPr>
        <w:t>Przeznaczenie gruntów na cele nierolnicze i nieleśne:</w:t>
      </w:r>
      <w:bookmarkStart w:id="2" w:name="_Hlk505258520"/>
      <w:bookmarkStart w:id="3" w:name="_Hlk483552312"/>
      <w:bookmarkStart w:id="4" w:name="_Hlk35602253"/>
      <w:bookmarkStart w:id="5" w:name="_Hlk35601995"/>
      <w:bookmarkStart w:id="6" w:name="_Hlk29905796"/>
      <w:r>
        <w:rPr>
          <w:rFonts w:cs="Arial" w:ascii="Arial" w:hAnsi="Arial"/>
          <w:i/>
        </w:rPr>
        <w:t xml:space="preserve"> </w:t>
      </w:r>
    </w:p>
    <w:p>
      <w:pPr>
        <w:pStyle w:val="Normal"/>
        <w:numPr>
          <w:ilvl w:val="1"/>
          <w:numId w:val="26"/>
        </w:numPr>
        <w:spacing w:before="60" w:after="60"/>
        <w:ind w:hanging="284" w:left="851"/>
        <w:contextualSpacing/>
        <w:jc w:val="both"/>
        <w:rPr>
          <w:rFonts w:ascii="Arial" w:hAnsi="Arial" w:cs="Arial"/>
        </w:rPr>
      </w:pPr>
      <w:bookmarkStart w:id="7" w:name="_Hlk153883439"/>
      <w:bookmarkEnd w:id="2"/>
      <w:bookmarkEnd w:id="3"/>
      <w:bookmarkEnd w:id="4"/>
      <w:bookmarkEnd w:id="5"/>
      <w:bookmarkEnd w:id="6"/>
      <w:bookmarkEnd w:id="7"/>
      <w:r>
        <w:rPr>
          <w:rFonts w:cs="Arial" w:ascii="Arial" w:hAnsi="Arial"/>
        </w:rPr>
        <w:t>Teren nie wymaga uzyskania zgody na przeznaczenie gruntów na cele nierolnicze i nieleśne</w:t>
      </w:r>
      <w:bookmarkStart w:id="8" w:name="_Hlk52261639"/>
      <w:r>
        <w:rPr>
          <w:rFonts w:cs="Arial" w:ascii="Arial" w:hAnsi="Arial"/>
        </w:rPr>
        <w:t>.</w:t>
      </w:r>
      <w:bookmarkEnd w:id="8"/>
    </w:p>
    <w:p>
      <w:pPr>
        <w:pStyle w:val="Normal"/>
        <w:spacing w:before="60" w:after="60"/>
        <w:ind w:left="851"/>
        <w:jc w:val="both"/>
        <w:rPr>
          <w:rFonts w:ascii="Arial" w:hAnsi="Arial" w:cs="Arial"/>
        </w:rPr>
      </w:pPr>
      <w:r>
        <w:rPr>
          <w:rFonts w:cs="Arial" w:ascii="Arial" w:hAnsi="Arial"/>
        </w:rPr>
      </w:r>
      <w:bookmarkStart w:id="9" w:name="_Hlk153883439_kopia_1"/>
      <w:bookmarkStart w:id="10" w:name="_Hlk153883439_kopia_1"/>
      <w:bookmarkEnd w:id="10"/>
    </w:p>
    <w:p>
      <w:pPr>
        <w:pStyle w:val="Normal"/>
        <w:numPr>
          <w:ilvl w:val="0"/>
          <w:numId w:val="26"/>
        </w:numPr>
        <w:spacing w:before="0" w:after="0"/>
        <w:ind w:hanging="283" w:left="567"/>
        <w:contextualSpacing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</w:rPr>
        <w:t>Zgodność z przepisami odrębnymi:</w:t>
      </w:r>
    </w:p>
    <w:p>
      <w:pPr>
        <w:pStyle w:val="Normal"/>
        <w:numPr>
          <w:ilvl w:val="1"/>
          <w:numId w:val="26"/>
        </w:numPr>
        <w:spacing w:before="60" w:after="60"/>
        <w:ind w:hanging="284" w:left="851"/>
        <w:contextualSpacing/>
        <w:rPr>
          <w:rFonts w:ascii="Arial" w:hAnsi="Arial" w:cs="Arial"/>
        </w:rPr>
      </w:pPr>
      <w:r>
        <w:rPr>
          <w:rFonts w:cs="Arial" w:ascii="Arial" w:hAnsi="Arial"/>
        </w:rPr>
        <w:t>Nie stwierdzono naruszeń przepisów odrębnych.</w:t>
      </w:r>
    </w:p>
    <w:p>
      <w:pPr>
        <w:pStyle w:val="Normal"/>
        <w:spacing w:before="60" w:after="60"/>
        <w:ind w:left="851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26"/>
        </w:numPr>
        <w:spacing w:before="0" w:after="0"/>
        <w:ind w:hanging="283" w:left="567"/>
        <w:contextualSpacing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</w:rPr>
        <w:t>Zamierzenie budowlane nie znajduje się w obszarze:</w:t>
      </w:r>
    </w:p>
    <w:p>
      <w:pPr>
        <w:pStyle w:val="Normal"/>
        <w:numPr>
          <w:ilvl w:val="1"/>
          <w:numId w:val="26"/>
        </w:numPr>
        <w:ind w:hanging="284" w:left="851"/>
        <w:jc w:val="both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 xml:space="preserve">W stosunku, do którego decyzją o ustaleniu lokalizacji strategicznej inwestycji w zakresie sieci przesyłowej, o której mowa w art. 5 ust. 1 ustawy z dnia 24 lipca 2015 r. o przygotowaniu i realizacji strategicznych inwestycji w zakresie sieci przesyłowych </w:t>
      </w:r>
      <w:bookmarkStart w:id="11" w:name="_Hlk172195796"/>
      <w:r>
        <w:rPr>
          <w:rFonts w:cs="Arial" w:ascii="Arial" w:hAnsi="Arial"/>
          <w:iCs/>
        </w:rPr>
        <w:t>(Dz. U. z 2024 r. poz. 1199)</w:t>
      </w:r>
      <w:bookmarkEnd w:id="11"/>
      <w:r>
        <w:rPr>
          <w:rFonts w:cs="Arial" w:ascii="Arial" w:hAnsi="Arial"/>
          <w:iCs/>
        </w:rPr>
        <w:t>, ustanowiony został zakaz, o którym mowa w art. 22 ust. 2 pkt 1 tej ustawy.</w:t>
      </w:r>
    </w:p>
    <w:p>
      <w:pPr>
        <w:pStyle w:val="Normal"/>
        <w:numPr>
          <w:ilvl w:val="1"/>
          <w:numId w:val="26"/>
        </w:numPr>
        <w:ind w:hanging="284" w:left="851"/>
        <w:jc w:val="both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Strefy kontrolowanej wyznaczonej po obu stronach gazociągu.</w:t>
      </w:r>
    </w:p>
    <w:p>
      <w:pPr>
        <w:pStyle w:val="Normal"/>
        <w:numPr>
          <w:ilvl w:val="1"/>
          <w:numId w:val="26"/>
        </w:numPr>
        <w:ind w:hanging="284" w:left="851"/>
        <w:jc w:val="both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Strefy bezpieczeństwa wyznaczonej po obu stronach rurociągu.</w:t>
      </w:r>
    </w:p>
    <w:p>
      <w:pPr>
        <w:pStyle w:val="Normal"/>
        <w:suppressAutoHyphens w:val="false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26"/>
        </w:numPr>
        <w:suppressAutoHyphens w:val="false"/>
        <w:ind w:hanging="283" w:left="567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Obszar zabudowy śródmiejskiej: </w:t>
      </w:r>
    </w:p>
    <w:p>
      <w:pPr>
        <w:pStyle w:val="Normal"/>
        <w:numPr>
          <w:ilvl w:val="1"/>
          <w:numId w:val="26"/>
        </w:numPr>
        <w:suppressAutoHyphens w:val="false"/>
        <w:ind w:hanging="284" w:left="851"/>
        <w:jc w:val="both"/>
        <w:rPr>
          <w:rFonts w:ascii="Arial" w:hAnsi="Arial" w:cs="Arial"/>
        </w:rPr>
      </w:pPr>
      <w:r>
        <w:rPr>
          <w:rFonts w:cs="Arial" w:ascii="Arial" w:hAnsi="Arial"/>
        </w:rPr>
        <w:t>teren planowanej inwestycji {{pog_ozs_zdanie}}</w:t>
      </w:r>
    </w:p>
    <w:p>
      <w:pPr>
        <w:pStyle w:val="Normal"/>
        <w:jc w:val="both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numPr>
          <w:ilvl w:val="0"/>
          <w:numId w:val="10"/>
        </w:numPr>
        <w:spacing w:before="0" w:after="0"/>
        <w:ind w:hanging="284" w:left="284"/>
        <w:contextualSpacing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Analiza warunków, zasad zagospodarowania i zabudowy terenu inwestycji:</w:t>
      </w:r>
    </w:p>
    <w:p>
      <w:pPr>
        <w:pStyle w:val="Normal"/>
        <w:numPr>
          <w:ilvl w:val="0"/>
          <w:numId w:val="39"/>
        </w:numPr>
        <w:tabs>
          <w:tab w:val="clear" w:pos="708"/>
          <w:tab w:val="left" w:pos="1418" w:leader="none"/>
        </w:tabs>
        <w:spacing w:before="0" w:after="0"/>
        <w:ind w:hanging="283" w:left="567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Warunki i wymagania dotyczące zasad zabudowy i zagospodarowania terenu inwestycji zostały określone w ust. 6 analizy.</w:t>
      </w:r>
    </w:p>
    <w:p>
      <w:pPr>
        <w:pStyle w:val="Normal"/>
        <w:ind w:left="567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40"/>
        </w:numPr>
        <w:tabs>
          <w:tab w:val="clear" w:pos="708"/>
          <w:tab w:val="left" w:pos="851" w:leader="none"/>
        </w:tabs>
        <w:ind w:hanging="283" w:left="567"/>
        <w:jc w:val="both"/>
        <w:rPr>
          <w:rFonts w:ascii="Arial" w:hAnsi="Arial" w:cs="Arial"/>
        </w:rPr>
      </w:pPr>
      <w:r>
        <w:rPr>
          <w:rFonts w:cs="Arial" w:ascii="Arial" w:hAnsi="Arial"/>
        </w:rPr>
        <w:t>W wyniku oceny wniosku i zawartych w nim danych o projektowanej inwestycji oraz dokonanej analizy, w decyzji o warunkach zabudowy ustalono warunki i zasady zagospodarowania terenu w zakresie ochrony środowiska, przyrody i krajobrazu, ochrony dziedzictwa kulturowego i zabytków oraz dóbr kultury współczesnej, obsługi w zakresie komunikacji i infrastruktury technicznej, wymagań dotyczących ochrony interesów osób trzecich oraz przepisów odrębnych.</w:t>
      </w:r>
    </w:p>
    <w:p>
      <w:pPr>
        <w:pStyle w:val="Normal"/>
        <w:tabs>
          <w:tab w:val="clear" w:pos="708"/>
          <w:tab w:val="left" w:pos="1800" w:leader="none"/>
        </w:tabs>
        <w:ind w:hanging="425" w:left="1134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0"/>
        </w:numPr>
        <w:ind w:hanging="284" w:left="284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Stan faktyczny terenu, na którym przewiduje się realizację inwestycji na  podstawie art. 53 ust. 3 pkt. 2 oraz art. 64 ust. 1 u.p.z.p.:</w:t>
      </w:r>
    </w:p>
    <w:p>
      <w:pPr>
        <w:pStyle w:val="Normal"/>
        <w:numPr>
          <w:ilvl w:val="0"/>
          <w:numId w:val="41"/>
        </w:numPr>
        <w:suppressAutoHyphens w:val="false"/>
        <w:ind w:hanging="283"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Na terenie objętym wnioskiem {{obecne_zagospodarowanie}}.</w:t>
      </w:r>
    </w:p>
    <w:p>
      <w:pPr>
        <w:pStyle w:val="Normal"/>
        <w:suppressAutoHyphens w:val="false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numPr>
          <w:ilvl w:val="0"/>
          <w:numId w:val="10"/>
        </w:numPr>
        <w:ind w:hanging="284" w:left="284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Stan prawny terenu, na którym przewiduje się realizację inwestycji na podstawie art. 53 ust. 3 pkt. 2 oraz art. 64 ust. 1 u.p.z.p.:</w:t>
      </w:r>
    </w:p>
    <w:p>
      <w:pPr>
        <w:pStyle w:val="Normal"/>
        <w:numPr>
          <w:ilvl w:val="3"/>
          <w:numId w:val="8"/>
        </w:numPr>
        <w:spacing w:before="0" w:after="0"/>
        <w:ind w:hanging="283" w:left="567"/>
        <w:contextualSpacing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Teren inwestycji nie jest objęty ustaleniami aktualnie obowiązującego miejscowego planu zagospodarowania przestrzennego.</w:t>
      </w:r>
    </w:p>
    <w:p>
      <w:pPr>
        <w:pStyle w:val="Normal"/>
        <w:ind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numPr>
          <w:ilvl w:val="3"/>
          <w:numId w:val="8"/>
        </w:numPr>
        <w:ind w:hanging="283" w:left="567"/>
        <w:jc w:val="both"/>
        <w:rPr>
          <w:rFonts w:ascii="Arial" w:hAnsi="Arial" w:cs="Arial"/>
        </w:rPr>
      </w:pPr>
      <w:r>
        <w:rPr>
          <w:rFonts w:cs="Arial" w:ascii="Arial" w:hAnsi="Arial"/>
        </w:rPr>
        <w:t>Stan własności gruntów przedstawiają stosowne dokumenty znajdujące się w aktach sprawy.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bookmarkStart w:id="12" w:name="_Hlk217994764_kopia_1"/>
      <w:bookmarkStart w:id="13" w:name="_Hlk217994764_kopia_1"/>
      <w:bookmarkEnd w:id="13"/>
    </w:p>
    <w:p>
      <w:pPr>
        <w:pStyle w:val="Normal"/>
        <w:jc w:val="right"/>
        <w:rPr>
          <w:rFonts w:ascii="Arial" w:hAnsi="Arial" w:cs="Arial"/>
          <w:i/>
          <w:i/>
          <w:iCs/>
          <w:sz w:val="20"/>
        </w:rPr>
      </w:pPr>
      <w:r>
        <w:rPr/>
      </w:r>
    </w:p>
    <w:p>
      <w:pPr>
        <w:pStyle w:val="Normal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728636285"/>
    </w:sdtPr>
    <w:sdtContent>
      <w:p>
        <w:pPr>
          <w:pStyle w:val="Footer"/>
          <w:jc w:val="center"/>
          <w:rPr>
            <w:rFonts w:ascii="Arial" w:hAnsi="Arial" w:cs="Arial"/>
            <w:sz w:val="20"/>
          </w:rPr>
        </w:pPr>
        <w:r>
          <w:rPr>
            <w:rFonts w:cs="Arial" w:ascii="Arial" w:hAnsi="Arial"/>
            <w:sz w:val="20"/>
          </w:rPr>
          <w:t xml:space="preserve">Strona </w:t>
        </w:r>
        <w:r>
          <w:rPr>
            <w:rFonts w:cs="Arial" w:ascii="Arial" w:hAnsi="Arial"/>
            <w:bCs/>
            <w:sz w:val="20"/>
          </w:rPr>
          <w:fldChar w:fldCharType="begin"/>
        </w:r>
        <w:r>
          <w:rPr>
            <w:sz w:val="20"/>
            <w:bCs/>
            <w:rFonts w:cs="Arial" w:ascii="Arial" w:hAnsi="Arial"/>
          </w:rPr>
          <w:instrText xml:space="preserve"> PAGE </w:instrText>
        </w:r>
        <w:r>
          <w:rPr>
            <w:sz w:val="20"/>
            <w:bCs/>
            <w:rFonts w:cs="Arial" w:ascii="Arial" w:hAnsi="Arial"/>
          </w:rPr>
          <w:fldChar w:fldCharType="separate"/>
        </w:r>
        <w:r>
          <w:rPr>
            <w:sz w:val="20"/>
            <w:bCs/>
            <w:rFonts w:cs="Arial" w:ascii="Arial" w:hAnsi="Arial"/>
          </w:rPr>
          <w:t>6</w:t>
        </w:r>
        <w:r>
          <w:rPr>
            <w:sz w:val="20"/>
            <w:bCs/>
            <w:rFonts w:cs="Arial" w:ascii="Arial" w:hAnsi="Arial"/>
          </w:rPr>
          <w:fldChar w:fldCharType="end"/>
        </w:r>
        <w:r>
          <w:rPr>
            <w:rFonts w:cs="Arial" w:ascii="Arial" w:hAnsi="Arial"/>
            <w:sz w:val="20"/>
          </w:rPr>
          <w:t xml:space="preserve"> z </w:t>
        </w:r>
        <w:r>
          <w:rPr>
            <w:rFonts w:cs="Arial" w:ascii="Arial" w:hAnsi="Arial"/>
            <w:bCs/>
            <w:sz w:val="20"/>
          </w:rPr>
          <w:fldChar w:fldCharType="begin"/>
        </w:r>
        <w:r>
          <w:rPr>
            <w:sz w:val="20"/>
            <w:bCs/>
            <w:rFonts w:cs="Arial" w:ascii="Arial" w:hAnsi="Arial"/>
          </w:rPr>
          <w:instrText xml:space="preserve"> NUMPAGES </w:instrText>
        </w:r>
        <w:r>
          <w:rPr>
            <w:sz w:val="20"/>
            <w:bCs/>
            <w:rFonts w:cs="Arial" w:ascii="Arial" w:hAnsi="Arial"/>
          </w:rPr>
          <w:fldChar w:fldCharType="separate"/>
        </w:r>
        <w:r>
          <w:rPr>
            <w:sz w:val="20"/>
            <w:bCs/>
            <w:rFonts w:cs="Arial" w:ascii="Arial" w:hAnsi="Arial"/>
          </w:rPr>
          <w:t>6</w:t>
        </w:r>
        <w:r>
          <w:rPr>
            <w:sz w:val="20"/>
            <w:bCs/>
            <w:rFonts w:cs="Arial" w:ascii="Arial" w:hAnsi="Arial"/>
          </w:rPr>
          <w:fldChar w:fldCharType="end"/>
        </w:r>
      </w:p>
    </w:sdtContent>
  </w:sdt>
  <w:p>
    <w:pPr>
      <w:pStyle w:val="Footer"/>
      <w:rPr>
        <w:rFonts w:ascii="Arial" w:hAnsi="Arial" w:cs="Arial"/>
        <w:sz w:val="20"/>
      </w:rPr>
    </w:pPr>
    <w:r>
      <w:rPr>
        <w:rFonts w:cs="Arial" w:ascii="Arial" w:hAnsi="Arial"/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728636285"/>
    </w:sdtPr>
    <w:sdtContent>
      <w:p>
        <w:pPr>
          <w:pStyle w:val="Footer"/>
          <w:jc w:val="center"/>
          <w:rPr>
            <w:rFonts w:ascii="Arial" w:hAnsi="Arial" w:cs="Arial"/>
            <w:sz w:val="20"/>
          </w:rPr>
        </w:pPr>
        <w:r>
          <w:rPr>
            <w:rFonts w:cs="Arial" w:ascii="Arial" w:hAnsi="Arial"/>
            <w:sz w:val="20"/>
          </w:rPr>
          <w:t xml:space="preserve">Strona </w:t>
        </w:r>
        <w:r>
          <w:rPr>
            <w:rFonts w:cs="Arial" w:ascii="Arial" w:hAnsi="Arial"/>
            <w:bCs/>
            <w:sz w:val="20"/>
          </w:rPr>
          <w:fldChar w:fldCharType="begin"/>
        </w:r>
        <w:r>
          <w:rPr>
            <w:sz w:val="20"/>
            <w:bCs/>
            <w:rFonts w:cs="Arial" w:ascii="Arial" w:hAnsi="Arial"/>
          </w:rPr>
          <w:instrText xml:space="preserve"> PAGE </w:instrText>
        </w:r>
        <w:r>
          <w:rPr>
            <w:sz w:val="20"/>
            <w:bCs/>
            <w:rFonts w:cs="Arial" w:ascii="Arial" w:hAnsi="Arial"/>
          </w:rPr>
          <w:fldChar w:fldCharType="separate"/>
        </w:r>
        <w:r>
          <w:rPr>
            <w:sz w:val="20"/>
            <w:bCs/>
            <w:rFonts w:cs="Arial" w:ascii="Arial" w:hAnsi="Arial"/>
          </w:rPr>
          <w:t>6</w:t>
        </w:r>
        <w:r>
          <w:rPr>
            <w:sz w:val="20"/>
            <w:bCs/>
            <w:rFonts w:cs="Arial" w:ascii="Arial" w:hAnsi="Arial"/>
          </w:rPr>
          <w:fldChar w:fldCharType="end"/>
        </w:r>
        <w:r>
          <w:rPr>
            <w:rFonts w:cs="Arial" w:ascii="Arial" w:hAnsi="Arial"/>
            <w:sz w:val="20"/>
          </w:rPr>
          <w:t xml:space="preserve"> z </w:t>
        </w:r>
        <w:r>
          <w:rPr>
            <w:rFonts w:cs="Arial" w:ascii="Arial" w:hAnsi="Arial"/>
            <w:bCs/>
            <w:sz w:val="20"/>
          </w:rPr>
          <w:fldChar w:fldCharType="begin"/>
        </w:r>
        <w:r>
          <w:rPr>
            <w:sz w:val="20"/>
            <w:bCs/>
            <w:rFonts w:cs="Arial" w:ascii="Arial" w:hAnsi="Arial"/>
          </w:rPr>
          <w:instrText xml:space="preserve"> NUMPAGES </w:instrText>
        </w:r>
        <w:r>
          <w:rPr>
            <w:sz w:val="20"/>
            <w:bCs/>
            <w:rFonts w:cs="Arial" w:ascii="Arial" w:hAnsi="Arial"/>
          </w:rPr>
          <w:fldChar w:fldCharType="separate"/>
        </w:r>
        <w:r>
          <w:rPr>
            <w:sz w:val="20"/>
            <w:bCs/>
            <w:rFonts w:cs="Arial" w:ascii="Arial" w:hAnsi="Arial"/>
          </w:rPr>
          <w:t>6</w:t>
        </w:r>
        <w:r>
          <w:rPr>
            <w:sz w:val="20"/>
            <w:bCs/>
            <w:rFonts w:cs="Arial" w:ascii="Arial" w:hAnsi="Arial"/>
          </w:rPr>
          <w:fldChar w:fldCharType="end"/>
        </w:r>
      </w:p>
    </w:sdtContent>
  </w:sdt>
  <w:p>
    <w:pPr>
      <w:pStyle w:val="Footer"/>
      <w:rPr>
        <w:rFonts w:ascii="Arial" w:hAnsi="Arial" w:cs="Arial"/>
        <w:sz w:val="20"/>
      </w:rPr>
    </w:pPr>
    <w:r>
      <w:rPr>
        <w:rFonts w:cs="Arial" w:ascii="Arial" w:hAnsi="Arial"/>
        <w:sz w:val="2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−"/>
      <w:lvlJc w:val="left"/>
      <w:pPr>
        <w:tabs>
          <w:tab w:val="num" w:pos="0"/>
        </w:tabs>
        <w:ind w:left="214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58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4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0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0"/>
        </w:tabs>
        <w:ind w:left="114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717" w:hanging="360"/>
      </w:pPr>
      <w:rPr>
        <w:rFonts w:ascii="Symbol" w:hAnsi="Symbol" w:cs="Symbol" w:hint="default"/>
        <w:lang w:val="pl-P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7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71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77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−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5"/>
      <w:numFmt w:val="decimal"/>
      <w:lvlText w:val="%1)"/>
      <w:lvlJc w:val="left"/>
      <w:pPr>
        <w:tabs>
          <w:tab w:val="num" w:pos="0"/>
        </w:tabs>
        <w:ind w:left="1324" w:hanging="360"/>
      </w:pPr>
      <w:rPr>
        <w:i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4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6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8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20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92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4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6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84" w:hanging="18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242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1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86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58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3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02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74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4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181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bullet"/>
      <w:lvlText w:val=""/>
      <w:lvlJc w:val="left"/>
      <w:pPr>
        <w:tabs>
          <w:tab w:val="num" w:pos="0"/>
        </w:tabs>
        <w:ind w:left="314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86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58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30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02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74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46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18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901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13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14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15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16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17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18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19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20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21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22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23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sz w:val="22"/>
        <w:i w:val="false"/>
        <w:b w:val="false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sz w:val="22"/>
        <w:i w:val="false"/>
        <w:b w:val="false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26">
    <w:lvl w:ilvl="0">
      <w:start w:val="1"/>
      <w:numFmt w:val="decimal"/>
      <w:lvlText w:val="%1)"/>
      <w:lvlJc w:val="left"/>
      <w:pPr>
        <w:tabs>
          <w:tab w:val="num" w:pos="0"/>
        </w:tabs>
        <w:ind w:left="567" w:hanging="283"/>
      </w:pPr>
      <w:rPr>
        <w:i w:val="fals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51" w:hanging="284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6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8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20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92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4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6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84" w:hanging="180"/>
      </w:pPr>
      <w:rPr/>
    </w:lvl>
  </w:abstractNum>
  <w:abstractNum w:abstractNumId="2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12"/>
    <w:lvlOverride w:ilvl="0">
      <w:startOverride w:val="1"/>
    </w:lvlOverride>
  </w:num>
  <w:num w:numId="29">
    <w:abstractNumId w:val="12"/>
  </w:num>
  <w:num w:numId="30">
    <w:abstractNumId w:val="12"/>
  </w:num>
  <w:num w:numId="31">
    <w:abstractNumId w:val="12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 w:numId="36">
    <w:abstractNumId w:val="12"/>
  </w:num>
  <w:num w:numId="37">
    <w:abstractNumId w:val="12"/>
  </w:num>
  <w:num w:numId="38">
    <w:abstractNumId w:val="12"/>
  </w:num>
  <w:num w:numId="39">
    <w:abstractNumId w:val="23"/>
    <w:lvlOverride w:ilvl="0">
      <w:startOverride w:val="1"/>
    </w:lvlOverride>
  </w:num>
  <w:num w:numId="40">
    <w:abstractNumId w:val="23"/>
  </w:num>
  <w:num w:numId="41">
    <w:abstractNumId w:val="2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6b3a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l-PL" w:eastAsia="ar-SA" w:bidi="ar-SA"/>
    </w:rPr>
  </w:style>
  <w:style w:type="paragraph" w:styleId="Heading1">
    <w:name w:val="Heading 1"/>
    <w:basedOn w:val="Normal"/>
    <w:next w:val="Normal"/>
    <w:link w:val="Nagwek1Znak"/>
    <w:qFormat/>
    <w:rsid w:val="00506b3a"/>
    <w:pPr>
      <w:keepNext w:val="true"/>
      <w:numPr>
        <w:ilvl w:val="0"/>
        <w:numId w:val="1"/>
      </w:numPr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link w:val="Nagwek2Znak"/>
    <w:qFormat/>
    <w:rsid w:val="00506b3a"/>
    <w:pPr>
      <w:keepNext w:val="true"/>
      <w:numPr>
        <w:ilvl w:val="1"/>
        <w:numId w:val="1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link w:val="Nagwek3Znak"/>
    <w:qFormat/>
    <w:rsid w:val="00506b3a"/>
    <w:pPr>
      <w:keepNext w:val="true"/>
      <w:numPr>
        <w:ilvl w:val="2"/>
        <w:numId w:val="1"/>
      </w:numPr>
      <w:jc w:val="center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link w:val="Nagwek4Znak"/>
    <w:qFormat/>
    <w:rsid w:val="00506b3a"/>
    <w:pPr>
      <w:keepNext w:val="true"/>
      <w:numPr>
        <w:ilvl w:val="3"/>
        <w:numId w:val="1"/>
      </w:num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Nagwek5Znak"/>
    <w:qFormat/>
    <w:rsid w:val="00506b3a"/>
    <w:pPr>
      <w:keepNext w:val="true"/>
      <w:numPr>
        <w:ilvl w:val="4"/>
        <w:numId w:val="1"/>
      </w:numPr>
      <w:jc w:val="center"/>
      <w:outlineLvl w:val="4"/>
    </w:pPr>
    <w:rPr>
      <w:b/>
      <w:sz w:val="22"/>
    </w:rPr>
  </w:style>
  <w:style w:type="paragraph" w:styleId="Heading6">
    <w:name w:val="Heading 6"/>
    <w:basedOn w:val="Normal"/>
    <w:next w:val="Normal"/>
    <w:link w:val="Nagwek6Znak"/>
    <w:qFormat/>
    <w:rsid w:val="00506b3a"/>
    <w:pPr>
      <w:keepNext w:val="true"/>
      <w:numPr>
        <w:ilvl w:val="5"/>
        <w:numId w:val="1"/>
      </w:numPr>
      <w:jc w:val="center"/>
      <w:outlineLvl w:val="5"/>
    </w:pPr>
    <w:rPr>
      <w:u w:val="single"/>
    </w:rPr>
  </w:style>
  <w:style w:type="paragraph" w:styleId="Heading7">
    <w:name w:val="Heading 7"/>
    <w:basedOn w:val="Normal"/>
    <w:next w:val="Normal"/>
    <w:link w:val="Nagwek7Znak"/>
    <w:qFormat/>
    <w:rsid w:val="00506b3a"/>
    <w:pPr>
      <w:keepNext w:val="true"/>
      <w:numPr>
        <w:ilvl w:val="6"/>
        <w:numId w:val="1"/>
      </w:numPr>
      <w:jc w:val="center"/>
      <w:outlineLvl w:val="6"/>
    </w:pPr>
    <w:rPr>
      <w:rFonts w:ascii="Arial" w:hAnsi="Arial" w:cs="Arial"/>
      <w:sz w:val="22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qFormat/>
    <w:rsid w:val="00506b3a"/>
    <w:rPr>
      <w:rFonts w:ascii="Times New Roman" w:hAnsi="Times New Roman" w:eastAsia="Times New Roman" w:cs="Times New Roman"/>
      <w:sz w:val="28"/>
      <w:szCs w:val="24"/>
      <w:lang w:eastAsia="ar-SA"/>
    </w:rPr>
  </w:style>
  <w:style w:type="character" w:styleId="Nagwek2Znak" w:customStyle="1">
    <w:name w:val="Nagłówek 2 Znak"/>
    <w:basedOn w:val="DefaultParagraphFont"/>
    <w:qFormat/>
    <w:rsid w:val="00506b3a"/>
    <w:rPr>
      <w:rFonts w:ascii="Times New Roman" w:hAnsi="Times New Roman" w:eastAsia="Times New Roman" w:cs="Times New Roman"/>
      <w:sz w:val="28"/>
      <w:szCs w:val="24"/>
      <w:lang w:eastAsia="ar-SA"/>
    </w:rPr>
  </w:style>
  <w:style w:type="character" w:styleId="Nagwek3Znak" w:customStyle="1">
    <w:name w:val="Nagłówek 3 Znak"/>
    <w:basedOn w:val="DefaultParagraphFont"/>
    <w:qFormat/>
    <w:rsid w:val="00506b3a"/>
    <w:rPr>
      <w:rFonts w:ascii="Times New Roman" w:hAnsi="Times New Roman" w:eastAsia="Times New Roman" w:cs="Times New Roman"/>
      <w:b/>
      <w:bCs/>
      <w:sz w:val="28"/>
      <w:szCs w:val="24"/>
      <w:lang w:eastAsia="ar-SA"/>
    </w:rPr>
  </w:style>
  <w:style w:type="character" w:styleId="Nagwek4Znak" w:customStyle="1">
    <w:name w:val="Nagłówek 4 Znak"/>
    <w:basedOn w:val="DefaultParagraphFont"/>
    <w:qFormat/>
    <w:rsid w:val="00506b3a"/>
    <w:rPr>
      <w:rFonts w:ascii="Times New Roman" w:hAnsi="Times New Roman" w:eastAsia="Times New Roman" w:cs="Times New Roman"/>
      <w:b/>
      <w:bCs/>
      <w:sz w:val="24"/>
      <w:szCs w:val="24"/>
      <w:lang w:eastAsia="ar-SA"/>
    </w:rPr>
  </w:style>
  <w:style w:type="character" w:styleId="Nagwek5Znak" w:customStyle="1">
    <w:name w:val="Nagłówek 5 Znak"/>
    <w:basedOn w:val="DefaultParagraphFont"/>
    <w:qFormat/>
    <w:rsid w:val="00506b3a"/>
    <w:rPr>
      <w:rFonts w:ascii="Times New Roman" w:hAnsi="Times New Roman" w:eastAsia="Times New Roman" w:cs="Times New Roman"/>
      <w:b/>
      <w:szCs w:val="24"/>
      <w:lang w:eastAsia="ar-SA"/>
    </w:rPr>
  </w:style>
  <w:style w:type="character" w:styleId="Nagwek6Znak" w:customStyle="1">
    <w:name w:val="Nagłówek 6 Znak"/>
    <w:basedOn w:val="DefaultParagraphFont"/>
    <w:qFormat/>
    <w:rsid w:val="00506b3a"/>
    <w:rPr>
      <w:rFonts w:ascii="Times New Roman" w:hAnsi="Times New Roman" w:eastAsia="Times New Roman" w:cs="Times New Roman"/>
      <w:sz w:val="24"/>
      <w:szCs w:val="24"/>
      <w:u w:val="single"/>
      <w:lang w:eastAsia="ar-SA"/>
    </w:rPr>
  </w:style>
  <w:style w:type="character" w:styleId="Nagwek7Znak" w:customStyle="1">
    <w:name w:val="Nagłówek 7 Znak"/>
    <w:basedOn w:val="DefaultParagraphFont"/>
    <w:qFormat/>
    <w:rsid w:val="00506b3a"/>
    <w:rPr>
      <w:rFonts w:ascii="Arial" w:hAnsi="Arial" w:eastAsia="Times New Roman" w:cs="Arial"/>
      <w:szCs w:val="24"/>
      <w:u w:val="single"/>
      <w:lang w:eastAsia="ar-SA"/>
    </w:rPr>
  </w:style>
  <w:style w:type="character" w:styleId="TekstpodstawowyZnak" w:customStyle="1">
    <w:name w:val="Tekst podstawowy Znak"/>
    <w:basedOn w:val="DefaultParagraphFont"/>
    <w:semiHidden/>
    <w:qFormat/>
    <w:rsid w:val="00506b3a"/>
    <w:rPr>
      <w:rFonts w:ascii="Times New Roman" w:hAnsi="Times New Roman" w:eastAsia="Times New Roman" w:cs="Times New Roman"/>
      <w:sz w:val="28"/>
      <w:szCs w:val="24"/>
      <w:lang w:val="x-none" w:eastAsia="ar-SA"/>
    </w:rPr>
  </w:style>
  <w:style w:type="character" w:styleId="TekstpodstawowywcityZnak" w:customStyle="1">
    <w:name w:val="Tekst podstawowy wcięty Znak"/>
    <w:basedOn w:val="DefaultParagraphFont"/>
    <w:uiPriority w:val="99"/>
    <w:semiHidden/>
    <w:qFormat/>
    <w:rsid w:val="00506b3a"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TekstpodstawowywcityZnak1" w:customStyle="1">
    <w:name w:val="Tekst podstawowy wcięty Znak1"/>
    <w:qFormat/>
    <w:rsid w:val="00506b3a"/>
    <w:rPr>
      <w:rFonts w:ascii="Times New Roman" w:hAnsi="Times New Roman" w:eastAsia="Times New Roman" w:cs="Times New Roman"/>
      <w:sz w:val="24"/>
      <w:szCs w:val="24"/>
      <w:lang w:val="x-none" w:eastAsia="ar-SA"/>
    </w:rPr>
  </w:style>
  <w:style w:type="character" w:styleId="NagwekZnak" w:customStyle="1">
    <w:name w:val="Nagłówek Znak"/>
    <w:basedOn w:val="DefaultParagraphFont"/>
    <w:uiPriority w:val="99"/>
    <w:qFormat/>
    <w:rsid w:val="00242286"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StopkaZnak" w:customStyle="1">
    <w:name w:val="Stopka Znak"/>
    <w:basedOn w:val="DefaultParagraphFont"/>
    <w:uiPriority w:val="99"/>
    <w:qFormat/>
    <w:rsid w:val="00242286"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42286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AnnotationText"/>
    <w:uiPriority w:val="99"/>
    <w:semiHidden/>
    <w:qFormat/>
    <w:rsid w:val="00242286"/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242286"/>
    <w:rPr>
      <w:rFonts w:ascii="Times New Roman" w:hAnsi="Times New Roman" w:eastAsia="Times New Roman" w:cs="Times New Roman"/>
      <w:b/>
      <w:bCs/>
      <w:sz w:val="20"/>
      <w:szCs w:val="20"/>
      <w:lang w:eastAsia="ar-SA"/>
    </w:rPr>
  </w:style>
  <w:style w:type="character" w:styleId="TekstdymkaZnak" w:customStyle="1">
    <w:name w:val="Tekst dymka Znak"/>
    <w:basedOn w:val="DefaultParagraphFont"/>
    <w:link w:val="BalloonText"/>
    <w:uiPriority w:val="99"/>
    <w:semiHidden/>
    <w:qFormat/>
    <w:rsid w:val="00242286"/>
    <w:rPr>
      <w:rFonts w:ascii="Segoe UI" w:hAnsi="Segoe UI" w:eastAsia="Times New Roman" w:cs="Segoe UI"/>
      <w:sz w:val="18"/>
      <w:szCs w:val="18"/>
      <w:lang w:eastAsia="ar-SA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kstpodstawowyZnak"/>
    <w:semiHidden/>
    <w:rsid w:val="00506b3a"/>
    <w:pPr/>
    <w:rPr>
      <w:sz w:val="28"/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link w:val="TekstpodstawowywcityZnak1"/>
    <w:rsid w:val="00506b3a"/>
    <w:pPr>
      <w:ind w:firstLine="708"/>
      <w:jc w:val="both"/>
    </w:pPr>
    <w:rPr>
      <w:lang w:val="x-none"/>
    </w:rPr>
  </w:style>
  <w:style w:type="paragraph" w:styleId="Tekstpodstawowy21" w:customStyle="1">
    <w:name w:val="Tekst podstawowy 21"/>
    <w:basedOn w:val="Normal"/>
    <w:qFormat/>
    <w:rsid w:val="00506b3a"/>
    <w:pPr>
      <w:jc w:val="both"/>
    </w:pPr>
    <w:rPr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506b3a"/>
    <w:pPr>
      <w:spacing w:before="0" w:after="0"/>
      <w:ind w:left="720"/>
      <w:contextualSpacing/>
    </w:pPr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242286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StopkaZnak"/>
    <w:uiPriority w:val="99"/>
    <w:unhideWhenUsed/>
    <w:rsid w:val="00242286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AnnotationText">
    <w:name w:val="Annotation Text"/>
    <w:basedOn w:val="Normal"/>
    <w:link w:val="TekstkomentarzaZnak"/>
    <w:uiPriority w:val="99"/>
    <w:semiHidden/>
    <w:unhideWhenUsed/>
    <w:rsid w:val="00242286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242286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242286"/>
    <w:pPr/>
    <w:rPr>
      <w:rFonts w:ascii="Segoe UI" w:hAnsi="Segoe UI" w:cs="Segoe UI"/>
      <w:sz w:val="18"/>
      <w:szCs w:val="18"/>
    </w:rPr>
  </w:style>
  <w:style w:type="paragraph" w:styleId="WW-HTML-wstpniesformatowany" w:customStyle="1">
    <w:name w:val="WW-HTML - wstępnie sformatowany"/>
    <w:basedOn w:val="Normal"/>
    <w:qFormat/>
    <w:rsid w:val="001848c9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ourier New" w:cs="Courier New"/>
      <w:sz w:val="20"/>
      <w:szCs w:val="20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Application>LibreOffice/24.2.7.2$Linux_X86_64 LibreOffice_project/420$Build-2</Application>
  <AppVersion>15.0000</AppVersion>
  <Pages>6</Pages>
  <Words>1654</Words>
  <Characters>11524</Characters>
  <CharactersWithSpaces>12969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2025-12-30T11:16:00Z</dcterms:created>
  <dc:creator>Katarzyna Wojtkowska</dc:creator>
  <dc:description/>
  <dc:language>pl-PL</dc:language>
  <cp:lastModifiedBy/>
  <dcterms:modified xsi:type="dcterms:W3CDTF">2026-10-24T01:18:20Z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