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宋体" w:eastAsia="宋体" w:hAnsi="宋体" w:cs="宋体"/>
          <w:kern w:val="0"/>
          <w:sz w:val="24"/>
          <w:szCs w:val="24"/>
        </w:rPr>
        <w:t>财务因子</w:t>
      </w: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宋体" w:eastAsia="宋体" w:hAnsi="宋体" w:cs="宋体"/>
          <w:kern w:val="0"/>
          <w:sz w:val="24"/>
          <w:szCs w:val="24"/>
        </w:rPr>
        <w:t>盈利能力： 单季度ROE</w:t>
      </w:r>
    </w:p>
    <w:p w:rsidR="00FF57A5" w:rsidRPr="00FF57A5" w:rsidRDefault="00FF57A5" w:rsidP="00B123E1">
      <w:pPr>
        <w:widowControl/>
        <w:spacing w:beforeLines="20" w:before="62" w:line="288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pro</w:t>
      </w: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fina_indicator["roe"]</w:t>
      </w:r>
      <w:bookmarkStart w:id="0" w:name="_GoBack"/>
      <w:bookmarkEnd w:id="0"/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宋体" w:eastAsia="宋体" w:hAnsi="宋体" w:cs="宋体"/>
          <w:kern w:val="0"/>
          <w:sz w:val="24"/>
          <w:szCs w:val="24"/>
        </w:rPr>
        <w:t>收益质量：单季度经营活动净收益/利润总额</w:t>
      </w:r>
    </w:p>
    <w:p w:rsidR="00FF57A5" w:rsidRPr="00FF57A5" w:rsidRDefault="00FF57A5" w:rsidP="00B123E1">
      <w:pPr>
        <w:widowControl/>
        <w:spacing w:beforeLines="20" w:before="62" w:line="288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pro</w:t>
      </w: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fina_indicator["opincome_of_ebt"]</w:t>
      </w: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宋体" w:eastAsia="宋体" w:hAnsi="宋体" w:cs="宋体"/>
          <w:kern w:val="0"/>
          <w:sz w:val="24"/>
          <w:szCs w:val="24"/>
        </w:rPr>
        <w:t>现金流量：单季度经营现金净流量/营业收入</w:t>
      </w:r>
    </w:p>
    <w:p w:rsidR="00FF57A5" w:rsidRPr="00FF57A5" w:rsidRDefault="00FF57A5" w:rsidP="00B123E1">
      <w:pPr>
        <w:widowControl/>
        <w:spacing w:beforeLines="20" w:before="62" w:line="288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pro</w:t>
      </w: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fina_indicator["</w:t>
      </w:r>
      <w:r w:rsidR="00285687" w:rsidRPr="00B123E1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ocf_to_or</w:t>
      </w:r>
      <w:r w:rsidR="00285687" w:rsidRPr="00B123E1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 xml:space="preserve">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"]</w:t>
      </w:r>
      <w:r w:rsidR="00285687" w:rsidRPr="00B123E1">
        <w:rPr>
          <w:sz w:val="24"/>
          <w:szCs w:val="24"/>
        </w:rPr>
        <w:t xml:space="preserve"> </w:t>
      </w: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资本结构：流动负债/负债合计 </w:t>
      </w:r>
    </w:p>
    <w:p w:rsidR="00FF57A5" w:rsidRPr="00FF57A5" w:rsidRDefault="00FF57A5" w:rsidP="00B123E1">
      <w:pPr>
        <w:widowControl/>
        <w:spacing w:beforeLines="20" w:before="62" w:line="288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pro</w:t>
      </w: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fina_indicator["</w:t>
      </w:r>
      <w:r w:rsidR="00285687" w:rsidRPr="00B123E1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currentdebt_to_debt</w:t>
      </w:r>
      <w:r w:rsidR="00285687" w:rsidRPr="00B123E1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 xml:space="preserve">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"]</w:t>
      </w:r>
      <w:r w:rsidR="00285687" w:rsidRPr="00B123E1">
        <w:rPr>
          <w:sz w:val="24"/>
          <w:szCs w:val="24"/>
        </w:rPr>
        <w:t xml:space="preserve"> </w:t>
      </w: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宋体" w:eastAsia="宋体" w:hAnsi="宋体" w:cs="宋体"/>
          <w:kern w:val="0"/>
          <w:sz w:val="24"/>
          <w:szCs w:val="24"/>
        </w:rPr>
        <w:t>偿债能力： 流动比率（IC IR表现不佳，若需要可删）</w:t>
      </w:r>
    </w:p>
    <w:p w:rsidR="00FF57A5" w:rsidRPr="00FF57A5" w:rsidRDefault="00FF57A5" w:rsidP="00B123E1">
      <w:pPr>
        <w:widowControl/>
        <w:spacing w:beforeLines="20" w:before="62" w:line="288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pro</w:t>
      </w: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fina_indicator["</w:t>
      </w: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current_ratio"]</w:t>
      </w: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宋体" w:eastAsia="宋体" w:hAnsi="宋体" w:cs="宋体"/>
          <w:kern w:val="0"/>
          <w:sz w:val="24"/>
          <w:szCs w:val="24"/>
        </w:rPr>
        <w:t>营运能力：总资产周转率（IC IR表现不佳，若需要可删）</w:t>
      </w:r>
    </w:p>
    <w:p w:rsidR="00FF57A5" w:rsidRPr="00FF57A5" w:rsidRDefault="00FF57A5" w:rsidP="00B123E1">
      <w:pPr>
        <w:widowControl/>
        <w:spacing w:beforeLines="20" w:before="62" w:line="288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pro</w:t>
      </w: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fina_indicator["assets_turn"]</w:t>
      </w: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宋体" w:eastAsia="宋体" w:hAnsi="宋体" w:cs="宋体"/>
          <w:kern w:val="0"/>
          <w:sz w:val="24"/>
          <w:szCs w:val="24"/>
        </w:rPr>
        <w:t>成长性因子</w:t>
      </w: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57A5">
        <w:rPr>
          <w:rFonts w:ascii="宋体" w:eastAsia="宋体" w:hAnsi="宋体" w:cs="宋体"/>
          <w:kern w:val="0"/>
          <w:sz w:val="24"/>
          <w:szCs w:val="24"/>
        </w:rPr>
        <w:t>附注：季度因子+增长率（t-(t-1))/</w:t>
      </w:r>
      <w:r w:rsidRPr="00B123E1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FF57A5">
        <w:rPr>
          <w:rFonts w:ascii="宋体" w:eastAsia="宋体" w:hAnsi="宋体" w:cs="宋体"/>
          <w:kern w:val="0"/>
          <w:sz w:val="24"/>
          <w:szCs w:val="24"/>
        </w:rPr>
        <w:t>t-1</w:t>
      </w:r>
      <w:r w:rsidRPr="00B123E1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当季净利润同比增长率</w:t>
      </w:r>
    </w:p>
    <w:p w:rsidR="00FF57A5" w:rsidRPr="00FF57A5" w:rsidRDefault="00FF57A5" w:rsidP="00B123E1">
      <w:pPr>
        <w:widowControl/>
        <w:spacing w:beforeLines="20" w:before="62" w:line="288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pro</w:t>
      </w: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income["n_income_attr_p"]</w:t>
      </w: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当季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ROE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同比增长率</w:t>
      </w:r>
    </w:p>
    <w:p w:rsidR="00FF57A5" w:rsidRPr="00FF57A5" w:rsidRDefault="00FF57A5" w:rsidP="00B123E1">
      <w:pPr>
        <w:widowControl/>
        <w:spacing w:beforeLines="20" w:before="62" w:line="288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pro</w:t>
      </w: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fina_indicator["roe"]</w:t>
      </w: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当季营业收入同比增长率</w:t>
      </w:r>
    </w:p>
    <w:p w:rsidR="00FF57A5" w:rsidRPr="00FF57A5" w:rsidRDefault="00FF57A5" w:rsidP="00B123E1">
      <w:pPr>
        <w:widowControl/>
        <w:spacing w:beforeLines="20" w:before="62" w:line="288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pro</w:t>
      </w: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income["revenue"]</w:t>
      </w:r>
    </w:p>
    <w:p w:rsidR="00FF57A5" w:rsidRPr="00FF57A5" w:rsidRDefault="00FF57A5" w:rsidP="00B123E1">
      <w:pPr>
        <w:widowControl/>
        <w:spacing w:beforeLines="20" w:before="62"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当季经营性现金流同比增长率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n_cashflow_act</w:t>
      </w:r>
    </w:p>
    <w:p w:rsidR="00FF57A5" w:rsidRPr="00FF57A5" w:rsidRDefault="00FF57A5" w:rsidP="00B123E1">
      <w:pPr>
        <w:widowControl/>
        <w:spacing w:beforeLines="20" w:before="62" w:line="288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pro</w:t>
      </w:r>
      <w:r w:rsidRPr="00FF57A5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F57A5">
        <w:rPr>
          <w:rFonts w:ascii="Arial" w:eastAsia="宋体" w:hAnsi="Arial" w:cs="Arial"/>
          <w:color w:val="0A0A0A"/>
          <w:kern w:val="0"/>
          <w:sz w:val="24"/>
          <w:szCs w:val="24"/>
          <w:shd w:val="clear" w:color="auto" w:fill="FFFFFF"/>
        </w:rPr>
        <w:t>cashflow["revenue"]</w:t>
      </w:r>
    </w:p>
    <w:p w:rsidR="00A51AF2" w:rsidRPr="00B123E1" w:rsidRDefault="00864FD3" w:rsidP="00B123E1">
      <w:pPr>
        <w:spacing w:beforeLines="20" w:before="62" w:line="288" w:lineRule="auto"/>
        <w:rPr>
          <w:sz w:val="24"/>
          <w:szCs w:val="24"/>
        </w:rPr>
      </w:pPr>
    </w:p>
    <w:sectPr w:rsidR="00A51AF2" w:rsidRPr="00B12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FD3" w:rsidRDefault="00864FD3" w:rsidP="00FF57A5">
      <w:r>
        <w:separator/>
      </w:r>
    </w:p>
  </w:endnote>
  <w:endnote w:type="continuationSeparator" w:id="0">
    <w:p w:rsidR="00864FD3" w:rsidRDefault="00864FD3" w:rsidP="00FF5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FD3" w:rsidRDefault="00864FD3" w:rsidP="00FF57A5">
      <w:r>
        <w:separator/>
      </w:r>
    </w:p>
  </w:footnote>
  <w:footnote w:type="continuationSeparator" w:id="0">
    <w:p w:rsidR="00864FD3" w:rsidRDefault="00864FD3" w:rsidP="00FF5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D0"/>
    <w:rsid w:val="00103DF9"/>
    <w:rsid w:val="00285687"/>
    <w:rsid w:val="00864FD3"/>
    <w:rsid w:val="008B0470"/>
    <w:rsid w:val="00B123E1"/>
    <w:rsid w:val="00C535EE"/>
    <w:rsid w:val="00FE72D0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4BB6A"/>
  <w15:chartTrackingRefBased/>
  <w15:docId w15:val="{45229A9C-FA46-4E34-B31E-F3F3F193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长莹</dc:creator>
  <cp:keywords/>
  <dc:description/>
  <cp:lastModifiedBy>关 长莹</cp:lastModifiedBy>
  <cp:revision>4</cp:revision>
  <dcterms:created xsi:type="dcterms:W3CDTF">2020-12-04T08:56:00Z</dcterms:created>
  <dcterms:modified xsi:type="dcterms:W3CDTF">2020-12-04T08:58:00Z</dcterms:modified>
</cp:coreProperties>
</file>