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keepNext/>
        <w:rPr>
          <w:b/>
          <w:bCs/>
          <w:sz w:val="28"/>
          <w:szCs w:val="28"/>
        </w:rPr>
        <w:outlineLvl w:val="0"/>
      </w:pPr>
      <w:r>
        <w:rPr>
          <w:b/>
          <w:bCs/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keepNext/>
        <w:rPr>
          <w:b/>
          <w:sz w:val="28"/>
        </w:rPr>
        <w:outlineLvl w:val="0"/>
      </w:pPr>
      <w:r>
        <w:rPr>
          <w:rFonts w:ascii="Cambria" w:hAnsi="Cambria"/>
          <w:b/>
          <w:bCs/>
          <w:sz w:val="28"/>
        </w:rPr>
        <w:t xml:space="preserve">Филиал «Протвино»</w:t>
      </w:r>
      <w:r>
        <w:rPr>
          <w:b/>
          <w:bCs/>
          <w:sz w:val="28"/>
        </w:rPr>
        <w:t xml:space="preserve"> федерального государственного бюджетного образовательного учреждения</w:t>
      </w:r>
      <w:r>
        <w:rPr>
          <w:b/>
          <w:bCs/>
          <w:sz w:val="28"/>
        </w:rPr>
        <w:t xml:space="preserve"> </w:t>
      </w:r>
      <w:r>
        <w:rPr>
          <w:b/>
          <w:sz w:val="28"/>
        </w:rPr>
        <w:t xml:space="preserve">высшего образования </w:t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«Университет «Дубна»</w:t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Кафедра «</w:t>
      </w:r>
      <w:r>
        <w:rPr>
          <w:b/>
          <w:sz w:val="28"/>
        </w:rPr>
        <w:t xml:space="preserve">Информационные технологии</w:t>
      </w:r>
      <w:r>
        <w:rPr>
          <w:b/>
          <w:sz w:val="28"/>
        </w:rPr>
        <w:t xml:space="preserve">»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spacing w:after="120"/>
        <w:rPr>
          <w:b/>
          <w:sz w:val="40"/>
          <w:szCs w:val="28"/>
          <w:u w:val="single"/>
        </w:rPr>
      </w:pPr>
      <w:r>
        <w:rPr>
          <w:b/>
          <w:sz w:val="40"/>
          <w:szCs w:val="28"/>
        </w:rPr>
        <w:t xml:space="preserve">РЕФЕРАТ</w:t>
      </w:r>
      <w:r/>
    </w:p>
    <w:p>
      <w:pPr>
        <w:jc w:val="center"/>
        <w:spacing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на тему:</w:t>
      </w:r>
      <w:r/>
    </w:p>
    <w:p>
      <w:pPr>
        <w:jc w:val="center"/>
        <w:spacing w:after="1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Погрешности измерений, абс</w:t>
      </w:r>
      <w:r>
        <w:rPr>
          <w:sz w:val="28"/>
          <w:szCs w:val="28"/>
        </w:rPr>
        <w:t xml:space="preserve">олютная и относительная ошибка. </w:t>
      </w:r>
      <w:r>
        <w:rPr>
          <w:sz w:val="28"/>
          <w:szCs w:val="28"/>
        </w:rPr>
        <w:t xml:space="preserve">Погрешности прямых и косвенных измерений</w:t>
      </w:r>
      <w:r>
        <w:rPr>
          <w:sz w:val="28"/>
          <w:szCs w:val="28"/>
        </w:rPr>
        <w:t xml:space="preserve">»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right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Выполнил     </w:t>
      </w:r>
      <w:r>
        <w:rPr>
          <w:sz w:val="28"/>
          <w:szCs w:val="28"/>
          <w:u w:val="single"/>
        </w:rPr>
        <w:t xml:space="preserve">студент </w:t>
      </w:r>
      <w:r>
        <w:rPr>
          <w:sz w:val="28"/>
          <w:szCs w:val="28"/>
          <w:u w:val="single"/>
        </w:rPr>
        <w:t xml:space="preserve">5</w:t>
      </w:r>
      <w:r>
        <w:rPr>
          <w:sz w:val="28"/>
          <w:szCs w:val="28"/>
          <w:u w:val="single"/>
        </w:rPr>
        <w:t xml:space="preserve"> курса, группы </w:t>
      </w:r>
      <w:r>
        <w:rPr>
          <w:sz w:val="28"/>
          <w:szCs w:val="28"/>
          <w:u w:val="single"/>
        </w:rPr>
        <w:t xml:space="preserve">ПЗС 191</w:t>
      </w:r>
      <w:r/>
    </w:p>
    <w:p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Алифанов</w:t>
      </w:r>
      <w:r>
        <w:rPr>
          <w:sz w:val="28"/>
          <w:szCs w:val="28"/>
          <w:u w:val="single"/>
        </w:rPr>
        <w:t xml:space="preserve"> Сергей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       </w:t>
      </w:r>
      <w:r>
        <w:rPr>
          <w:sz w:val="28"/>
          <w:szCs w:val="28"/>
          <w:u w:val="single"/>
        </w:rPr>
        <w:t xml:space="preserve">к.т.н., </w:t>
      </w:r>
      <w:r>
        <w:rPr>
          <w:sz w:val="28"/>
          <w:szCs w:val="28"/>
          <w:u w:val="single"/>
        </w:rPr>
        <w:t xml:space="preserve">доцент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u w:val="single"/>
        </w:rPr>
        <w:t xml:space="preserve">Маков</w:t>
      </w:r>
      <w:r>
        <w:rPr>
          <w:sz w:val="28"/>
          <w:szCs w:val="28"/>
          <w:u w:val="single"/>
        </w:rPr>
        <w:t xml:space="preserve"> П.В.</w:t>
      </w:r>
      <w:r>
        <w:rPr>
          <w:sz w:val="28"/>
          <w:szCs w:val="28"/>
        </w:rPr>
        <w:t xml:space="preserve">_____</w:t>
      </w:r>
      <w:r>
        <w:rPr>
          <w:sz w:val="28"/>
          <w:szCs w:val="28"/>
          <w:u w:val="single"/>
        </w:rPr>
        <w:t xml:space="preserve">  </w:t>
      </w:r>
      <w:r/>
    </w:p>
    <w:p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  <w:r/>
    </w:p>
    <w:p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  <w:r/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Оценка: ____________</w:t>
      </w:r>
      <w:r/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Дата защиты: ____________</w:t>
      </w:r>
      <w:r/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 руководителя ______________</w:t>
      </w:r>
      <w:r/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Протвино, 20</w:t>
      </w:r>
      <w:r>
        <w:rPr>
          <w:sz w:val="28"/>
          <w:szCs w:val="28"/>
        </w:rPr>
        <w:t xml:space="preserve">24</w:t>
      </w:r>
      <w:r>
        <w:rPr>
          <w:sz w:val="28"/>
          <w:szCs w:val="28"/>
        </w:rPr>
        <w:t xml:space="preserve"> г.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  <w:t xml:space="preserve">Содержание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Введение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39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 всем пути развития человече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ского общества измерения были основой взаимоотношений людей между собой, с окружающими предметами, с природой. При этом вырабатывались определенные представления о размерах, формах, свойствах предметов и явлений, а также правила и способы их сопоставления.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39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39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br w:type="page" w:clear="all"/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Виды, методы и методики измерений.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39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 зависимости от способа обработки экспериментальных данных различают прямые, косвенные, совокупные и совместные измерения.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39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Прямые - измерение, при котором искомое значение величины находят непосредственно из опытных данных (измерение напряжения вольтметром).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39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Косвенные - измерение, при котором искомое значение величины вычисляется по результатам прямых измерений других величин (коэффициент усиления усилителя вычисляют по измеренным значениям входного и выходного напряжений).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firstLine="539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Результат, полученный в процессе измерения физической величины на некотором временном интервале - наблюдением. В зависимости от свойств исследуемого объекта, с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войств среды, измерительного прибора и других причин измерения выполняют с однократным или многократным наблюдениями. В последнем случае для получения результата измерения требуется статистическая обработка наблюдений, а измерения называют статистическими.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39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 зависимости от точности оценки погрешности различают измер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ения с точным или с приближенным оцениванием погрешности. В последнем случае учитывают нормированные данные о средствах и приближенно оценивают условия измерений. Таких измерений большинство. Метод измерения – совокупность средств и способов их применения.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39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Числовое значение измеряемой величины определяют путем её сравнения с известной величиной - мерой.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39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Методика измерений - установленная совокупность операций и правил, выполнение которых обеспечивает получение результата измерений в соответствии с выбранным методом.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39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Измерение – единственный источник информации о свойствах физических объектов и явлений. Подготовка к измерениям включает: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numPr>
          <w:ilvl w:val="0"/>
          <w:numId w:val="9"/>
        </w:numPr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анализ поставленной задачи;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numPr>
          <w:ilvl w:val="0"/>
          <w:numId w:val="9"/>
        </w:numPr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создание условий для измерений;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numPr>
          <w:ilvl w:val="0"/>
          <w:numId w:val="9"/>
        </w:numPr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выбор средств и методов измерений;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numPr>
          <w:ilvl w:val="0"/>
          <w:numId w:val="9"/>
        </w:numPr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подготовку оператора;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numPr>
          <w:ilvl w:val="0"/>
          <w:numId w:val="9"/>
        </w:numPr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опробование средств измерений.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39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Достоверность результатов измерений зависит от условий, в которых выполнялись измерения.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39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Условия – это совокупность величин, влияющих на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значение результатов измерения. Влияющие величины разделяются на следующие группы: климатические, электрические и магнитные (колебания электрического тока, напряжения в сети), внешние нагрузки (вибрации, ударные нагрузки, внешние контакты приборов). Для к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онкретных областей измерений устанавливают единые нормальные условия. Значение физической величины, соответствующее нормальному, называют номинальным. При выполнении точных измерений применяют специальные средства защиты, обеспечивающие нормальные условия.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39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Организация измерений имеет большое значение для получения достоверного результата. Это в зн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ачительной мере зависит от квалификации оператора, его технической и практической подготовки, проверки средств измерений до начала измерительного процесса, а также выбранной методики проведения измерений. Во время выполнения измерений оператору необходимо: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numPr>
          <w:ilvl w:val="0"/>
          <w:numId w:val="10"/>
        </w:numPr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соблюдать правила по технике безопасности при работе с измерительными приборами;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numPr>
          <w:ilvl w:val="0"/>
          <w:numId w:val="10"/>
        </w:numPr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следить за условиями измерений и поддерживать их в заданном режиме;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numPr>
          <w:ilvl w:val="0"/>
          <w:numId w:val="10"/>
        </w:numPr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тщательно фиксировать отсчеты в той форме, в которой они получены;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numPr>
          <w:ilvl w:val="0"/>
          <w:numId w:val="10"/>
        </w:numPr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вести запись показаний с числом цифр после запятой на две больше, чем требуется в окончательном результате;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numPr>
          <w:ilvl w:val="0"/>
          <w:numId w:val="10"/>
        </w:numPr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определять возможный источник систематических погрешностей.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39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Принято считать, что погрешность округления при снятии отсчета оператором не должна изменять последнюю значащую цифру погрешности окончательного результата измерений. Обычно ее принимают равной 10 % от допускаемой погрешн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ости окончательного результата измерений. В противном случае число измерений увеличивают настолько, чтобы погрешность округления удовлетворяла указанному условию. Единство одних и тех же измерений обеспечивается едиными правилами и способами их выполнения.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firstLine="0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ab/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firstLine="0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Виды измерений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Измерения делятся на прямые и косвенные. При прямом измерении результат получается непосредственно из измерения самой величины (например, измерение длины проградуированной линейкой, времени - секундомером и т.д.). Однако прямые измерения не всегда возможны</w:t>
      </w:r>
      <w:r>
        <w:rPr>
          <w:rFonts w:ascii="Times New Roman" w:hAnsi="Times New Roman" w:cs="Times New Roman" w:eastAsia="Times New Roman"/>
          <w:sz w:val="28"/>
        </w:rPr>
        <w:t xml:space="preserve"> или достаточно точны. В этих случаях прибегают к косвенным измерениям, при которых искомое значение величины находится по известной зависимости между ней и величинами, определяемыми в ходе прямых измерений.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31825" cy="327415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18303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531823" cy="3274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5.6pt;height:257.8pt;rotation:0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Измерения не могут быть выполнены абсолютно точно. Всегда имеется некоторая неопределенность в значении измеряемой величины. Эта неопределенность характеризуется погрешностью - отклонением измеренного значения величины от ее истинного значения. Приведем не</w:t>
      </w:r>
      <w:r>
        <w:rPr>
          <w:rFonts w:ascii="Times New Roman" w:hAnsi="Times New Roman" w:cs="Times New Roman" w:eastAsia="Times New Roman"/>
          <w:sz w:val="28"/>
        </w:rPr>
        <w:t xml:space="preserve">которые из причин, приводящих к появлению погрешностей.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1. Ограниченная точность измерительных приборов.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2. Влияние на измерение неконтролируемых изменений внешних условий (напряжения в электрической сети, температуры и т.д.)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3. Действия экспериментатора (</w:t>
      </w:r>
      <w:r>
        <w:rPr>
          <w:rFonts w:ascii="Times New Roman" w:hAnsi="Times New Roman" w:cs="Times New Roman" w:eastAsia="Times New Roman"/>
          <w:sz w:val="28"/>
        </w:rPr>
        <w:t xml:space="preserve">включение секундомера с некоторым запаздыванием, различное размещение глаз по отношению к шкале прибора и т.п.).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4. Неполное соответствие измеряемого объекта той абстракции, которая принята для измеряемой величины (например, при измерении объема пластинка </w:t>
      </w:r>
      <w:r>
        <w:rPr>
          <w:rFonts w:ascii="Times New Roman" w:hAnsi="Times New Roman" w:cs="Times New Roman" w:eastAsia="Times New Roman"/>
          <w:sz w:val="28"/>
        </w:rPr>
        <w:t xml:space="preserve">считается параллелепипедом, в то время как у нее могут быть закругления на ребрах).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5. Нестрогость законов, которые используются для нахождения измеряемой величины или лежат в основе устройства прибора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48360" cy="418948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47176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748359" cy="4189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2.6pt;height:329.9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Погрешности прямых измерений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Измерения бывают однократные и многократные. Однократные измерения проводить проще и дешевле. Но многократные дают более точный результат, так как они уменьшают влияние случайных погрешностей.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Прямые однократные измерения являются основным видом технических измерений и проводятся в том случае, когда ожидается пренебрежимо малая (по сравнению с инструментальной) случайная погрешность.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При однократных прямых измерениях величину погрешности принимают равной цене деления прибора (или половине цены деления, если деления расположены не очень часто и можно определить, к какому из двух соседних делений значение измеряемой величины ближе). Пред</w:t>
      </w:r>
      <w:r>
        <w:rPr>
          <w:rFonts w:ascii="Times New Roman" w:hAnsi="Times New Roman" w:cs="Times New Roman" w:eastAsia="Times New Roman"/>
          <w:sz w:val="28"/>
        </w:rPr>
        <w:t xml:space="preserve">ел допустимой погрешности цифрового измерительного прибора рассчитывают по паспортным данным, содержащим формулу для расчета погрешности именно данного прибора. При отсутствии паспорта за оценку погрешности принимают единицу наименьшего разряда цифрового и</w:t>
      </w:r>
      <w:r>
        <w:rPr>
          <w:rFonts w:ascii="Times New Roman" w:hAnsi="Times New Roman" w:cs="Times New Roman" w:eastAsia="Times New Roman"/>
          <w:sz w:val="28"/>
        </w:rPr>
        <w:t xml:space="preserve">ндикатора. Так, при наблюдаемой на индикаторе частоте 161,2 кГц погрешность частотомера оценивают как 0,1 кГц.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Многократные измерения проводятся с целью уменьшения влияния случайных погрешностей на результат измерения. При многократных измерениях за измеренное значение величины принимается среднее арифметическое из всех полученных отдельных измерений.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Любое измерение наряду со случайными ошибками сопровождается также приборной погрешностью, величина которой зависит от принципов работы прибора и качества его изготовления. Промышленно выпускаемый измерительный прибор с</w:t>
      </w:r>
      <w:r>
        <w:rPr>
          <w:rFonts w:ascii="Times New Roman" w:hAnsi="Times New Roman" w:cs="Times New Roman" w:eastAsia="Times New Roman"/>
          <w:sz w:val="28"/>
        </w:rPr>
        <w:t xml:space="preserve">набжается паспортом, где указывается предел допускаемой погрешности.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В общем случае при оценке абсолютной случайной погрешности однократных измерений необходимо учитывать как погрешность отсчета, так и погрешность прибора. Факторы, способствующие появлению каждой из этих случайных погрешностей, д</w:t>
      </w:r>
      <w:r>
        <w:rPr>
          <w:rFonts w:ascii="Times New Roman" w:hAnsi="Times New Roman" w:cs="Times New Roman" w:eastAsia="Times New Roman"/>
          <w:sz w:val="28"/>
        </w:rPr>
        <w:t xml:space="preserve">ействуют независимо друг от друга. Поэтому для определения полной погрешности однократных измерений используют принятое в теории вероятностей правило сложения независимых случайных величин: дисперсия функции распределения суммы независимых случайны</w:t>
      </w:r>
      <w:r>
        <w:rPr>
          <w:rFonts w:ascii="Times New Roman" w:hAnsi="Times New Roman" w:cs="Times New Roman" w:eastAsia="Times New Roman"/>
          <w:sz w:val="28"/>
        </w:rPr>
        <w:t xml:space="preserve">х величин равна сумме дисперсий функций распределения этих величин.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Погрешности косвенных измерений</w:t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Как уже отмечалось, косвенным называется измерение, при котором значение физической величины находят на основании известной зависимости между этой величиной и величинами, найденными в результате прямых измерений. Причем част</w:t>
      </w:r>
      <w:r>
        <w:rPr>
          <w:rFonts w:ascii="Times New Roman" w:hAnsi="Times New Roman" w:cs="Times New Roman" w:eastAsia="Times New Roman"/>
          <w:sz w:val="28"/>
        </w:rPr>
        <w:t xml:space="preserve">ь величин может определяться путем многократных измерений, а часть – однократными измерениями.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Точность измерений отражает близость результатов к истинному значению измеряемой величины. Разность между результатом измерения некоторой величины и его истинным значением </w:t>
      </w:r>
      <w:r>
        <w:rPr>
          <w:rFonts w:ascii="Times New Roman" w:hAnsi="Times New Roman" w:cs="Times New Roman" w:eastAsia="Times New Roman"/>
          <w:sz w:val="28"/>
        </w:rPr>
        <w:t xml:space="preserve">называется абсолютной погрешностью (ошибкой) измерения </w:t>
      </w:r>
      <w:r>
        <w:rPr>
          <w:rFonts w:ascii="Times New Roman" w:hAnsi="Times New Roman" w:cs="Times New Roman" w:eastAsia="Times New Roman"/>
          <w:sz w:val="28"/>
        </w:rPr>
        <w:t xml:space="preserve">Качество измерения обычно характеризуется относительной погрешностью (ошибкой), которая представляет собой отношение абсолютной погрешности к истинному значению измеряемой величины и часто выражается в процентах.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Следует подчеркнуть, что погрешности являются неотъемлемой составляющей любого измерения – принципиально невозможно устранить все посторонние влияния на процесс измерения. Поэтому в эксперименте недостаточно измерить величину, необходимо еще корректно оцен</w:t>
      </w:r>
      <w:r>
        <w:rPr>
          <w:rFonts w:ascii="Times New Roman" w:hAnsi="Times New Roman" w:cs="Times New Roman" w:eastAsia="Times New Roman"/>
          <w:sz w:val="28"/>
        </w:rPr>
        <w:t xml:space="preserve">ить погрешность измерения. Знание погрешности позволяет, например, сделать вывод о том, изменяется ли измеряемая величина в ходе эксперимента или нет. Также без знания погрешности нельзя сравнивать результаты измерений одной величины, выполненных разными м</w:t>
      </w:r>
      <w:r>
        <w:rPr>
          <w:rFonts w:ascii="Times New Roman" w:hAnsi="Times New Roman" w:cs="Times New Roman" w:eastAsia="Times New Roman"/>
          <w:sz w:val="28"/>
        </w:rPr>
        <w:t xml:space="preserve">етодами в разных лабораториях. Измеренные величины могут считаться одинаковыми только в том случае, когда их разница не превышает погрешностей их измерений. Таким образом, конечный результат эксперимента определяется не только результатом измерения, но и е</w:t>
      </w:r>
      <w:r>
        <w:rPr>
          <w:rFonts w:ascii="Times New Roman" w:hAnsi="Times New Roman" w:cs="Times New Roman" w:eastAsia="Times New Roman"/>
          <w:sz w:val="28"/>
        </w:rPr>
        <w:t xml:space="preserve">го погрешностью.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firstLine="0"/>
        <w:shd w:val="nil" w:color="000000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firstLine="708"/>
        <w:shd w:val="nil" w:color="000000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Исследуемая величина в подавляющем большинстве случаев не измеряется непосредственно, а является некоторой функцией других физических величия, непосредственно измеряемых в эксперименте.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firstLine="708"/>
        <w:shd w:val="nil" w:color="000000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firstLine="708"/>
        <w:shd w:val="nil" w:color="000000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В большинстве физических экспериментов представляют интерес физические величины, которые не измеряется непосредственно какими - либо приборами, а рассчитываются на основе прямых измерений других величин. При этом каждая искомая величина, связана функционально</w:t>
      </w:r>
      <w:r>
        <w:rPr>
          <w:rFonts w:ascii="Times New Roman" w:hAnsi="Times New Roman" w:cs="Times New Roman" w:eastAsia="Times New Roman"/>
          <w:sz w:val="28"/>
        </w:rPr>
        <w:t xml:space="preserve">й зависимостью с измеряемыми величинами. Полученные таким образом значения принято называть косвенными измерениями. В этом случае встает задача вычисления погрешности косвенных измерений при условии, что погрешности (границы доверительных интервалов) велич</w:t>
      </w:r>
      <w:r>
        <w:rPr>
          <w:rFonts w:ascii="Times New Roman" w:hAnsi="Times New Roman" w:cs="Times New Roman" w:eastAsia="Times New Roman"/>
          <w:sz w:val="28"/>
        </w:rPr>
        <w:t xml:space="preserve">ин, полученных из прямых измерений, известны.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firstLine="708"/>
        <w:shd w:val="nil" w:color="000000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firstLine="708"/>
        <w:shd w:val="nil" w:color="000000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br w:type="page" w:clear="all"/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31"/>
        <w:numPr>
          <w:ilvl w:val="0"/>
          <w:numId w:val="11"/>
        </w:num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Гриценко В.В. Погрешности измерений: Методические указания по организации, содержанию, оформлению и защите расчетного задания (контрольной работы) по дисциплине «Метрология, стандартизация и сертификация» для студентов направлений «Машиностроение», «Технол</w:t>
      </w:r>
      <w:r>
        <w:rPr>
          <w:rFonts w:ascii="Times New Roman" w:hAnsi="Times New Roman" w:cs="Times New Roman" w:eastAsia="Times New Roman"/>
          <w:sz w:val="28"/>
        </w:rPr>
        <w:t xml:space="preserve">огические машины и оборудование» и «Конструкторско-технологическое обеспечение машиностроительных производств» всех форм обучения / Рубцовский индустриальный институт. – Рубцовск, 2018. – 35 с.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31"/>
        <w:numPr>
          <w:ilvl w:val="0"/>
          <w:numId w:val="11"/>
        </w:num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Казанский федеральный университет ОБРАБОТКА И ПРЕДСТАВЛЕНИЕ РЕЗУЛЬТАТОВ ИЗМЕРЕНИЙ Мухамедшин И. Р. доцент кафедры общей физики Нагуллин К. Ю. доцент кафедры лазерных технологий КНИТУ КАИ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31"/>
        <w:numPr>
          <w:ilvl w:val="0"/>
          <w:numId w:val="11"/>
        </w:num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Кравченко Н.С. Методы обработки результатов измерений и оценки погрешностей в учебном лабораторном практикуме: учебное пособие; издание второе / Н.С. Кравченко, О.Г. Ревинская; Национальный исследовательский Томский политехнический университет. – Томс</w:t>
      </w:r>
      <w:r>
        <w:rPr>
          <w:rFonts w:ascii="Times New Roman" w:hAnsi="Times New Roman" w:cs="Times New Roman" w:eastAsia="Times New Roman"/>
          <w:sz w:val="28"/>
        </w:rPr>
        <w:t xml:space="preserve">к: Изд-во Томского политехнического университета, 2017. – 121 с.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31"/>
        <w:numPr>
          <w:ilvl w:val="0"/>
          <w:numId w:val="11"/>
        </w:numPr>
        <w:ind w:firstLine="708"/>
        <w:jc w:val="both"/>
        <w:spacing w:before="100" w:beforeAutospacing="1" w:line="360" w:lineRule="atLeast"/>
        <w:shd w:val="clear" w:color="auto" w:fill="ffff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Аксенова Е.Н., Гасников Н.К., Калашников Н.П. Методы оценки погрешностей результатов прямых и косвенных измерений в лабораториях физического практикума: Учебно-методическое пособие. – М.: МИФИ, 2009. – 24 с.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ahoma">
    <w:panose1 w:val="020B0606030504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firstLine="612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firstLine="612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firstLine="360"/>
      </w:pPr>
      <w:rPr>
        <w:rFonts w:cs="Times New Roman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firstLine="1080"/>
      </w:pPr>
      <w:rPr>
        <w:rFonts w:cs="Times New Roman"/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firstLine="2520"/>
      </w:pPr>
      <w:rPr>
        <w:rFonts w:cs="Times New Roman"/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firstLine="3240"/>
      </w:pPr>
      <w:rPr>
        <w:rFonts w:cs="Times New Roman"/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firstLine="4680"/>
      </w:pPr>
      <w:rPr>
        <w:rFonts w:cs="Times New Roman"/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firstLine="5400"/>
      </w:pPr>
      <w:rPr>
        <w:rFonts w:cs="Times New Roman"/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firstLine="612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firstLine="612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7200" w:firstLine="684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20"/>
    <w:link w:val="619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18"/>
    <w:next w:val="61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2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18"/>
    <w:next w:val="61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2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8"/>
    <w:next w:val="61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2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8"/>
    <w:next w:val="61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2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8"/>
    <w:next w:val="61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2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8"/>
    <w:next w:val="61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2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8"/>
    <w:next w:val="61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2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8"/>
    <w:next w:val="61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2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18"/>
    <w:next w:val="61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20"/>
    <w:link w:val="32"/>
    <w:uiPriority w:val="10"/>
    <w:rPr>
      <w:sz w:val="48"/>
      <w:szCs w:val="48"/>
    </w:rPr>
  </w:style>
  <w:style w:type="paragraph" w:styleId="34">
    <w:name w:val="Subtitle"/>
    <w:basedOn w:val="618"/>
    <w:next w:val="61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20"/>
    <w:link w:val="34"/>
    <w:uiPriority w:val="11"/>
    <w:rPr>
      <w:sz w:val="24"/>
      <w:szCs w:val="24"/>
    </w:rPr>
  </w:style>
  <w:style w:type="paragraph" w:styleId="36">
    <w:name w:val="Quote"/>
    <w:basedOn w:val="618"/>
    <w:next w:val="61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8"/>
    <w:next w:val="61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20"/>
    <w:link w:val="40"/>
    <w:uiPriority w:val="99"/>
  </w:style>
  <w:style w:type="paragraph" w:styleId="42">
    <w:name w:val="Footer"/>
    <w:basedOn w:val="61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20"/>
    <w:link w:val="42"/>
    <w:uiPriority w:val="99"/>
  </w:style>
  <w:style w:type="paragraph" w:styleId="44">
    <w:name w:val="Caption"/>
    <w:basedOn w:val="618"/>
    <w:next w:val="6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20"/>
    <w:uiPriority w:val="99"/>
    <w:unhideWhenUsed/>
    <w:rPr>
      <w:vertAlign w:val="superscript"/>
    </w:rPr>
  </w:style>
  <w:style w:type="paragraph" w:styleId="176">
    <w:name w:val="endnote text"/>
    <w:basedOn w:val="61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20"/>
    <w:uiPriority w:val="99"/>
    <w:semiHidden/>
    <w:unhideWhenUsed/>
    <w:rPr>
      <w:vertAlign w:val="superscript"/>
    </w:rPr>
  </w:style>
  <w:style w:type="paragraph" w:styleId="182">
    <w:name w:val="toc 4"/>
    <w:basedOn w:val="618"/>
    <w:next w:val="61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8"/>
    <w:next w:val="61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8"/>
    <w:next w:val="61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8"/>
    <w:next w:val="61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8"/>
    <w:next w:val="61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8"/>
    <w:next w:val="618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18"/>
    <w:next w:val="618"/>
    <w:uiPriority w:val="99"/>
    <w:unhideWhenUsed/>
    <w:pPr>
      <w:spacing w:after="0" w:afterAutospacing="0"/>
    </w:pPr>
  </w:style>
  <w:style w:type="paragraph" w:styleId="618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619">
    <w:name w:val="Heading 1"/>
    <w:basedOn w:val="618"/>
    <w:next w:val="618"/>
    <w:link w:val="623"/>
    <w:uiPriority w:val="99"/>
    <w:qFormat/>
    <w:pPr>
      <w:keepLines/>
      <w:keepNext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620" w:default="1">
    <w:name w:val="Default Paragraph Font"/>
    <w:uiPriority w:val="1"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character" w:styleId="623" w:customStyle="1">
    <w:name w:val="Заголовок 1 Знак"/>
    <w:link w:val="619"/>
    <w:uiPriority w:val="99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624">
    <w:name w:val="Balloon Text"/>
    <w:basedOn w:val="618"/>
    <w:link w:val="625"/>
    <w:uiPriority w:val="99"/>
    <w:semiHidden/>
    <w:rPr>
      <w:rFonts w:ascii="Tahoma" w:hAnsi="Tahoma" w:cs="Tahoma"/>
      <w:sz w:val="16"/>
      <w:szCs w:val="16"/>
    </w:rPr>
  </w:style>
  <w:style w:type="character" w:styleId="625" w:customStyle="1">
    <w:name w:val="Текст выноски Знак"/>
    <w:link w:val="624"/>
    <w:uiPriority w:val="99"/>
    <w:semiHidden/>
    <w:rPr>
      <w:rFonts w:ascii="Tahoma" w:hAnsi="Tahoma" w:cs="Tahoma"/>
      <w:sz w:val="16"/>
      <w:szCs w:val="16"/>
      <w:lang w:eastAsia="ru-RU"/>
    </w:rPr>
  </w:style>
  <w:style w:type="paragraph" w:styleId="626">
    <w:name w:val="Normal (Web)"/>
    <w:basedOn w:val="618"/>
    <w:uiPriority w:val="99"/>
    <w:semiHidden/>
    <w:pPr>
      <w:spacing w:before="100" w:beforeAutospacing="1" w:after="100" w:afterAutospacing="1"/>
    </w:pPr>
  </w:style>
  <w:style w:type="paragraph" w:styleId="627">
    <w:name w:val="TOC Heading"/>
    <w:basedOn w:val="619"/>
    <w:next w:val="618"/>
    <w:uiPriority w:val="99"/>
    <w:qFormat/>
    <w:pPr>
      <w:spacing w:line="276" w:lineRule="auto"/>
      <w:outlineLvl w:val="9"/>
    </w:pPr>
  </w:style>
  <w:style w:type="paragraph" w:styleId="628">
    <w:name w:val="toc 2"/>
    <w:basedOn w:val="618"/>
    <w:next w:val="618"/>
    <w:uiPriority w:val="99"/>
    <w:semiHidden/>
    <w:pPr>
      <w:ind w:left="220"/>
      <w:spacing w:after="100" w:line="276" w:lineRule="auto"/>
    </w:pPr>
    <w:rPr>
      <w:rFonts w:ascii="Calibri" w:hAnsi="Calibri"/>
      <w:sz w:val="22"/>
      <w:szCs w:val="22"/>
    </w:rPr>
  </w:style>
  <w:style w:type="paragraph" w:styleId="629">
    <w:name w:val="toc 1"/>
    <w:basedOn w:val="618"/>
    <w:next w:val="618"/>
    <w:uiPriority w:val="99"/>
    <w:semiHidden/>
    <w:pPr>
      <w:spacing w:after="100" w:line="276" w:lineRule="auto"/>
    </w:pPr>
    <w:rPr>
      <w:rFonts w:ascii="Calibri" w:hAnsi="Calibri"/>
      <w:sz w:val="22"/>
      <w:szCs w:val="22"/>
    </w:rPr>
  </w:style>
  <w:style w:type="paragraph" w:styleId="630">
    <w:name w:val="toc 3"/>
    <w:basedOn w:val="618"/>
    <w:next w:val="618"/>
    <w:uiPriority w:val="99"/>
    <w:semiHidden/>
    <w:pPr>
      <w:ind w:left="440"/>
      <w:spacing w:after="100" w:line="276" w:lineRule="auto"/>
    </w:pPr>
    <w:rPr>
      <w:rFonts w:ascii="Calibri" w:hAnsi="Calibri"/>
      <w:sz w:val="22"/>
      <w:szCs w:val="22"/>
    </w:rPr>
  </w:style>
  <w:style w:type="paragraph" w:styleId="631">
    <w:name w:val="List Paragraph"/>
    <w:basedOn w:val="618"/>
    <w:uiPriority w:val="99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Р7-Офис/7.1.1.35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leonov_ap</dc:creator>
  <cp:keywords/>
  <dc:description/>
  <cp:revision>4</cp:revision>
  <dcterms:created xsi:type="dcterms:W3CDTF">2024-01-21T17:30:00Z</dcterms:created>
  <dcterms:modified xsi:type="dcterms:W3CDTF">2024-01-22T13:25:27Z</dcterms:modified>
</cp:coreProperties>
</file>