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2D" w:rsidRDefault="00E91D2D" w:rsidP="00BC6DDC">
      <w:r>
        <w:t>Of the total number of domestic killings that have been disposed, about 47 percent involved offenders who pleaded guilty to a lesser offense than for which they were charged. *This data represents both male and female suspects charged in domestic murders from 2005-2013.</w:t>
      </w:r>
    </w:p>
    <w:p w:rsidR="00E91D2D" w:rsidRDefault="00E91D2D" w:rsidP="00BC6DDC">
      <w:r>
        <w:rPr>
          <w:noProof/>
        </w:rPr>
        <w:drawing>
          <wp:inline distT="0" distB="0" distL="0" distR="0" wp14:anchorId="233995FE" wp14:editId="5BE5E9DE">
            <wp:extent cx="45434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2D" w:rsidRDefault="00E91D2D" w:rsidP="00BC6DDC"/>
    <w:p w:rsidR="00E91D2D" w:rsidRDefault="00E91D2D" w:rsidP="00BC6DDC">
      <w:bookmarkStart w:id="0" w:name="_GoBack"/>
      <w:bookmarkEnd w:id="0"/>
    </w:p>
    <w:p w:rsidR="004E3275" w:rsidRDefault="00BC6DDC" w:rsidP="00BC6DDC">
      <w:r>
        <w:t xml:space="preserve">Of cases that have been disposed, 39 percent of offenders who killed women pled guilty to a lesser offense than for which there charged. *This data represents women killed by men from 2005-2013. </w:t>
      </w:r>
      <w:r>
        <w:tab/>
      </w:r>
    </w:p>
    <w:p w:rsidR="00BC6DDC" w:rsidRDefault="00BC6DDC" w:rsidP="00BC6DDC">
      <w:r>
        <w:rPr>
          <w:noProof/>
        </w:rPr>
        <w:drawing>
          <wp:inline distT="0" distB="0" distL="0" distR="0" wp14:anchorId="56BBC2EB" wp14:editId="164E6A6B">
            <wp:extent cx="46291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DC" w:rsidRDefault="00BC6DDC" w:rsidP="00BC6DDC"/>
    <w:sectPr w:rsidR="00BC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92"/>
    <w:rsid w:val="004E3275"/>
    <w:rsid w:val="007A7492"/>
    <w:rsid w:val="00BC6DDC"/>
    <w:rsid w:val="00E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3</cp:revision>
  <dcterms:created xsi:type="dcterms:W3CDTF">2014-07-08T14:19:00Z</dcterms:created>
  <dcterms:modified xsi:type="dcterms:W3CDTF">2014-08-08T18:54:00Z</dcterms:modified>
</cp:coreProperties>
</file>