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c569aa2ede69bcc9fbd6948cfb0a07c70c1caf"/>
    <w:p>
      <w:pPr>
        <w:pStyle w:val="Heading1"/>
      </w:pPr>
      <w:r>
        <w:t xml:space="preserve">Documento de Requerimientos y Arquitectura de Software</w:t>
      </w:r>
    </w:p>
    <w:p>
      <w:pPr>
        <w:pStyle w:val="FirstParagraph"/>
      </w:pPr>
      <w:r>
        <w:rPr>
          <w:b/>
          <w:bCs/>
          <w:i/>
          <w:iCs/>
        </w:rPr>
        <w:t xml:space="preserve">Proyecto: SIMAP Digital · Cuentas Claras 💧</w:t>
      </w:r>
    </w:p>
    <w:p>
      <w:pPr>
        <w:pStyle w:val="BodyText"/>
      </w:pPr>
      <w:r>
        <w:rPr>
          <w:b/>
          <w:bCs/>
          <w:i/>
          <w:iCs/>
        </w:rPr>
        <w:t xml:space="preserve">Fecha: 14/07/2026</w:t>
      </w:r>
    </w:p>
    <w:p>
      <w:pPr>
        <w:pStyle w:val="BodyText"/>
      </w:pPr>
      <w:r>
        <w:rPr>
          <w:b/>
          <w:bCs/>
          <w:i/>
          <w:iCs/>
        </w:rPr>
        <w:t xml:space="preserve">Integrantes: Equipo de Desarrollo JAAR Digital</w:t>
      </w:r>
    </w:p>
    <w:bookmarkStart w:id="20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Propósito</w:t>
      </w:r>
    </w:p>
    <w:p>
      <w:pPr>
        <w:pStyle w:val="Compact"/>
        <w:numPr>
          <w:ilvl w:val="0"/>
          <w:numId w:val="1001"/>
        </w:numPr>
      </w:pPr>
      <w:r>
        <w:t xml:space="preserve">Alcance del producto / Software</w:t>
      </w:r>
    </w:p>
    <w:p>
      <w:pPr>
        <w:pStyle w:val="Compact"/>
        <w:numPr>
          <w:ilvl w:val="0"/>
          <w:numId w:val="1001"/>
        </w:numPr>
      </w:pPr>
      <w:r>
        <w:t xml:space="preserve">Referencias</w:t>
      </w:r>
    </w:p>
    <w:p>
      <w:pPr>
        <w:pStyle w:val="Compact"/>
        <w:numPr>
          <w:ilvl w:val="0"/>
          <w:numId w:val="1001"/>
        </w:numPr>
      </w:pPr>
      <w:r>
        <w:t xml:space="preserve">Funcionalidades del producto</w:t>
      </w:r>
    </w:p>
    <w:p>
      <w:pPr>
        <w:pStyle w:val="Compact"/>
        <w:numPr>
          <w:ilvl w:val="0"/>
          <w:numId w:val="1001"/>
        </w:numPr>
      </w:pPr>
      <w:r>
        <w:t xml:space="preserve">Visión General</w:t>
      </w:r>
    </w:p>
    <w:p>
      <w:pPr>
        <w:pStyle w:val="Compact"/>
        <w:numPr>
          <w:ilvl w:val="0"/>
          <w:numId w:val="1001"/>
        </w:numPr>
      </w:pPr>
      <w:r>
        <w:t xml:space="preserve">Clases y características de usuarios</w:t>
      </w:r>
    </w:p>
    <w:p>
      <w:pPr>
        <w:pStyle w:val="Compact"/>
        <w:numPr>
          <w:ilvl w:val="0"/>
          <w:numId w:val="1001"/>
        </w:numPr>
      </w:pPr>
      <w:r>
        <w:t xml:space="preserve">Entorno operativo</w:t>
      </w:r>
    </w:p>
    <w:p>
      <w:pPr>
        <w:pStyle w:val="Compact"/>
        <w:numPr>
          <w:ilvl w:val="0"/>
          <w:numId w:val="1001"/>
        </w:numPr>
      </w:pPr>
      <w:r>
        <w:t xml:space="preserve">Requerimientos funcionales</w:t>
      </w:r>
    </w:p>
    <w:p>
      <w:pPr>
        <w:pStyle w:val="Compact"/>
        <w:numPr>
          <w:ilvl w:val="0"/>
          <w:numId w:val="1001"/>
        </w:numPr>
      </w:pPr>
      <w:r>
        <w:t xml:space="preserve">Reglas de negocio</w:t>
      </w:r>
    </w:p>
    <w:p>
      <w:pPr>
        <w:pStyle w:val="Compact"/>
        <w:numPr>
          <w:ilvl w:val="0"/>
          <w:numId w:val="1001"/>
        </w:numPr>
      </w:pPr>
      <w:r>
        <w:t xml:space="preserve">Requerimientos de interfaces externas</w:t>
      </w:r>
    </w:p>
    <w:p>
      <w:pPr>
        <w:pStyle w:val="Compact"/>
        <w:numPr>
          <w:ilvl w:val="0"/>
          <w:numId w:val="1001"/>
        </w:numPr>
      </w:pPr>
      <w:r>
        <w:t xml:space="preserve">Requerimientos no funcionales</w:t>
      </w:r>
    </w:p>
    <w:p>
      <w:pPr>
        <w:pStyle w:val="Compact"/>
        <w:numPr>
          <w:ilvl w:val="0"/>
          <w:numId w:val="1001"/>
        </w:numPr>
      </w:pPr>
      <w:r>
        <w:t xml:space="preserve">Otros requerimientos</w:t>
      </w:r>
    </w:p>
    <w:p>
      <w:pPr>
        <w:pStyle w:val="Compact"/>
        <w:numPr>
          <w:ilvl w:val="0"/>
          <w:numId w:val="1001"/>
        </w:numPr>
      </w:pPr>
      <w:r>
        <w:t xml:space="preserve">Posicionamiento</w:t>
      </w:r>
    </w:p>
    <w:p>
      <w:pPr>
        <w:pStyle w:val="Compact"/>
        <w:numPr>
          <w:ilvl w:val="0"/>
          <w:numId w:val="1001"/>
        </w:numPr>
      </w:pPr>
      <w:r>
        <w:t xml:space="preserve">Descripción de Stakeholders y Usuarios</w:t>
      </w:r>
    </w:p>
    <w:p>
      <w:pPr>
        <w:pStyle w:val="Compact"/>
        <w:numPr>
          <w:ilvl w:val="0"/>
          <w:numId w:val="1001"/>
        </w:numPr>
      </w:pPr>
      <w:r>
        <w:t xml:space="preserve">Descripción Global del Producto</w:t>
      </w:r>
    </w:p>
    <w:p>
      <w:pPr>
        <w:pStyle w:val="Compact"/>
        <w:numPr>
          <w:ilvl w:val="0"/>
          <w:numId w:val="1001"/>
        </w:numPr>
      </w:pPr>
      <w:r>
        <w:t xml:space="preserve">Características Secundarias</w:t>
      </w:r>
    </w:p>
    <w:p>
      <w:pPr>
        <w:pStyle w:val="Compact"/>
        <w:numPr>
          <w:ilvl w:val="0"/>
          <w:numId w:val="1001"/>
        </w:numPr>
      </w:pPr>
      <w:r>
        <w:t xml:space="preserve">Restricciones</w:t>
      </w:r>
    </w:p>
    <w:p>
      <w:pPr>
        <w:pStyle w:val="Compact"/>
        <w:numPr>
          <w:ilvl w:val="0"/>
          <w:numId w:val="1001"/>
        </w:numPr>
      </w:pPr>
      <w:r>
        <w:t xml:space="preserve">Precedencia y Prioridad</w:t>
      </w:r>
    </w:p>
    <w:p>
      <w:pPr>
        <w:pStyle w:val="Compact"/>
        <w:numPr>
          <w:ilvl w:val="0"/>
          <w:numId w:val="1001"/>
        </w:numPr>
      </w:pPr>
      <w:r>
        <w:t xml:space="preserve">Otros Requisitos del Producto</w:t>
      </w:r>
    </w:p>
    <w:p>
      <w:pPr>
        <w:pStyle w:val="Compact"/>
        <w:numPr>
          <w:ilvl w:val="0"/>
          <w:numId w:val="1001"/>
        </w:numPr>
      </w:pPr>
      <w:r>
        <w:t xml:space="preserve">MODELO CASOS DE USO</w:t>
      </w:r>
    </w:p>
    <w:p>
      <w:pPr>
        <w:pStyle w:val="Compact"/>
        <w:numPr>
          <w:ilvl w:val="0"/>
          <w:numId w:val="1001"/>
        </w:numPr>
      </w:pPr>
      <w:r>
        <w:t xml:space="preserve">Modelo de Arquitectura de Análisis</w:t>
      </w:r>
    </w:p>
    <w:p>
      <w:pPr>
        <w:pStyle w:val="Compact"/>
        <w:numPr>
          <w:ilvl w:val="0"/>
          <w:numId w:val="1001"/>
        </w:numPr>
      </w:pPr>
      <w:r>
        <w:t xml:space="preserve">Modelo de base de datos</w:t>
      </w:r>
    </w:p>
    <w:p>
      <w:pPr>
        <w:pStyle w:val="Compact"/>
        <w:numPr>
          <w:ilvl w:val="0"/>
          <w:numId w:val="1001"/>
        </w:numPr>
      </w:pPr>
      <w:r>
        <w:t xml:space="preserve">Correspondencia de necesidades de actores y Casos de Uso</w:t>
      </w:r>
    </w:p>
    <w:p>
      <w:pPr>
        <w:pStyle w:val="Compact"/>
        <w:numPr>
          <w:ilvl w:val="0"/>
          <w:numId w:val="1001"/>
        </w:numPr>
      </w:pPr>
      <w:r>
        <w:t xml:space="preserve">ACTORES Y SUS RESPONSABILIDADES</w:t>
      </w:r>
    </w:p>
    <w:p>
      <w:pPr>
        <w:pStyle w:val="Compact"/>
        <w:numPr>
          <w:ilvl w:val="0"/>
          <w:numId w:val="1001"/>
        </w:numPr>
      </w:pPr>
      <w:r>
        <w:t xml:space="preserve">MODELO DE ANÁLISIS</w:t>
      </w:r>
    </w:p>
    <w:p>
      <w:pPr>
        <w:pStyle w:val="Compact"/>
        <w:numPr>
          <w:ilvl w:val="0"/>
          <w:numId w:val="1001"/>
        </w:numPr>
      </w:pPr>
      <w:r>
        <w:t xml:space="preserve">ANÁLISIS DE RELACIONES ENTRE MODULOS</w:t>
      </w:r>
    </w:p>
    <w:p>
      <w:pPr>
        <w:pStyle w:val="Compact"/>
        <w:numPr>
          <w:ilvl w:val="0"/>
          <w:numId w:val="1001"/>
        </w:numPr>
      </w:pPr>
      <w:r>
        <w:t xml:space="preserve">MODELO OSSIM</w:t>
      </w:r>
    </w:p>
    <w:p>
      <w:pPr>
        <w:pStyle w:val="Compact"/>
        <w:numPr>
          <w:ilvl w:val="0"/>
          <w:numId w:val="1001"/>
        </w:numPr>
      </w:pPr>
      <w:r>
        <w:t xml:space="preserve">DOCUMENTACIÓN DE LA ARQUITECTURA</w:t>
      </w:r>
    </w:p>
    <w:p>
      <w:pPr>
        <w:pStyle w:val="Compact"/>
        <w:numPr>
          <w:ilvl w:val="0"/>
          <w:numId w:val="1001"/>
        </w:numPr>
      </w:pPr>
      <w:r>
        <w:t xml:space="preserve">Vistas</w:t>
      </w:r>
      <w:r>
        <w:t xml:space="preserve"> </w:t>
      </w:r>
      <w:r>
        <w:t xml:space="preserve">Glosario</w:t>
      </w:r>
      <w:r>
        <w:t xml:space="preserve"> </w:t>
      </w:r>
      <w:r>
        <w:t xml:space="preserve">Historial de Versiones</w:t>
      </w:r>
      <w:r>
        <w:t xml:space="preserve"> </w:t>
      </w:r>
      <w:r>
        <w:t xml:space="preserve">Información del Proyecto</w:t>
      </w:r>
      <w:r>
        <w:t xml:space="preserve"> </w:t>
      </w: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"/>
    <w:p>
      <w:pPr>
        <w:pStyle w:val="Heading1"/>
      </w:pPr>
      <w:r>
        <w:t xml:space="preserve">1. Propósito</w:t>
      </w:r>
    </w:p>
    <w:p>
      <w:pPr>
        <w:pStyle w:val="FirstParagraph"/>
      </w:pPr>
      <w:r>
        <w:t xml:space="preserve">El propósito de este documento es definir de forma meticulosa y exhaustiva la especificación de requerimientos y la arquitectura de software del sistema</w:t>
      </w:r>
      <w:r>
        <w:t xml:space="preserve"> </w:t>
      </w:r>
      <w:r>
        <w:rPr>
          <w:b/>
          <w:bCs/>
        </w:rPr>
        <w:t xml:space="preserve">SIMAP Digital · Cuentas Claras</w:t>
      </w:r>
      <w:r>
        <w:t xml:space="preserve">. Este documento describe todos los módulos operativos, financieros y de inteligencia artificial de la Plataforma Web Progresiva (PWA) Offline-First diseñada para la modernización de las Juntas Administradoras de Acueductos Rurales (JAAR) en la República de Panamá.</w:t>
      </w:r>
    </w:p>
    <w:bookmarkEnd w:id="22"/>
    <w:bookmarkStart w:id="23" w:name="alcance-del-producto-software"/>
    <w:p>
      <w:pPr>
        <w:pStyle w:val="Heading1"/>
      </w:pPr>
      <w:r>
        <w:t xml:space="preserve">2. Alcance del producto / Software</w:t>
      </w:r>
    </w:p>
    <w:p>
      <w:pPr>
        <w:pStyle w:val="FirstParagraph"/>
      </w:pPr>
      <w:r>
        <w:rPr>
          <w:b/>
          <w:bCs/>
        </w:rPr>
        <w:t xml:space="preserve">SIMAP Digital</w:t>
      </w:r>
      <w:r>
        <w:t xml:space="preserve"> </w:t>
      </w:r>
      <w:r>
        <w:t xml:space="preserve">es un sistema integral tecnológico que sustituye el registro manual tradicional en cuadernos por un libro mayor digital.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Optimizar y transparentar la administración contable (cobro de tarifas de agua) y la gestión de jornales (trabajo comunitario) en zonas sin conexión a internet.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Beneficios:</w:t>
      </w:r>
      <w:r>
        <w:t xml:space="preserve"> </w:t>
      </w:r>
      <w:r>
        <w:t xml:space="preserve">Garantiza el pleno cumplimiento del Decreto Ejecutivo N° 1839 del Ministerio de Salud (MINSA). Mitiga la desconfianza local mediante la rendición sistemática de cuentas. Reduce la morosidad utilizando gamificación (puntos por pago puntual) y herramientas analíticas (Ruta 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Objetivos:</w:t>
      </w:r>
      <w:r>
        <w:t xml:space="preserve"> </w:t>
      </w:r>
      <w:r>
        <w:t xml:space="preserve">Digitalizar la contabilidad rural, asegurar operatividad en áreas sin conectividad (Offline-First), sistematizar el control de jornales, y automatizar la rendición de cuentas (PDF/Excel) ante el MINSA.</w:t>
      </w:r>
    </w:p>
    <w:bookmarkEnd w:id="23"/>
    <w:bookmarkStart w:id="24" w:name="referencias"/>
    <w:p>
      <w:pPr>
        <w:pStyle w:val="Heading1"/>
      </w:pPr>
      <w:r>
        <w:t xml:space="preserve">3. Referencias</w:t>
      </w:r>
    </w:p>
    <w:p>
      <w:pPr>
        <w:pStyle w:val="Compact"/>
        <w:numPr>
          <w:ilvl w:val="0"/>
          <w:numId w:val="1002"/>
        </w:numPr>
      </w:pPr>
      <w:r>
        <w:t xml:space="preserve">Decreto Ejecutivo N° 1839 del 5 de diciembre de 2014 (MINSA, Panamá).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JAAR_Digital_Propuesta_Final.md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casos_de_uso_v2.md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Documento:</w:t>
      </w:r>
      <w:r>
        <w:t xml:space="preserve"> </w:t>
      </w:r>
      <w:r>
        <w:rPr>
          <w:i/>
          <w:iCs/>
        </w:rPr>
        <w:t xml:space="preserve">diagrama_er.md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Documentación de Dexie.js (IndexedDB wrapper) y Supabase (BaaS).</w:t>
      </w:r>
    </w:p>
    <w:bookmarkEnd w:id="24"/>
    <w:bookmarkStart w:id="25" w:name="funcionalidades-del-producto"/>
    <w:p>
      <w:pPr>
        <w:pStyle w:val="Heading1"/>
      </w:pPr>
      <w:r>
        <w:t xml:space="preserve">4. Funcionalidades del producto</w:t>
      </w:r>
    </w:p>
    <w:p>
      <w:pPr>
        <w:pStyle w:val="Compact"/>
        <w:numPr>
          <w:ilvl w:val="0"/>
          <w:numId w:val="1003"/>
        </w:numPr>
      </w:pPr>
      <w:r>
        <w:t xml:space="preserve">Registro y Autenticación Multi-Rol.</w:t>
      </w:r>
    </w:p>
    <w:p>
      <w:pPr>
        <w:pStyle w:val="Compact"/>
        <w:numPr>
          <w:ilvl w:val="0"/>
          <w:numId w:val="1003"/>
        </w:numPr>
      </w:pPr>
      <w:r>
        <w:t xml:space="preserve">Cobranza Offline-First (Pagos Estándar, Parciales, Adelantados y Diarios).</w:t>
      </w:r>
    </w:p>
    <w:p>
      <w:pPr>
        <w:pStyle w:val="Compact"/>
        <w:numPr>
          <w:ilvl w:val="0"/>
          <w:numId w:val="1003"/>
        </w:numPr>
      </w:pPr>
      <w:r>
        <w:t xml:space="preserve">Sincronización Automática (IndexedDB a Supabase).</w:t>
      </w:r>
    </w:p>
    <w:p>
      <w:pPr>
        <w:pStyle w:val="Compact"/>
        <w:numPr>
          <w:ilvl w:val="0"/>
          <w:numId w:val="1003"/>
        </w:numPr>
      </w:pPr>
      <w:r>
        <w:t xml:space="preserve">Gestión y Registro de Jornales Comunitarios y Multas.</w:t>
      </w:r>
    </w:p>
    <w:p>
      <w:pPr>
        <w:pStyle w:val="Compact"/>
        <w:numPr>
          <w:ilvl w:val="0"/>
          <w:numId w:val="1003"/>
        </w:numPr>
      </w:pPr>
      <w:r>
        <w:t xml:space="preserve">Motor de Gamificación (Puntos por pagos y asistencia, canjeables por descuentos).</w:t>
      </w:r>
    </w:p>
    <w:p>
      <w:pPr>
        <w:pStyle w:val="Compact"/>
        <w:numPr>
          <w:ilvl w:val="0"/>
          <w:numId w:val="1003"/>
        </w:numPr>
      </w:pPr>
      <w:r>
        <w:t xml:space="preserve">Split de Comisiones automático para cobradores.</w:t>
      </w:r>
    </w:p>
    <w:p>
      <w:pPr>
        <w:pStyle w:val="Compact"/>
        <w:numPr>
          <w:ilvl w:val="0"/>
          <w:numId w:val="1003"/>
        </w:numPr>
      </w:pPr>
      <w:r>
        <w:t xml:space="preserve">Inteligencia Artificial (Ruta IA, predicción de morosidad y cálculo de riesgo).</w:t>
      </w:r>
    </w:p>
    <w:p>
      <w:pPr>
        <w:pStyle w:val="Compact"/>
        <w:numPr>
          <w:ilvl w:val="0"/>
          <w:numId w:val="1003"/>
        </w:numPr>
      </w:pPr>
      <w:r>
        <w:t xml:space="preserve">Reportes Oficiales MINSA (PDF y XLSX).</w:t>
      </w:r>
    </w:p>
    <w:bookmarkEnd w:id="25"/>
    <w:bookmarkStart w:id="26" w:name="visión-general"/>
    <w:p>
      <w:pPr>
        <w:pStyle w:val="Heading1"/>
      </w:pPr>
      <w:r>
        <w:t xml:space="preserve">5. Visión General</w:t>
      </w:r>
    </w:p>
    <w:p>
      <w:pPr>
        <w:pStyle w:val="FirstParagraph"/>
      </w:pPr>
      <w:r>
        <w:t xml:space="preserve">El resto del documento presenta las reglas de negocio, características detalladas de los usuarios, la lista estructurada de requerimientos funcionales y no funcionales, así como el modelado de datos (ER), diagramas de casos de uso y la arquitectura del sistema basada en vistas lógicas y físicas (Modelo 4+1).</w:t>
      </w:r>
    </w:p>
    <w:bookmarkEnd w:id="26"/>
    <w:bookmarkStart w:id="27" w:name="clases-y-características-de-usuarios"/>
    <w:p>
      <w:pPr>
        <w:pStyle w:val="Heading1"/>
      </w:pPr>
      <w:r>
        <w:t xml:space="preserve">6. Clases y características de usuarios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Administrador Global (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):</w:t>
      </w:r>
      <w:r>
        <w:t xml:space="preserve"> </w:t>
      </w:r>
      <w:r>
        <w:t xml:space="preserve">Control total de finanzas, tarifas, auditoría, revisión del tablero de métricas IA y gestión (aprobación/rechazo) de usuarios.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Cobrador en Campo (</w:t>
      </w:r>
      <w:r>
        <w:rPr>
          <w:rStyle w:val="VerbatimChar"/>
          <w:b/>
          <w:bCs/>
        </w:rPr>
        <w:t xml:space="preserve">cobrador</w:t>
      </w:r>
      <w:r>
        <w:rPr>
          <w:b/>
          <w:bCs/>
        </w:rPr>
        <w:t xml:space="preserve">):</w:t>
      </w:r>
      <w:r>
        <w:t xml:space="preserve"> </w:t>
      </w:r>
      <w:r>
        <w:t xml:space="preserve">Registra pagos y jornales de forma offline, recibe comisiones automáticas, utiliza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 </w:t>
      </w:r>
      <w:r>
        <w:t xml:space="preserve">de la IA para priorizar cobros.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 MINSA (</w:t>
      </w:r>
      <w:r>
        <w:rPr>
          <w:rStyle w:val="VerbatimChar"/>
          <w:b/>
          <w:bCs/>
        </w:rPr>
        <w:t xml:space="preserve">minsa</w:t>
      </w:r>
      <w:r>
        <w:rPr>
          <w:b/>
          <w:bCs/>
        </w:rPr>
        <w:t xml:space="preserve">):</w:t>
      </w:r>
      <w:r>
        <w:t xml:space="preserve"> </w:t>
      </w:r>
      <w:r>
        <w:t xml:space="preserve">Acceso de solo lectura para extraer reportes oficiales de ingresos, egresos y jornales.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 / Vecino (</w:t>
      </w:r>
      <w:r>
        <w:rPr>
          <w:rStyle w:val="VerbatimChar"/>
          <w:b/>
          <w:bCs/>
        </w:rPr>
        <w:t xml:space="preserve">cliente</w:t>
      </w:r>
      <w:r>
        <w:rPr>
          <w:b/>
          <w:bCs/>
        </w:rPr>
        <w:t xml:space="preserve">):</w:t>
      </w:r>
      <w:r>
        <w:t xml:space="preserve"> </w:t>
      </w:r>
      <w:r>
        <w:t xml:space="preserve">Visualiza su estado de riesgo en lenguaje amigable, verifica puntos acumulados por gamificación, revisa su historial y confirma asistencia a jornales.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Soporte Técnico (</w:t>
      </w:r>
      <w:r>
        <w:rPr>
          <w:rStyle w:val="VerbatimChar"/>
          <w:b/>
          <w:bCs/>
        </w:rPr>
        <w:t xml:space="preserve">dev</w:t>
      </w:r>
      <w:r>
        <w:rPr>
          <w:b/>
          <w:bCs/>
        </w:rPr>
        <w:t xml:space="preserve">):</w:t>
      </w:r>
      <w:r>
        <w:t xml:space="preserve"> </w:t>
      </w:r>
      <w:r>
        <w:t xml:space="preserve">Lectura del log de auditoría del sistema para depuración (sin acceso a modificación de finanzas).</w:t>
      </w:r>
    </w:p>
    <w:bookmarkEnd w:id="27"/>
    <w:bookmarkStart w:id="28" w:name="entorno-operativo"/>
    <w:p>
      <w:pPr>
        <w:pStyle w:val="Heading1"/>
      </w:pPr>
      <w:r>
        <w:t xml:space="preserve">7. Entorno operativo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PWA (Progressive Web App) alojada en la nube (ej. Vercel o GitHub Pages) con arquitectura Offline-First.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Cliente Web/Móvil:</w:t>
      </w:r>
      <w:r>
        <w:t xml:space="preserve"> </w:t>
      </w:r>
      <w:r>
        <w:t xml:space="preserve">React 18, Vite, compatible con navegadores modernos (Chrome, Firefox, Safari) en dispositivos móviles de gama media/baja.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de Datos Local:</w:t>
      </w:r>
      <w:r>
        <w:t xml:space="preserve"> </w:t>
      </w:r>
      <w:r>
        <w:t xml:space="preserve">IndexedDB manejada mediante Dexie.js (capacidad de hasta 10,000 registros).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de Datos Remota:</w:t>
      </w:r>
      <w:r>
        <w:t xml:space="preserve"> </w:t>
      </w:r>
      <w:r>
        <w:t xml:space="preserve">PostgreSQL a través de Supabase.</w:t>
      </w:r>
    </w:p>
    <w:bookmarkEnd w:id="28"/>
    <w:bookmarkStart w:id="34" w:name="requerimientos-funcionales"/>
    <w:p>
      <w:pPr>
        <w:pStyle w:val="Heading1"/>
      </w:pPr>
      <w:r>
        <w:t xml:space="preserve">8. Requerimientos funcionales</w:t>
      </w:r>
    </w:p>
    <w:bookmarkStart w:id="29" w:name="gestión-de-usuarios-y-accesos"/>
    <w:p>
      <w:pPr>
        <w:pStyle w:val="Heading2"/>
      </w:pPr>
      <w:r>
        <w:t xml:space="preserve">8.1. Gestión de Usuarios y Accesos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RF-01.1:</w:t>
      </w:r>
      <w:r>
        <w:t xml:space="preserve"> </w:t>
      </w:r>
      <w:r>
        <w:t xml:space="preserve">El sistema debe registrar vecinos como</w:t>
      </w:r>
      <w:r>
        <w:t xml:space="preserve"> </w:t>
      </w:r>
      <w:r>
        <w:t xml:space="preserve">“</w:t>
      </w:r>
      <w:r>
        <w:t xml:space="preserve">pendientes</w:t>
      </w:r>
      <w:r>
        <w:t xml:space="preserve">”</w:t>
      </w:r>
      <w:r>
        <w:t xml:space="preserve"> </w:t>
      </w:r>
      <w:r>
        <w:t xml:space="preserve">hasta su aprobación por el Administrador.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RF-01.2:</w:t>
      </w:r>
      <w:r>
        <w:t xml:space="preserve"> </w:t>
      </w:r>
      <w:r>
        <w:t xml:space="preserve">El sistema debe manejar 5 roles estrictos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cobrador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minsa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).</w:t>
      </w:r>
    </w:p>
    <w:bookmarkEnd w:id="29"/>
    <w:bookmarkStart w:id="30" w:name="pagos-flexibles-y-offline"/>
    <w:p>
      <w:pPr>
        <w:pStyle w:val="Heading2"/>
      </w:pPr>
      <w:r>
        <w:t xml:space="preserve">8.2. Pagos Flexibles y Offline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RF-02.1:</w:t>
      </w:r>
      <w:r>
        <w:t xml:space="preserve"> </w:t>
      </w:r>
      <w:r>
        <w:t xml:space="preserve">El sistema debe registrar pagos estándar ($3.00), parciales, anticipados y diarios, almacenándolos localmente si no hay 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RF-02.2:</w:t>
      </w:r>
      <w:r>
        <w:t xml:space="preserve"> </w:t>
      </w:r>
      <w:r>
        <w:t xml:space="preserve">El sistema debe calcular automáticamente el estado del vecino (Activo, Moroso, Para Corte) basándose en meses de atraso.</w:t>
      </w:r>
    </w:p>
    <w:bookmarkEnd w:id="30"/>
    <w:bookmarkStart w:id="31" w:name="comisiones-y-recompensas-gamificación"/>
    <w:p>
      <w:pPr>
        <w:pStyle w:val="Heading2"/>
      </w:pPr>
      <w:r>
        <w:t xml:space="preserve">8.3. Comisiones y Recompensas (Gamificación)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RF-03.1:</w:t>
      </w:r>
      <w:r>
        <w:t xml:space="preserve"> </w:t>
      </w:r>
      <w:r>
        <w:t xml:space="preserve">El sistema debe otorgar puntos (ej. 5 por puntualidad, 8 por jornal personal) a los clientes.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RF-03.2:</w:t>
      </w:r>
      <w:r>
        <w:t xml:space="preserve"> </w:t>
      </w:r>
      <w:r>
        <w:t xml:space="preserve">El sistema debe permitir canjear puntos (ej. 1 pt = $0.10) en futuros cobros.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RF-03.3:</w:t>
      </w:r>
      <w:r>
        <w:t xml:space="preserve"> </w:t>
      </w:r>
      <w:r>
        <w:t xml:space="preserve">El sistema debe calcular el</w:t>
      </w:r>
      <w:r>
        <w:t xml:space="preserve"> </w:t>
      </w:r>
      <w:r>
        <w:t xml:space="preserve">“</w:t>
      </w:r>
      <w:r>
        <w:t xml:space="preserve">Split de Comisiones</w:t>
      </w:r>
      <w:r>
        <w:t xml:space="preserve">”</w:t>
      </w:r>
      <w:r>
        <w:t xml:space="preserve"> </w:t>
      </w:r>
      <w:r>
        <w:t xml:space="preserve">para el cobrador (ej. 40% del monto base de comisión) de forma atómica.</w:t>
      </w:r>
    </w:p>
    <w:bookmarkEnd w:id="31"/>
    <w:bookmarkStart w:id="32" w:name="inteligencia-artificial-y-análisis"/>
    <w:p>
      <w:pPr>
        <w:pStyle w:val="Heading2"/>
      </w:pPr>
      <w:r>
        <w:t xml:space="preserve">8.4. Inteligencia Artificial y Análisis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RF-04.1:</w:t>
      </w:r>
      <w:r>
        <w:t xml:space="preserve"> </w:t>
      </w:r>
      <w:r>
        <w:t xml:space="preserve">El módulo de IA debe asignar un Puntaje de Riesgo (0-100) a cada hogar.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RF-04.2:</w:t>
      </w:r>
      <w:r>
        <w:t xml:space="preserve"> </w:t>
      </w:r>
      <w:r>
        <w:t xml:space="preserve">El sistema debe generar una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 </w:t>
      </w:r>
      <w:r>
        <w:t xml:space="preserve">que reordene la lista de visitas del cobrador priorizando riesgo y proximidad geográfica.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RF-04.3:</w:t>
      </w:r>
      <w:r>
        <w:t xml:space="preserve"> </w:t>
      </w:r>
      <w:r>
        <w:t xml:space="preserve">El sistema debe predecir y alertar hogares que caerán en morosidad mediante análisis Z-Score de la tasa de recaudo.</w:t>
      </w:r>
    </w:p>
    <w:bookmarkEnd w:id="32"/>
    <w:bookmarkStart w:id="33" w:name="reportes-minsa-y-gastos"/>
    <w:p>
      <w:pPr>
        <w:pStyle w:val="Heading2"/>
      </w:pPr>
      <w:r>
        <w:t xml:space="preserve">8.5. Reportes MINSA y Gastos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RF-05.1:</w:t>
      </w:r>
      <w:r>
        <w:t xml:space="preserve"> </w:t>
      </w:r>
      <w:r>
        <w:t xml:space="preserve">Exportación trimestral de ingresos, egresos y jornales a PDF (</w:t>
      </w:r>
      <w:r>
        <w:rPr>
          <w:rStyle w:val="VerbatimChar"/>
        </w:rPr>
        <w:t xml:space="preserve">jspdf</w:t>
      </w:r>
      <w:r>
        <w:t xml:space="preserve">) y Excel (</w:t>
      </w:r>
      <w:r>
        <w:rPr>
          <w:rStyle w:val="VerbatimChar"/>
        </w:rPr>
        <w:t xml:space="preserve">xlsx</w:t>
      </w:r>
      <w:r>
        <w:t xml:space="preserve">).</w:t>
      </w:r>
    </w:p>
    <w:bookmarkEnd w:id="33"/>
    <w:bookmarkEnd w:id="34"/>
    <w:bookmarkStart w:id="35" w:name="reglas-de-negocio"/>
    <w:p>
      <w:pPr>
        <w:pStyle w:val="Heading1"/>
      </w:pPr>
      <w:r>
        <w:t xml:space="preserve">9. Reglas de negocio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RN-01:</w:t>
      </w:r>
      <w:r>
        <w:t xml:space="preserve"> </w:t>
      </w:r>
      <w:r>
        <w:t xml:space="preserve">La sincronización hacia Supabase debe priorizar el Timestamp local. En caso de conflicto de red, el registro local marcado como</w:t>
      </w:r>
      <w:r>
        <w:t xml:space="preserve"> </w:t>
      </w:r>
      <w:r>
        <w:t xml:space="preserve">‘</w:t>
      </w:r>
      <w:r>
        <w:t xml:space="preserve">pendiente</w:t>
      </w:r>
      <w:r>
        <w:t xml:space="preserve">’</w:t>
      </w:r>
      <w:r>
        <w:t xml:space="preserve"> </w:t>
      </w:r>
      <w:r>
        <w:t xml:space="preserve">sobreescribe el remoto si su marca de tiempo es mayor.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RN-02:</w:t>
      </w:r>
      <w:r>
        <w:t xml:space="preserve"> </w:t>
      </w:r>
      <w:r>
        <w:t xml:space="preserve">Las multas por inasistencia a un jornal ($15.00) se aplican automáticamente a la cuenta del vecino si no asiste y no envía sustituto.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RN-03:</w:t>
      </w:r>
      <w:r>
        <w:t xml:space="preserve"> </w:t>
      </w:r>
      <w:r>
        <w:t xml:space="preserve">El porcentaje del split de comisión del cobrador nunca puede afectar el monto bruto que entra a la caja de la JAAR; se calcula como un incentivo separado sobre un fondo asignado o un recargo de conveniencia.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RN-04:</w:t>
      </w:r>
      <w:r>
        <w:t xml:space="preserve"> </w:t>
      </w:r>
      <w:r>
        <w:t xml:space="preserve">Un cliente en estado</w:t>
      </w:r>
      <w:r>
        <w:t xml:space="preserve"> </w:t>
      </w:r>
      <w:r>
        <w:t xml:space="preserve">“</w:t>
      </w:r>
      <w:r>
        <w:t xml:space="preserve">Para Corte</w:t>
      </w:r>
      <w:r>
        <w:t xml:space="preserve">”</w:t>
      </w:r>
      <w:r>
        <w:t xml:space="preserve"> </w:t>
      </w:r>
      <w:r>
        <w:t xml:space="preserve">(3+ meses de morosidad) solo retorna a</w:t>
      </w:r>
      <w:r>
        <w:t xml:space="preserve"> </w:t>
      </w:r>
      <w:r>
        <w:t xml:space="preserve">“</w:t>
      </w:r>
      <w:r>
        <w:t xml:space="preserve">Activo</w:t>
      </w:r>
      <w:r>
        <w:t xml:space="preserve">”</w:t>
      </w:r>
      <w:r>
        <w:t xml:space="preserve"> </w:t>
      </w:r>
      <w:r>
        <w:t xml:space="preserve">a través de una operación de</w:t>
      </w:r>
      <w:r>
        <w:t xml:space="preserve"> </w:t>
      </w:r>
      <w:r>
        <w:t xml:space="preserve">“</w:t>
      </w:r>
      <w:r>
        <w:t xml:space="preserve">Puesta al Día</w:t>
      </w:r>
      <w:r>
        <w:t xml:space="preserve">”</w:t>
      </w:r>
      <w:r>
        <w:t xml:space="preserve"> </w:t>
      </w:r>
      <w:r>
        <w:t xml:space="preserve">completa.</w:t>
      </w:r>
    </w:p>
    <w:bookmarkEnd w:id="35"/>
    <w:bookmarkStart w:id="40" w:name="requerimientos-de-interfaces-externas"/>
    <w:p>
      <w:pPr>
        <w:pStyle w:val="Heading1"/>
      </w:pPr>
      <w:r>
        <w:t xml:space="preserve">10. Requerimientos de interfaces externas</w:t>
      </w:r>
    </w:p>
    <w:bookmarkStart w:id="36" w:name="interfaces-de-usuario"/>
    <w:p>
      <w:pPr>
        <w:pStyle w:val="Heading2"/>
      </w:pPr>
      <w:r>
        <w:t xml:space="preserve">10.1. Interfaces de usuario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Diseño Mobile-First:</w:t>
      </w:r>
      <w:r>
        <w:t xml:space="preserve"> </w:t>
      </w:r>
      <w:r>
        <w:t xml:space="preserve">Botones de gran tamaño para facilitar la operación en campo bajo alta luminosidad (sol directo).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Semáforo de Estados:</w:t>
      </w:r>
      <w:r>
        <w:t xml:space="preserve"> </w:t>
      </w:r>
      <w:r>
        <w:t xml:space="preserve">Colores estandarizados para morosidad (Verde=Bajo Riesgo, Amarillo=Medio, Naranja=Alto, Rojo=Crítico).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CSS Variables:</w:t>
      </w:r>
      <w:r>
        <w:t xml:space="preserve"> </w:t>
      </w:r>
      <w:r>
        <w:t xml:space="preserve">Soporte para Dark/Light Mode y tipografía clara.</w:t>
      </w:r>
    </w:p>
    <w:bookmarkEnd w:id="36"/>
    <w:bookmarkStart w:id="37" w:name="interfaces-de-hardware"/>
    <w:p>
      <w:pPr>
        <w:pStyle w:val="Heading2"/>
      </w:pPr>
      <w:r>
        <w:t xml:space="preserve">10.2. Interfaces de hardware</w:t>
      </w:r>
    </w:p>
    <w:p>
      <w:pPr>
        <w:pStyle w:val="Compact"/>
        <w:numPr>
          <w:ilvl w:val="0"/>
          <w:numId w:val="1013"/>
        </w:numPr>
      </w:pPr>
      <w:r>
        <w:t xml:space="preserve">(Opcional a futuro) Compatibilidad con API Web Bluetooth para impresoras térmicas de recibos POS.</w:t>
      </w:r>
    </w:p>
    <w:bookmarkEnd w:id="37"/>
    <w:bookmarkStart w:id="38" w:name="interfaces-de-software"/>
    <w:p>
      <w:pPr>
        <w:pStyle w:val="Heading2"/>
      </w:pPr>
      <w:r>
        <w:t xml:space="preserve">10.3. Interfaces de software</w:t>
      </w:r>
    </w:p>
    <w:p>
      <w:pPr>
        <w:pStyle w:val="Compact"/>
        <w:numPr>
          <w:ilvl w:val="0"/>
          <w:numId w:val="1014"/>
        </w:numPr>
      </w:pPr>
      <w:r>
        <w:t xml:space="preserve">Supabase SDK (</w:t>
      </w:r>
      <w:r>
        <w:rPr>
          <w:rStyle w:val="VerbatimChar"/>
        </w:rPr>
        <w:t xml:space="preserve">@supabase/supabase-js</w:t>
      </w:r>
      <w:r>
        <w:t xml:space="preserve">) para autenticación y persistencia de datos.</w:t>
      </w:r>
    </w:p>
    <w:bookmarkEnd w:id="38"/>
    <w:bookmarkStart w:id="39" w:name="interfaces-de-comunicación"/>
    <w:p>
      <w:pPr>
        <w:pStyle w:val="Heading2"/>
      </w:pPr>
      <w:r>
        <w:t xml:space="preserve">10.4. Interfaces de comunicación</w:t>
      </w:r>
    </w:p>
    <w:p>
      <w:pPr>
        <w:pStyle w:val="Compact"/>
        <w:numPr>
          <w:ilvl w:val="0"/>
          <w:numId w:val="1015"/>
        </w:numPr>
      </w:pPr>
      <w:r>
        <w:t xml:space="preserve">Uso intensivo de</w:t>
      </w:r>
      <w:r>
        <w:t xml:space="preserve"> </w:t>
      </w:r>
      <w:r>
        <w:rPr>
          <w:rStyle w:val="VerbatimChar"/>
        </w:rPr>
        <w:t xml:space="preserve">Service Workers</w:t>
      </w:r>
      <w:r>
        <w:t xml:space="preserve"> </w:t>
      </w:r>
      <w:r>
        <w:t xml:space="preserve">para interceptar peticiones de red y cachear archivos estáticos (JS, CSS) e imágenes, permitiendo que el PWA se instale en la pantalla de inicio del dispositivo.</w:t>
      </w:r>
    </w:p>
    <w:bookmarkEnd w:id="39"/>
    <w:bookmarkEnd w:id="40"/>
    <w:bookmarkStart w:id="41" w:name="requerimientos-no-funcionales"/>
    <w:p>
      <w:pPr>
        <w:pStyle w:val="Heading1"/>
      </w:pPr>
      <w:r>
        <w:t xml:space="preserve">11. Requerimientos no funcionales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RNF-01 (Offline):</w:t>
      </w:r>
      <w:r>
        <w:t xml:space="preserve"> </w:t>
      </w:r>
      <w:r>
        <w:t xml:space="preserve">La aplicación debe funcionar ininterrumpidamente sin conexión; operaciones locales CRUD en Dexie.js deben tomar &lt; 500ms.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RNF-02 (Rendimiento):</w:t>
      </w:r>
      <w:r>
        <w:t xml:space="preserve"> </w:t>
      </w:r>
      <w:r>
        <w:t xml:space="preserve">El TTI (Time To Interactive) de la aplicación debe ser inferior a 3 segundos en conexiones 3G.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RNF-03 (Seguridad):</w:t>
      </w:r>
      <w:r>
        <w:t xml:space="preserve"> </w:t>
      </w:r>
      <w:r>
        <w:t xml:space="preserve">Uso estricto de Row Level Security (RLS) en Supabase para impedir que los cobradores manipulen el libro mayor de otros cobradores o las finanzas históricas.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RNF-04 (Privacidad):</w:t>
      </w:r>
      <w:r>
        <w:t xml:space="preserve"> </w:t>
      </w:r>
      <w:r>
        <w:t xml:space="preserve">Un vecino (</w:t>
      </w:r>
      <w:r>
        <w:rPr>
          <w:rStyle w:val="VerbatimChar"/>
        </w:rPr>
        <w:t xml:space="preserve">cliente</w:t>
      </w:r>
      <w:r>
        <w:t xml:space="preserve">) bajo ninguna circunstancia puede acceder a las deudas o puntajes de riesgo de otros vecinos.</w:t>
      </w:r>
    </w:p>
    <w:bookmarkEnd w:id="41"/>
    <w:bookmarkStart w:id="42" w:name="otros-requerimientos"/>
    <w:p>
      <w:pPr>
        <w:pStyle w:val="Heading1"/>
      </w:pPr>
      <w:r>
        <w:t xml:space="preserve">12. Otros requerimientos</w:t>
      </w:r>
    </w:p>
    <w:p>
      <w:pPr>
        <w:pStyle w:val="Compact"/>
        <w:numPr>
          <w:ilvl w:val="0"/>
          <w:numId w:val="1017"/>
        </w:numPr>
      </w:pPr>
      <w:r>
        <w:t xml:space="preserve">Los datos (exportaciones XLSX/PDF) deben generarse al lado del cliente (Client-Side Generation) para evitar carga en el servidor y permitir generación offline.</w:t>
      </w:r>
    </w:p>
    <w:bookmarkEnd w:id="42"/>
    <w:bookmarkStart w:id="44" w:name="posicionamiento"/>
    <w:p>
      <w:pPr>
        <w:pStyle w:val="Heading1"/>
      </w:pPr>
      <w:r>
        <w:t xml:space="preserve">13. Posicionamiento</w:t>
      </w:r>
    </w:p>
    <w:bookmarkStart w:id="43" w:name="oportunidad-de-negocio"/>
    <w:p>
      <w:pPr>
        <w:pStyle w:val="Heading2"/>
      </w:pPr>
      <w:r>
        <w:t xml:space="preserve">13.1 Oportunidad de Negocio</w:t>
      </w:r>
    </w:p>
    <w:p>
      <w:pPr>
        <w:pStyle w:val="FirstParagraph"/>
      </w:pPr>
      <w:r>
        <w:t xml:space="preserve">Aproximadamente 3,682 JAAR legalmente constituidas en Panamá manejan finanzas en libretas susceptibles a pérdida, humedad y fraudes, generando desconfianza comunitaria.</w:t>
      </w:r>
      <w:r>
        <w:t xml:space="preserve"> </w:t>
      </w:r>
      <w:r>
        <w:t xml:space="preserve">## 13.2 Sentencia que define el problema</w:t>
      </w:r>
      <w:r>
        <w:t xml:space="preserve"> </w:t>
      </w:r>
      <w:r>
        <w:t xml:space="preserve">La falta de conectividad en zonas rurales imposibilita el uso de ERPs modernos, y el registro manual genera morosidad prolongada y penalizaciones por parte del MINSA ante la falta de reportes claros.</w:t>
      </w:r>
      <w:r>
        <w:t xml:space="preserve"> </w:t>
      </w:r>
      <w:r>
        <w:t xml:space="preserve">## 13.3 Sentencia que define la posición del Producto</w:t>
      </w:r>
      <w:r>
        <w:t xml:space="preserve"> </w:t>
      </w:r>
      <w:r>
        <w:t xml:space="preserve">Para las Juntas de Acueductos Rurales (JAAR) e instituciones públicas (MIDES, MINSA),</w:t>
      </w:r>
      <w:r>
        <w:t xml:space="preserve"> </w:t>
      </w:r>
      <w:r>
        <w:rPr>
          <w:b/>
          <w:bCs/>
        </w:rPr>
        <w:t xml:space="preserve">SIMAP Digital</w:t>
      </w:r>
      <w:r>
        <w:t xml:space="preserve"> </w:t>
      </w:r>
      <w:r>
        <w:t xml:space="preserve">es la única Plataforma Web Offline-First que asegura recaudo eficiente con IA, fomenta la puntualidad mediante puntos, y garantiza la auditoría estatal instantánea.</w:t>
      </w:r>
    </w:p>
    <w:bookmarkEnd w:id="43"/>
    <w:bookmarkEnd w:id="44"/>
    <w:bookmarkStart w:id="46" w:name="descripción-de-stakeholders-y-usuarios"/>
    <w:p>
      <w:pPr>
        <w:pStyle w:val="Heading1"/>
      </w:pPr>
      <w:r>
        <w:t xml:space="preserve">14. Descripción de Stakeholders y Usuarios</w:t>
      </w:r>
    </w:p>
    <w:bookmarkStart w:id="45" w:name="resumen-de-stakeholders"/>
    <w:p>
      <w:pPr>
        <w:pStyle w:val="Heading2"/>
      </w:pPr>
      <w:r>
        <w:t xml:space="preserve">14.1 Resumen de Stakeholders</w:t>
      </w:r>
    </w:p>
    <w:p>
      <w:pPr>
        <w:pStyle w:val="Compact"/>
        <w:numPr>
          <w:ilvl w:val="0"/>
          <w:numId w:val="1018"/>
        </w:numPr>
      </w:pPr>
      <w:r>
        <w:t xml:space="preserve">MINSA (DISAPAS): Ente regulador. Exige informes trimestrales.</w:t>
      </w:r>
    </w:p>
    <w:p>
      <w:pPr>
        <w:pStyle w:val="Compact"/>
        <w:numPr>
          <w:ilvl w:val="0"/>
          <w:numId w:val="1018"/>
        </w:numPr>
      </w:pPr>
      <w:r>
        <w:t xml:space="preserve">Directiva JAAR: Responsables legales. Necesitan liquidez para comprar cloro y reparar bombas.</w:t>
      </w:r>
    </w:p>
    <w:p>
      <w:pPr>
        <w:pStyle w:val="Compact"/>
        <w:numPr>
          <w:ilvl w:val="0"/>
          <w:numId w:val="1018"/>
        </w:numPr>
      </w:pPr>
      <w:r>
        <w:t xml:space="preserve">Patrocinadores / RSE: Empresas mineras/constructoras que pueden donar el sistema.</w:t>
      </w:r>
      <w:r>
        <w:t xml:space="preserve"> </w:t>
      </w:r>
      <w:r>
        <w:t xml:space="preserve">## 14.2 Resumen de Usuarios</w:t>
      </w:r>
    </w:p>
    <w:p>
      <w:pPr>
        <w:pStyle w:val="Compact"/>
        <w:numPr>
          <w:ilvl w:val="0"/>
          <w:numId w:val="1018"/>
        </w:numPr>
      </w:pPr>
      <w:r>
        <w:t xml:space="preserve">Cobradores, Tesoreros, Inspectores Estatales y Vecinos.</w:t>
      </w:r>
      <w:r>
        <w:t xml:space="preserve"> </w:t>
      </w:r>
      <w:r>
        <w:t xml:space="preserve">## 14.3 Entorno de usuario</w:t>
      </w:r>
      <w:r>
        <w:t xml:space="preserve"> </w:t>
      </w:r>
      <w:r>
        <w:t xml:space="preserve">Caminos rurales, clima tropical, escasa energía eléctrica y dispositivos con conectividad intermitente (EDGE/3G).</w:t>
      </w:r>
      <w:r>
        <w:t xml:space="preserve"> </w:t>
      </w:r>
      <w:r>
        <w:t xml:space="preserve">## 14.4 Perfil de los Stakeholders</w:t>
      </w:r>
      <w:r>
        <w:t xml:space="preserve"> </w:t>
      </w:r>
      <w:r>
        <w:t xml:space="preserve">Líderes comunitarios con baja literacidad digital; exigen interfaces directas (con emojis o iconografía explícita).</w:t>
      </w:r>
    </w:p>
    <w:bookmarkEnd w:id="45"/>
    <w:bookmarkEnd w:id="46"/>
    <w:bookmarkStart w:id="48" w:name="descripción-global-del-producto"/>
    <w:p>
      <w:pPr>
        <w:pStyle w:val="Heading1"/>
      </w:pPr>
      <w:r>
        <w:t xml:space="preserve">15. Descripción Global del Producto</w:t>
      </w:r>
    </w:p>
    <w:bookmarkStart w:id="47" w:name="perspectiva-del-producto"/>
    <w:p>
      <w:pPr>
        <w:pStyle w:val="Heading2"/>
      </w:pPr>
      <w:r>
        <w:t xml:space="preserve">15.1 Perspectiva del producto</w:t>
      </w:r>
    </w:p>
    <w:p>
      <w:pPr>
        <w:pStyle w:val="FirstParagraph"/>
      </w:pPr>
      <w:r>
        <w:t xml:space="preserve">Es una aplicación independiente (SPA PWA) acoplada a un modelo de Backend as a Service (Supabase) que entra en acción solo cuando la red es detectada por el Service Worker.</w:t>
      </w:r>
    </w:p>
    <w:bookmarkEnd w:id="47"/>
    <w:bookmarkEnd w:id="48"/>
    <w:bookmarkStart w:id="50" w:name="características-secundarias"/>
    <w:p>
      <w:pPr>
        <w:pStyle w:val="Heading1"/>
      </w:pPr>
      <w:r>
        <w:t xml:space="preserve">16. Características Secundarias</w:t>
      </w:r>
    </w:p>
    <w:bookmarkStart w:id="49" w:name="foro-de-avisos"/>
    <w:p>
      <w:pPr>
        <w:pStyle w:val="Heading2"/>
      </w:pPr>
      <w:r>
        <w:t xml:space="preserve">16.1 Foro de Avisos</w:t>
      </w:r>
    </w:p>
    <w:p>
      <w:pPr>
        <w:pStyle w:val="FirstParagraph"/>
      </w:pPr>
      <w:r>
        <w:t xml:space="preserve">Módulo donde la directiva informa cortes de agua, mantenimientos, o asambleas.</w:t>
      </w:r>
      <w:r>
        <w:t xml:space="preserve"> </w:t>
      </w:r>
      <w:r>
        <w:t xml:space="preserve">## 16.2 Módulo Dev/Auditoría</w:t>
      </w:r>
      <w:r>
        <w:t xml:space="preserve"> </w:t>
      </w:r>
      <w:r>
        <w:t xml:space="preserve">Logs inmutables de todo lo que ocurre en el sistema para trazabilidad técnica.</w:t>
      </w:r>
    </w:p>
    <w:bookmarkEnd w:id="49"/>
    <w:bookmarkEnd w:id="50"/>
    <w:bookmarkStart w:id="51" w:name="restricciones"/>
    <w:p>
      <w:pPr>
        <w:pStyle w:val="Heading1"/>
      </w:pPr>
      <w:r>
        <w:t xml:space="preserve">17. Restricciones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Económicas:</w:t>
      </w:r>
      <w:r>
        <w:t xml:space="preserve"> </w:t>
      </w:r>
      <w:r>
        <w:t xml:space="preserve">Se usan Free Tiers (Vercel, Supabase gratuito) para que el sistema sea viable sin cobros de licenciamiento mensual altos a comunidades de subsistencia.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Memoria:</w:t>
      </w:r>
      <w:r>
        <w:t xml:space="preserve"> </w:t>
      </w:r>
      <w:r>
        <w:t xml:space="preserve">IndexedDB en iOS Safari tiene cuotas de memoria estrictas, limitando el almacenamiento de blobs grandes.</w:t>
      </w:r>
    </w:p>
    <w:bookmarkEnd w:id="51"/>
    <w:bookmarkStart w:id="52" w:name="precedencia-y-prioridad"/>
    <w:p>
      <w:pPr>
        <w:pStyle w:val="Heading1"/>
      </w:pPr>
      <w:r>
        <w:t xml:space="preserve">18. Precedencia y Prioridad</w:t>
      </w:r>
    </w:p>
    <w:p>
      <w:pPr>
        <w:pStyle w:val="Compact"/>
        <w:numPr>
          <w:ilvl w:val="0"/>
          <w:numId w:val="1020"/>
        </w:numPr>
      </w:pPr>
      <w:r>
        <w:t xml:space="preserve">Capa Offline (Dexie.js) y Módulo de Cobros Flexibles.</w:t>
      </w:r>
    </w:p>
    <w:p>
      <w:pPr>
        <w:pStyle w:val="Compact"/>
        <w:numPr>
          <w:ilvl w:val="0"/>
          <w:numId w:val="1020"/>
        </w:numPr>
      </w:pPr>
      <w:r>
        <w:t xml:space="preserve">Sincronizador Bidireccional Supabase.</w:t>
      </w:r>
    </w:p>
    <w:p>
      <w:pPr>
        <w:pStyle w:val="Compact"/>
        <w:numPr>
          <w:ilvl w:val="0"/>
          <w:numId w:val="1020"/>
        </w:numPr>
      </w:pPr>
      <w:r>
        <w:t xml:space="preserve">Reportes JS PDF y SheetJS.</w:t>
      </w:r>
    </w:p>
    <w:p>
      <w:pPr>
        <w:pStyle w:val="Compact"/>
        <w:numPr>
          <w:ilvl w:val="0"/>
          <w:numId w:val="1020"/>
        </w:numPr>
      </w:pPr>
      <w:r>
        <w:t xml:space="preserve">Módulo</w:t>
      </w:r>
      <w:r>
        <w:t xml:space="preserve"> </w:t>
      </w:r>
      <w:r>
        <w:t xml:space="preserve">“</w:t>
      </w:r>
      <w:r>
        <w:t xml:space="preserve">Ruta IA</w:t>
      </w:r>
      <w:r>
        <w:t xml:space="preserve">”</w:t>
      </w:r>
      <w:r>
        <w:t xml:space="preserve"> </w:t>
      </w:r>
      <w:r>
        <w:t xml:space="preserve">y Gamificación.</w:t>
      </w:r>
    </w:p>
    <w:bookmarkEnd w:id="52"/>
    <w:bookmarkStart w:id="53" w:name="otros-requisitos-del-producto"/>
    <w:p>
      <w:pPr>
        <w:pStyle w:val="Heading1"/>
      </w:pPr>
      <w:r>
        <w:t xml:space="preserve">19. Otros Requisitos del Producto</w:t>
      </w:r>
    </w:p>
    <w:p>
      <w:pPr>
        <w:pStyle w:val="Compact"/>
        <w:numPr>
          <w:ilvl w:val="0"/>
          <w:numId w:val="1021"/>
        </w:numPr>
      </w:pPr>
      <w:r>
        <w:t xml:space="preserve">Estándares del Formato Contable MINSA.</w:t>
      </w:r>
    </w:p>
    <w:bookmarkEnd w:id="53"/>
    <w:bookmarkStart w:id="57" w:name="modelo-casos-de-uso"/>
    <w:p>
      <w:pPr>
        <w:pStyle w:val="Heading1"/>
      </w:pPr>
      <w:r>
        <w:t xml:space="preserve">20. MODELO CASOS DE USO</w:t>
      </w:r>
    </w:p>
    <w:bookmarkStart w:id="54" w:name="definición-de-actores"/>
    <w:p>
      <w:pPr>
        <w:pStyle w:val="Heading2"/>
      </w:pPr>
      <w:r>
        <w:t xml:space="preserve">20.1 Definición de Actores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Admin:</w:t>
      </w:r>
      <w:r>
        <w:t xml:space="preserve"> </w:t>
      </w:r>
      <w:r>
        <w:t xml:space="preserve">Configura reglas de puntos (Split), aprueba vecinos, revisa tablero de recaudo.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Cobrador:</w:t>
      </w:r>
      <w:r>
        <w:t xml:space="preserve"> </w:t>
      </w:r>
      <w:r>
        <w:t xml:space="preserve">Registra cobros (normales, parciales, Puesta al Día), jornales, canjea puntos, usa Ruta Inteligente.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Cliente:</w:t>
      </w:r>
      <w:r>
        <w:t xml:space="preserve"> </w:t>
      </w:r>
      <w:r>
        <w:t xml:space="preserve">Verifica estado de riesgo en</w:t>
      </w:r>
      <w:r>
        <w:t xml:space="preserve"> </w:t>
      </w:r>
      <w:r>
        <w:t xml:space="preserve">“</w:t>
      </w:r>
      <w:r>
        <w:t xml:space="preserve">lenguaje amigable</w:t>
      </w:r>
      <w:r>
        <w:t xml:space="preserve">”</w:t>
      </w:r>
      <w:r>
        <w:t xml:space="preserve">, ve sus puntos, confirma asistencia.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Sistema (IA):</w:t>
      </w:r>
      <w:r>
        <w:t xml:space="preserve"> </w:t>
      </w:r>
      <w:r>
        <w:t xml:space="preserve">Detecta anomalías, predice morosidad, asigna puntajes de riesgo.</w:t>
      </w:r>
    </w:p>
    <w:bookmarkEnd w:id="54"/>
    <w:bookmarkStart w:id="56" w:name="diagrama-de-actores"/>
    <w:p>
      <w:pPr>
        <w:pStyle w:val="Heading2"/>
      </w:pPr>
      <w:r>
        <w:t xml:space="preserve">20.2 Diagrama de Actores</w:t>
      </w:r>
    </w:p>
    <w:p>
      <w:pPr>
        <w:pStyle w:val="Compact"/>
        <w:numPr>
          <w:ilvl w:val="0"/>
          <w:numId w:val="1023"/>
        </w:numPr>
      </w:pPr>
      <w:r>
        <w:t xml:space="preserve">[Diagrama DFD nivel 1 y nivel 2 de cobros disponibles en</w:t>
      </w:r>
      <w:r>
        <w:t xml:space="preserve"> </w:t>
      </w:r>
      <w:r>
        <w:rPr>
          <w:rStyle w:val="VerbatimChar"/>
        </w:rPr>
        <w:t xml:space="preserve">docs/dfd_nivel1.png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docs/dfd_nivel2_cobros.png</w:t>
      </w:r>
      <w:r>
        <w:t xml:space="preserve">]</w:t>
      </w:r>
    </w:p>
    <w:bookmarkStart w:id="55" w:name="casos-de-uso-extracto"/>
    <w:p>
      <w:pPr>
        <w:pStyle w:val="Heading3"/>
      </w:pPr>
      <w:r>
        <w:t xml:space="preserve">20.2.1. Casos de Uso (Extracto)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CU-06:</w:t>
      </w:r>
      <w:r>
        <w:t xml:space="preserve"> </w:t>
      </w:r>
      <w:r>
        <w:t xml:space="preserve">Pago Mensual Estándar.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CU-07:</w:t>
      </w:r>
      <w:r>
        <w:t xml:space="preserve"> </w:t>
      </w:r>
      <w:r>
        <w:t xml:space="preserve">Pago Parcial.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CU-11:</w:t>
      </w:r>
      <w:r>
        <w:t xml:space="preserve"> </w:t>
      </w:r>
      <w:r>
        <w:t xml:space="preserve">Cobrador Registra Pago y Recibe Comisión Automática.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CU-16:</w:t>
      </w:r>
      <w:r>
        <w:t xml:space="preserve"> </w:t>
      </w:r>
      <w:r>
        <w:t xml:space="preserve">Vecino Canjea Puntos por Descuento.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CU-19:</w:t>
      </w:r>
      <w:r>
        <w:t xml:space="preserve"> </w:t>
      </w:r>
      <w:r>
        <w:t xml:space="preserve">Cobrador Activa</w:t>
      </w:r>
      <w:r>
        <w:t xml:space="preserve"> </w:t>
      </w:r>
      <w:r>
        <w:t xml:space="preserve">“</w:t>
      </w:r>
      <w:r>
        <w:t xml:space="preserve">Ruta Inteligente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CU-20:</w:t>
      </w:r>
      <w:r>
        <w:t xml:space="preserve"> </w:t>
      </w:r>
      <w:r>
        <w:t xml:space="preserve">Sistema Predice Hogares que Caerán en Morosidad.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CU-23:</w:t>
      </w:r>
      <w:r>
        <w:t xml:space="preserve"> </w:t>
      </w:r>
      <w:r>
        <w:t xml:space="preserve">Cliente Ve su Estado de Riesgo en Lenguaje Amigable.</w:t>
      </w:r>
    </w:p>
    <w:bookmarkEnd w:id="55"/>
    <w:bookmarkEnd w:id="56"/>
    <w:bookmarkEnd w:id="57"/>
    <w:bookmarkStart w:id="59" w:name="modelo-de-arquitectura-de-análisis"/>
    <w:p>
      <w:pPr>
        <w:pStyle w:val="Heading1"/>
      </w:pPr>
      <w:r>
        <w:t xml:space="preserve">21. Modelo de Arquitectura de Análisis</w:t>
      </w:r>
    </w:p>
    <w:bookmarkStart w:id="58" w:name="diagrama-de-arquitectura-de-análisis"/>
    <w:p>
      <w:pPr>
        <w:pStyle w:val="Heading2"/>
      </w:pPr>
      <w:r>
        <w:t xml:space="preserve">21.1. Diagrama de Arquitectura de Análisis</w:t>
      </w:r>
    </w:p>
    <w:p>
      <w:pPr>
        <w:pStyle w:val="FirstParagraph"/>
      </w:pPr>
      <w:r>
        <w:t xml:space="preserve">Patrón Repository en React. Todos los componentes interactúan con servicios asíncronos (</w:t>
      </w:r>
      <w:r>
        <w:rPr>
          <w:rStyle w:val="VerbatimChar"/>
        </w:rPr>
        <w:t xml:space="preserve">PaymentService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SyncService</w:t>
      </w:r>
      <w:r>
        <w:t xml:space="preserve">) que deciden si guardar en la RAM, en IndexedDB o intentar escribir directamente en la DB en Supabase.</w:t>
      </w:r>
    </w:p>
    <w:bookmarkEnd w:id="58"/>
    <w:bookmarkEnd w:id="59"/>
    <w:bookmarkStart w:id="62" w:name="modelo-de-base-de-datos"/>
    <w:p>
      <w:pPr>
        <w:pStyle w:val="Heading1"/>
      </w:pPr>
      <w:r>
        <w:t xml:space="preserve">22. Modelo de base de datos</w:t>
      </w:r>
    </w:p>
    <w:bookmarkStart w:id="60" w:name="modelo-conceptual"/>
    <w:p>
      <w:pPr>
        <w:pStyle w:val="Heading2"/>
      </w:pPr>
      <w:r>
        <w:t xml:space="preserve">22.1. Modelo Conceptual</w:t>
      </w:r>
    </w:p>
    <w:p>
      <w:pPr>
        <w:pStyle w:val="FirstParagraph"/>
      </w:pPr>
      <w:r>
        <w:t xml:space="preserve">Entidades Core: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MIEMBRO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JORNAL_ASISTENCIA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GASTO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CATEGORIA_GASTO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SINCRONIZACION_COLA</w:t>
      </w:r>
      <w:r>
        <w:t xml:space="preserve">.</w:t>
      </w:r>
    </w:p>
    <w:bookmarkEnd w:id="60"/>
    <w:bookmarkStart w:id="61" w:name="modelo-lógico-y-físico"/>
    <w:p>
      <w:pPr>
        <w:pStyle w:val="Heading2"/>
      </w:pPr>
      <w:r>
        <w:t xml:space="preserve">22.2. Modelo Lógico y Físico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PAGO:</w:t>
      </w:r>
      <w:r>
        <w:t xml:space="preserve"> </w:t>
      </w:r>
      <w:r>
        <w:rPr>
          <w:rStyle w:val="VerbatimChar"/>
        </w:rPr>
        <w:t xml:space="preserve">id_pago (PK)</w:t>
      </w:r>
      <w:r>
        <w:t xml:space="preserve">,</w:t>
      </w:r>
      <w:r>
        <w:t xml:space="preserve"> </w:t>
      </w:r>
      <w:r>
        <w:rPr>
          <w:rStyle w:val="VerbatimChar"/>
        </w:rPr>
        <w:t xml:space="preserve">id_miembro (FK)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 (decimal)</w:t>
      </w:r>
      <w:r>
        <w:t xml:space="preserve">,</w:t>
      </w:r>
      <w:r>
        <w:t xml:space="preserve"> </w:t>
      </w:r>
      <w:r>
        <w:rPr>
          <w:rStyle w:val="VerbatimChar"/>
        </w:rPr>
        <w:t xml:space="preserve">mes 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anio 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estado_sincronizacion (string)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JORNAL_ASISTENCIA:</w:t>
      </w:r>
      <w:r>
        <w:t xml:space="preserve"> </w:t>
      </w:r>
      <w:r>
        <w:rPr>
          <w:rStyle w:val="VerbatimChar"/>
        </w:rPr>
        <w:t xml:space="preserve">id_asistencia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id_jornada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asistio (boolean)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nombre_sustituto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monto_multa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SINCRONIZACION_COLA:</w:t>
      </w:r>
      <w:r>
        <w:t xml:space="preserve"> </w:t>
      </w:r>
      <w:r>
        <w:rPr>
          <w:rStyle w:val="VerbatimChar"/>
        </w:rPr>
        <w:t xml:space="preserve">id_cola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tipo_operacion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 datos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</w:t>
      </w:r>
      <w:r>
        <w:t xml:space="preserve"> </w:t>
      </w:r>
      <w:r>
        <w:rPr>
          <w:i/>
          <w:iCs/>
        </w:rPr>
        <w:t xml:space="preserve">Los triggers de PostgreSQL (Supabase) actualizan las vistas materializadas como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vista_estado_miembros</w:t>
      </w:r>
      <w:r>
        <w:rPr>
          <w:i/>
          <w:iCs/>
        </w:rPr>
        <w:t xml:space="preserve">.</w:t>
      </w:r>
    </w:p>
    <w:bookmarkEnd w:id="61"/>
    <w:bookmarkEnd w:id="62"/>
    <w:bookmarkStart w:id="63" w:name="Xe4015b51252a47b10f81d5e85323cb3132a796c"/>
    <w:p>
      <w:pPr>
        <w:pStyle w:val="Heading1"/>
      </w:pPr>
      <w:r>
        <w:t xml:space="preserve">23. Correspondencia de necesidades de actores y Casos de Uso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Cobrador en el barro:</w:t>
      </w:r>
      <w:r>
        <w:t xml:space="preserve"> </w:t>
      </w:r>
      <w:r>
        <w:t xml:space="preserve">Necesita no bloquear la app guardando datos -&gt; Uso de IndexedDB con guardado optimista.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Dirigente JAAR:</w:t>
      </w:r>
      <w:r>
        <w:t xml:space="preserve"> </w:t>
      </w:r>
      <w:r>
        <w:t xml:space="preserve">Necesita detectar por qué bajó la recaudación -&gt; CU-22 (Anomalías detectadas por IA).</w:t>
      </w:r>
    </w:p>
    <w:bookmarkEnd w:id="63"/>
    <w:bookmarkStart w:id="64" w:name="actores-y-sus-responsabilidades"/>
    <w:p>
      <w:pPr>
        <w:pStyle w:val="Heading1"/>
      </w:pPr>
      <w:r>
        <w:t xml:space="preserve">24. ACTORES Y SUS RESPONSABILIDADES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Cobrador</w:t>
      </w:r>
      <w:r>
        <w:t xml:space="preserve"> </w:t>
      </w:r>
      <w:r>
        <w:t xml:space="preserve">es responsable absoluto de la fidelidad del dinero en efectivo que lleva consigo y de realizar el Split de Comisión. El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 </w:t>
      </w:r>
      <w:r>
        <w:t xml:space="preserve">responde legalmente ante el</w:t>
      </w:r>
      <w:r>
        <w:t xml:space="preserve"> </w:t>
      </w:r>
      <w:r>
        <w:rPr>
          <w:b/>
          <w:bCs/>
        </w:rPr>
        <w:t xml:space="preserve">Auditor MINSA</w:t>
      </w:r>
      <w:r>
        <w:t xml:space="preserve">.</w:t>
      </w:r>
    </w:p>
    <w:bookmarkEnd w:id="64"/>
    <w:bookmarkStart w:id="65" w:name="modelo-de-análisis"/>
    <w:p>
      <w:pPr>
        <w:pStyle w:val="Heading1"/>
      </w:pPr>
      <w:r>
        <w:t xml:space="preserve">25. MODELO DE ANÁLISIS</w:t>
      </w:r>
    </w:p>
    <w:p>
      <w:pPr>
        <w:pStyle w:val="FirstParagraph"/>
      </w:pPr>
      <w:r>
        <w:t xml:space="preserve">Los Context Providers en React (</w:t>
      </w:r>
      <w:r>
        <w:rPr>
          <w:rStyle w:val="VerbatimChar"/>
        </w:rPr>
        <w:t xml:space="preserve">AuthContext</w:t>
      </w:r>
      <w:r>
        <w:t xml:space="preserve">) manejan el estado global del rol de usuario y el estado de la conexión a red del navegador (</w:t>
      </w:r>
      <w:r>
        <w:rPr>
          <w:rStyle w:val="VerbatimChar"/>
        </w:rPr>
        <w:t xml:space="preserve">window.navigator.onLine</w:t>
      </w:r>
      <w:r>
        <w:t xml:space="preserve">), inyectando dependencias al Component Tree.</w:t>
      </w:r>
    </w:p>
    <w:bookmarkEnd w:id="65"/>
    <w:bookmarkStart w:id="66" w:name="análisis-de-relaciones-entre-modulos"/>
    <w:p>
      <w:pPr>
        <w:pStyle w:val="Heading1"/>
      </w:pPr>
      <w:r>
        <w:t xml:space="preserve">26. ANÁLISIS DE RELACIONES ENTRE MODULOS</w:t>
      </w:r>
    </w:p>
    <w:p>
      <w:pPr>
        <w:pStyle w:val="Compact"/>
        <w:numPr>
          <w:ilvl w:val="0"/>
          <w:numId w:val="1027"/>
        </w:numPr>
      </w:pPr>
      <w:r>
        <w:t xml:space="preserve">El módulo</w:t>
      </w:r>
      <w:r>
        <w:t xml:space="preserve"> </w:t>
      </w:r>
      <w:r>
        <w:rPr>
          <w:b/>
          <w:bCs/>
        </w:rPr>
        <w:t xml:space="preserve">Comisiones y Recompensas</w:t>
      </w:r>
      <w:r>
        <w:t xml:space="preserve"> </w:t>
      </w:r>
      <w:r>
        <w:t xml:space="preserve">acopla con el Módulo de</w:t>
      </w:r>
      <w:r>
        <w:t xml:space="preserve"> </w:t>
      </w:r>
      <w:r>
        <w:rPr>
          <w:b/>
          <w:bCs/>
        </w:rPr>
        <w:t xml:space="preserve">Pagos Flexibles</w:t>
      </w:r>
      <w:r>
        <w:t xml:space="preserve"> </w:t>
      </w:r>
      <w:r>
        <w:t xml:space="preserve">a través de una transacción atómica (cuando se guarda el pago, se calcula el split y se guarda la comisión de inmediato).</w:t>
      </w:r>
    </w:p>
    <w:p>
      <w:pPr>
        <w:pStyle w:val="Compact"/>
        <w:numPr>
          <w:ilvl w:val="0"/>
          <w:numId w:val="1027"/>
        </w:numPr>
      </w:pPr>
      <w:r>
        <w:t xml:space="preserve">El módulo</w:t>
      </w:r>
      <w:r>
        <w:t xml:space="preserve"> </w:t>
      </w:r>
      <w:r>
        <w:rPr>
          <w:b/>
          <w:bCs/>
        </w:rPr>
        <w:t xml:space="preserve">Ruta IA</w:t>
      </w:r>
      <w:r>
        <w:t xml:space="preserve"> </w:t>
      </w:r>
      <w:r>
        <w:t xml:space="preserve">es lector (Read-Only) del padrón de</w:t>
      </w:r>
      <w:r>
        <w:t xml:space="preserve"> </w:t>
      </w:r>
      <w:r>
        <w:rPr>
          <w:rStyle w:val="VerbatimChar"/>
        </w:rPr>
        <w:t xml:space="preserve">MIEMBROS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 </w:t>
      </w:r>
      <w:r>
        <w:t xml:space="preserve">para calcular Z-scores, sin mutar datos.</w:t>
      </w:r>
    </w:p>
    <w:bookmarkEnd w:id="66"/>
    <w:bookmarkStart w:id="67" w:name="modelo-ossim"/>
    <w:p>
      <w:pPr>
        <w:pStyle w:val="Heading1"/>
      </w:pPr>
      <w:r>
        <w:t xml:space="preserve">27. MODELO OSSIM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Información:</w:t>
      </w:r>
      <w:r>
        <w:t xml:space="preserve"> </w:t>
      </w:r>
      <w:r>
        <w:t xml:space="preserve">Los datos críticos se almacenan de forma remota en PostgreSQL con respaldos diarios provistos por Supabase.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El CI/CD configurado en el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corre Vite Build y Linters, permitiendo deploys con cero tiempo de inactividad (Zero-Downtime Deploy) al hacer Push a Main.</w:t>
      </w:r>
    </w:p>
    <w:bookmarkEnd w:id="67"/>
    <w:bookmarkStart w:id="68" w:name="documentación-de-la-arquitectura"/>
    <w:p>
      <w:pPr>
        <w:pStyle w:val="Heading1"/>
      </w:pPr>
      <w:r>
        <w:t xml:space="preserve">28. DOCUMENTACIÓN DE LA ARQUITECTURA</w:t>
      </w:r>
    </w:p>
    <w:p>
      <w:pPr>
        <w:pStyle w:val="FirstParagraph"/>
      </w:pPr>
      <w:r>
        <w:t xml:space="preserve">Arquitectura</w:t>
      </w:r>
      <w:r>
        <w:t xml:space="preserve"> </w:t>
      </w:r>
      <w:r>
        <w:rPr>
          <w:i/>
          <w:iCs/>
        </w:rPr>
        <w:t xml:space="preserve">Offline-First SPA</w:t>
      </w:r>
      <w:r>
        <w:t xml:space="preserve">. Los flujos de sincronización funcionan en Background, utilizando un Polling o un listener de evento de reconexión.</w:t>
      </w:r>
    </w:p>
    <w:bookmarkEnd w:id="68"/>
    <w:bookmarkStart w:id="73" w:name="vistas"/>
    <w:p>
      <w:pPr>
        <w:pStyle w:val="Heading1"/>
      </w:pPr>
      <w:r>
        <w:t xml:space="preserve">29. Vistas</w:t>
      </w:r>
    </w:p>
    <w:bookmarkStart w:id="69" w:name="vista-lógica"/>
    <w:p>
      <w:pPr>
        <w:pStyle w:val="Heading2"/>
      </w:pPr>
      <w:r>
        <w:t xml:space="preserve">29.1. Vista Lógica</w:t>
      </w:r>
    </w:p>
    <w:p>
      <w:pPr>
        <w:pStyle w:val="FirstParagraph"/>
      </w:pPr>
      <w:r>
        <w:t xml:space="preserve">Dividido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(Helpers criptográficos, formateros).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(Data Access Layer - Dexie/Supabase).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(UI presentacional, botones y Toasts).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(Vistas por rol).</w:t>
      </w:r>
    </w:p>
    <w:bookmarkEnd w:id="69"/>
    <w:bookmarkStart w:id="70" w:name="vista-de-desarrollo"/>
    <w:p>
      <w:pPr>
        <w:pStyle w:val="Heading2"/>
      </w:pPr>
      <w:r>
        <w:t xml:space="preserve">29.2. Vista de desarrollo</w:t>
      </w:r>
    </w:p>
    <w:p>
      <w:pPr>
        <w:pStyle w:val="FirstParagraph"/>
      </w:pPr>
      <w:r>
        <w:t xml:space="preserve">Empaquetado moderno ESM vía Vite. Dependencias clave:</w:t>
      </w:r>
      <w:r>
        <w:t xml:space="preserve"> </w:t>
      </w:r>
      <w:r>
        <w:rPr>
          <w:rStyle w:val="VerbatimChar"/>
        </w:rPr>
        <w:t xml:space="preserve">dexie-react-hooks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,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.</w:t>
      </w:r>
    </w:p>
    <w:bookmarkEnd w:id="70"/>
    <w:bookmarkStart w:id="71" w:name="vista-de-procesos"/>
    <w:p>
      <w:pPr>
        <w:pStyle w:val="Heading2"/>
      </w:pPr>
      <w:r>
        <w:t xml:space="preserve">29.3. Vista de procesos</w:t>
      </w:r>
    </w:p>
    <w:p>
      <w:pPr>
        <w:pStyle w:val="FirstParagraph"/>
      </w:pPr>
      <w:r>
        <w:t xml:space="preserve">Flujo de Sincronización (Diagrama):</w:t>
      </w:r>
      <w:r>
        <w:t xml:space="preserve"> </w:t>
      </w:r>
      <w:r>
        <w:t xml:space="preserve">1. User acciona Guardar.</w:t>
      </w:r>
      <w:r>
        <w:t xml:space="preserve"> </w:t>
      </w:r>
      <w:r>
        <w:t xml:space="preserve">2. Si NO red -&gt; IndexedDB -&gt;</w:t>
      </w:r>
      <w:r>
        <w:t xml:space="preserve"> </w:t>
      </w:r>
      <w:r>
        <w:rPr>
          <w:rStyle w:val="VerbatimChar"/>
        </w:rPr>
        <w:t xml:space="preserve">SINCRONIZACION_COLA</w:t>
      </w:r>
      <w:r>
        <w:t xml:space="preserve"> </w:t>
      </w:r>
      <w:r>
        <w:t xml:space="preserve">estado=Pendiente.</w:t>
      </w:r>
      <w:r>
        <w:t xml:space="preserve"> </w:t>
      </w:r>
      <w:r>
        <w:t xml:space="preserve">3. Al recuperar Red -&gt; Evento despachado -&gt; Worker lee cola -&gt; POST Supabase.</w:t>
      </w:r>
      <w:r>
        <w:t xml:space="preserve"> </w:t>
      </w:r>
      <w:r>
        <w:t xml:space="preserve">4. Éxito -&gt; Limpia Cola.</w:t>
      </w:r>
    </w:p>
    <w:bookmarkEnd w:id="71"/>
    <w:bookmarkStart w:id="72" w:name="vista-física-o-de-despliegue"/>
    <w:p>
      <w:pPr>
        <w:pStyle w:val="Heading2"/>
      </w:pPr>
      <w:r>
        <w:t xml:space="preserve">29.4. Vista física o de despliegue</w:t>
      </w:r>
    </w:p>
    <w:p>
      <w:pPr>
        <w:pStyle w:val="FirstParagraph"/>
      </w:pPr>
      <w:r>
        <w:t xml:space="preserve">Hosting de Assets estáticos de React en Vercel (CDN global). Base de datos en Supabase (AWS backend PostgreSQL). Dispositivos de usuario corren el runtime de JavaScript localmente.</w:t>
      </w:r>
    </w:p>
    <w:bookmarkEnd w:id="72"/>
    <w:bookmarkEnd w:id="73"/>
    <w:bookmarkStart w:id="74" w:name="glosario"/>
    <w:p>
      <w:pPr>
        <w:pStyle w:val="Heading1"/>
      </w:pPr>
      <w:r>
        <w:t xml:space="preserve">Glosario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PWA:</w:t>
      </w:r>
      <w:r>
        <w:t xml:space="preserve"> </w:t>
      </w:r>
      <w:r>
        <w:t xml:space="preserve">Aplicación Web Progresiva.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Offline-First:</w:t>
      </w:r>
      <w:r>
        <w:t xml:space="preserve"> </w:t>
      </w:r>
      <w:r>
        <w:t xml:space="preserve">Patrón de diseño donde la aplicación está concebida primordialmente para funcionar sin red.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Jornal (Faina):</w:t>
      </w:r>
      <w:r>
        <w:t xml:space="preserve"> </w:t>
      </w:r>
      <w:r>
        <w:t xml:space="preserve">Obligación comunitaria de trabajo físico en el acueducto.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Z-Score:</w:t>
      </w:r>
      <w:r>
        <w:t xml:space="preserve"> </w:t>
      </w:r>
      <w:r>
        <w:t xml:space="preserve">Medida estadística utilizada por la Ruta IA para identificar caídas drásticas de recaudo.</w:t>
      </w:r>
    </w:p>
    <w:bookmarkEnd w:id="74"/>
    <w:bookmarkStart w:id="75" w:name="historial-de-versiones"/>
    <w:p>
      <w:pPr>
        <w:pStyle w:val="Heading1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SIMAP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Reconstrucción exhaustiva integrando Pagos Flexibles, Gamificación e IA.</w:t>
            </w:r>
          </w:p>
        </w:tc>
      </w:tr>
    </w:tbl>
    <w:bookmarkEnd w:id="75"/>
    <w:bookmarkStart w:id="76" w:name="información-del-proyecto"/>
    <w:p>
      <w:pPr>
        <w:pStyle w:val="Heading1"/>
      </w:pPr>
      <w:r>
        <w:t xml:space="preserve">Información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SIMAP Digital Cuentas Claras 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Salud (MINSA)</w:t>
            </w:r>
          </w:p>
        </w:tc>
      </w:tr>
    </w:tbl>
    <w:bookmarkEnd w:id="76"/>
    <w:bookmarkStart w:id="77" w:name="aprobaciones"/>
    <w:p>
      <w:pPr>
        <w:pStyle w:val="Heading1"/>
      </w:pPr>
      <w:r>
        <w:t xml:space="preserve">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JAAR Panamá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</w:tbl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2026-07-14T21:38:17Z</dcterms:created>
  <dcterms:modified xsi:type="dcterms:W3CDTF">2026-07-14T21:38:17Z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