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3864"/>
          <w:sz w:val="44"/>
          <w:szCs w:val="44"/>
        </w:rPr>
        <w:t xml:space="preserve">Grace Way · 恩途</w:t>
      </w:r>
    </w:p>
    <w:p>
      <w:pPr>
        <w:spacing w:after="80"/>
        <w:jc w:val="center"/>
      </w:pPr>
      <w:r>
        <w:rPr>
          <w:b/>
          <w:bCs/>
          <w:color w:val="2E5496"/>
          <w:sz w:val="32"/>
          <w:szCs w:val="32"/>
        </w:rPr>
        <w:t xml:space="preserve">中国企业出海土耳其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市场、获客与盈利方向 · 调研报告(2026)</w:t>
      </w:r>
    </w:p>
    <w:p>
      <w:pPr>
        <w:spacing w:after="40" w:before="200"/>
        <w:jc w:val="center"/>
      </w:pPr>
      <w:r>
        <w:rPr>
          <w:color w:val="777777"/>
          <w:sz w:val="19"/>
          <w:szCs w:val="19"/>
        </w:rPr>
        <w:t xml:space="preserve">编制日期:2026 年 6 月</w:t>
      </w:r>
    </w:p>
    <w:p>
      <w:pPr>
        <w:spacing w:after="40"/>
        <w:jc w:val="center"/>
      </w:pPr>
      <w:r>
        <w:rPr>
          <w:color w:val="777777"/>
          <w:sz w:val="19"/>
          <w:szCs w:val="19"/>
        </w:rPr>
        <w:t xml:space="preserve">用途:内部决策参考(非公开)　·　目标客户:中国制造 / 品牌 / 贸易企业</w:t>
      </w:r>
    </w:p>
    <w:p>
      <w:pPr>
        <w:spacing w:after="40"/>
        <w:jc w:val="center"/>
      </w:pPr>
      <w:r>
        <w:rPr>
          <w:color w:val="777777"/>
          <w:sz w:val="19"/>
          <w:szCs w:val="19"/>
        </w:rPr>
        <w:t xml:space="preserve">主体:Grace Way(grace.tr)— TURSAB 持牌、伊斯坦布尔在地中文团队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80"/>
      </w:pPr>
      <w:r>
        <w:rPr>
          <w:i/>
          <w:iCs/>
          <w:color w:val="808080"/>
          <w:sz w:val="16"/>
          <w:szCs w:val="16"/>
        </w:rPr>
        <w:t xml:space="preserve">(在 Word 中打开后,右键目录 → 更新域,可生成页码)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数据说明与置信度</w:t>
      </w:r>
    </w:p>
    <w:p>
      <w:pPr>
        <w:spacing w:after="120" w:line="274"/>
      </w:pPr>
      <w:r>
        <w:t xml:space="preserve">本报告的数据来自两轮深度联网调研(检索→抓取→</w:t>
      </w:r>
      <w:r>
        <w:rPr>
          <w:b/>
          <w:bCs/>
        </w:rPr>
        <w:t xml:space="preserve">对抗式验真</w:t>
      </w:r>
      <w:r>
        <w:t xml:space="preserve">,即每条关键结论由多个独立校验体投票)外加权威公开源补充。为对你负责,全文对每个数字</w:t>
      </w:r>
      <w:r>
        <w:rPr>
          <w:b/>
          <w:bCs/>
        </w:rPr>
        <w:t xml:space="preserve">分级标注可信度</w:t>
      </w:r>
      <w:r>
        <w:t xml:space="preserve">,绝不把估算冒充成市场数据: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E7A34"/>
          <w:sz w:val="17"/>
          <w:szCs w:val="17"/>
        </w:rPr>
        <w:t xml:space="preserve">【已验真】 </w:t>
      </w:r>
      <w:r>
        <w:t xml:space="preserve">经独立对抗验真通过(最高可信)。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t xml:space="preserve">取自权威公开源(官方统计 / 政府机构 / 路透彭博 / 四大 / 持牌机构),2026 年 6 月检索。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8860B"/>
          <w:sz w:val="17"/>
          <w:szCs w:val="17"/>
        </w:rPr>
        <w:t xml:space="preserve">【估算】 </w:t>
      </w:r>
      <w:r>
        <w:t xml:space="preserve">行业经验估算或本报告分析推导,用于排序与决策,非精确财务数字。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t xml:space="preserve">尚未取到可靠一手源,待核实(清单见附录 B)。</w:t>
      </w:r>
    </w:p>
    <w:p>
      <w:pPr>
        <w:spacing w:after="120" w:line="274"/>
      </w:pPr>
      <w:r>
        <w:rPr>
          <w:b/>
          <w:bCs/>
        </w:rPr>
        <w:t xml:space="preserve">一句话提醒:</w:t>
      </w:r>
      <w:r>
        <w:t xml:space="preserve">市场驱动与政策类数据扎实(已验真 / 公开);市场规模、竞品报价、渠道获客成本(CAC)多为估算,落地前需以一手询价 / 官方统计复核。</w:t>
      </w:r>
    </w:p>
    <w:p>
      <w:pPr>
        <w:pStyle w:val="Heading1"/>
      </w:pPr>
      <w:r>
        <w:t xml:space="preserve">摘要(结论先行)</w:t>
      </w:r>
    </w:p>
    <w:p>
      <w:pPr>
        <w:pStyle w:val="Heading3"/>
      </w:pPr>
      <w:r>
        <w:t xml:space="preserve">诊断:为什么现在不赚钱</w:t>
      </w:r>
    </w:p>
    <w:p>
      <w:pPr>
        <w:spacing w:after="120" w:line="274"/>
      </w:pPr>
      <w:r>
        <w:t xml:space="preserve">grace.tr 当前盈利不佳,根因不是“营销不努力”,而是</w:t>
      </w:r>
      <w:r>
        <w:rPr>
          <w:b/>
          <w:bCs/>
        </w:rPr>
        <w:t xml:space="preserve">商业模式 × 渠道的结构性错配</w:t>
      </w:r>
      <w:r>
        <w:t xml:space="preserve">:用一个</w:t>
      </w:r>
      <w:r>
        <w:rPr>
          <w:b/>
          <w:bCs/>
        </w:rPr>
        <w:t xml:space="preserve">打不通的渠道</w:t>
      </w:r>
      <w:r>
        <w:t xml:space="preserve">(目标客户在大陆,而 .tr 域名 + 无 ICP 备案 + 服务器香港跨境 + 百度近乎零收录 + Google 大陆不可用),卖一个</w:t>
      </w:r>
      <w:r>
        <w:rPr>
          <w:b/>
          <w:bCs/>
        </w:rPr>
        <w:t xml:space="preserve">低值、一次性、季节性</w:t>
      </w:r>
      <w:r>
        <w:t xml:space="preserve">的旅游商品。修网站修不好这件事——这是模式问题。</w:t>
      </w:r>
    </w:p>
    <w:p>
      <w:pPr>
        <w:pStyle w:val="Heading3"/>
      </w:pPr>
      <w:r>
        <w:t xml:space="preserve">方向:向上转型 = 土耳其“出海落地服务”(B2B),商务考察作桥</w:t>
      </w:r>
    </w:p>
    <w:p>
      <w:pPr>
        <w:spacing w:after="120" w:line="274"/>
      </w:pPr>
      <w:r>
        <w:t xml:space="preserve">把 grace.tr 从“卖土耳其旅游给搜不到你的散客”,升级为“</w:t>
      </w:r>
      <w:r>
        <w:rPr>
          <w:b/>
          <w:bCs/>
        </w:rPr>
        <w:t xml:space="preserve">帮中国制造企业落地土耳其的中文在地服务商</w:t>
      </w:r>
      <w:r>
        <w:t xml:space="preserve">”:用</w:t>
      </w:r>
      <w:r>
        <w:rPr>
          <w:b/>
          <w:bCs/>
        </w:rPr>
        <w:t xml:space="preserve">商务考察</w:t>
      </w:r>
      <w:r>
        <w:t xml:space="preserve">当低门槛入口,用</w:t>
      </w:r>
      <w:r>
        <w:rPr>
          <w:b/>
          <w:bCs/>
        </w:rPr>
        <w:t xml:space="preserve">代账 / 法务 / 办公室的年费复购</w:t>
      </w:r>
      <w:r>
        <w:t xml:space="preserve">当利润引擎;网站使命从“被搜到”改为“</w:t>
      </w:r>
      <w:r>
        <w:rPr>
          <w:b/>
          <w:bCs/>
        </w:rPr>
        <w:t xml:space="preserve">取信与成交</w:t>
      </w:r>
      <w:r>
        <w:t xml:space="preserve">”,不再死磕大陆自然搜索。</w:t>
      </w:r>
    </w:p>
    <w:p>
      <w:pPr>
        <w:spacing w:after="120" w:line="274"/>
      </w:pPr>
      <w:r>
        <w:rPr>
          <w:b/>
          <w:bCs/>
        </w:rPr>
        <w:t xml:space="preserve">它精准解掉每一条病:</w:t>
      </w:r>
      <w:r>
        <w:t xml:space="preserve">客单价提升 10–50 倍;一次性 → 年费复购;B2B 靠转介绍 / 商协会 / 已收录平台获客,</w:t>
      </w:r>
      <w:r>
        <w:rPr>
          <w:b/>
          <w:bCs/>
        </w:rPr>
        <w:t xml:space="preserve">直接绕过你打不通的渠道</w:t>
      </w:r>
      <w:r>
        <w:t xml:space="preserve">;中文 + 在地 + 持牌 + 考察漏斗 = 蓝海缝隙。</w:t>
      </w:r>
    </w:p>
    <w:p>
      <w:pPr>
        <w:pStyle w:val="Heading3"/>
      </w:pPr>
      <w:r>
        <w:t xml:space="preserve">立即可做的 3 步(都不依赖网站)</w:t>
      </w:r>
    </w:p>
    <w:p>
      <w:pPr>
        <w:pStyle w:val="ListParagraph"/>
        <w:numPr>
          <w:ilvl w:val="0"/>
          <w:numId w:val="3"/>
        </w:numPr>
        <w:spacing w:after="60" w:line="274"/>
      </w:pPr>
      <w:r>
        <w:rPr>
          <w:b/>
          <w:bCs/>
        </w:rPr>
        <w:t xml:space="preserve">拿 1–2 个标杆:</w:t>
      </w:r>
      <w:r>
        <w:t xml:space="preserve">用在地能力,免费 / 低价帮 1–2 家中国制造商做土耳其落地,换公开案例,解锁转介绍引擎。</w:t>
      </w:r>
    </w:p>
    <w:p>
      <w:pPr>
        <w:pStyle w:val="ListParagraph"/>
        <w:numPr>
          <w:ilvl w:val="0"/>
          <w:numId w:val="3"/>
        </w:numPr>
        <w:spacing w:after="60" w:line="274"/>
      </w:pPr>
      <w:r>
        <w:rPr>
          <w:b/>
          <w:bCs/>
        </w:rPr>
        <w:t xml:space="preserve">铺已收录平台:</w:t>
      </w:r>
      <w:r>
        <w:t xml:space="preserve">知乎 / 公众号写“土耳其建厂 / 关税同盟 / 伊堡开公司”高意图内容,导入企业微信私域。</w:t>
      </w:r>
    </w:p>
    <w:p>
      <w:pPr>
        <w:pStyle w:val="ListParagraph"/>
        <w:numPr>
          <w:ilvl w:val="0"/>
          <w:numId w:val="3"/>
        </w:numPr>
        <w:spacing w:after="60" w:line="274"/>
      </w:pPr>
      <w:r>
        <w:rPr>
          <w:b/>
          <w:bCs/>
        </w:rPr>
        <w:t xml:space="preserve">考察团做钩子:</w:t>
      </w:r>
      <w:r>
        <w:t xml:space="preserve">把现有土耳其旅游能力包装成“出海考察团”,对接 1 个产业带商会。</w:t>
      </w:r>
    </w:p>
    <w:p>
      <w:r>
        <w:br w:type="page"/>
      </w:r>
    </w:p>
    <w:p>
      <w:pPr>
        <w:pStyle w:val="Heading1"/>
      </w:pPr>
      <w:r>
        <w:t xml:space="preserve">一、市场前景与需求</w:t>
      </w:r>
    </w:p>
    <w:p>
      <w:pPr>
        <w:pStyle w:val="Heading2"/>
      </w:pPr>
      <w:r>
        <w:t xml:space="preserve">1.1 大势:中国企业出海仍在高位增长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2024 年中国对外直接投资(ODI)1,627.8 亿美元</w:t>
      </w:r>
      <w:r>
        <w:t xml:space="preserve">,同比 +10.1%;其中非金融类 1,438.5 亿美元(+10.5%),投向 </w:t>
      </w:r>
      <w:r>
        <w:rPr>
          <w:b/>
          <w:bCs/>
        </w:rPr>
        <w:t xml:space="preserve">151 个国家 / 地区的 9,400 家境外企业</w:t>
      </w:r>
      <w:r>
        <w:t xml:space="preserve">。对“一带一路”伙伴国非金融类投资 337 亿美元(+5%)。</w:t>
      </w:r>
    </w:p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来源:中国商务部 / SAFE(经 gov.cn、安永《2024 年中国海外投资概览》)</w:t>
      </w:r>
    </w:p>
    <w:p>
      <w:pPr>
        <w:spacing w:after="120" w:line="274"/>
      </w:pPr>
      <w:r>
        <w:t xml:space="preserve">出海是结构性迁徙(内卷 + 产能过剩 + 关税墙),不是短期风口。土耳其正是“绕道第三国进欧盟”这条主线的核心落点。</w:t>
      </w:r>
    </w:p>
    <w:p>
      <w:pPr>
        <w:pStyle w:val="Heading2"/>
      </w:pPr>
      <w:r>
        <w:t xml:space="preserve">1.2 为什么是土耳其:关税同盟 + 欧盟关税双重倒逼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E7A34"/>
          <w:sz w:val="17"/>
          <w:szCs w:val="17"/>
        </w:rPr>
        <w:t xml:space="preserve">【已验真】 </w:t>
      </w:r>
      <w:r>
        <w:rPr>
          <w:b/>
          <w:bCs/>
        </w:rPr>
        <w:t xml:space="preserve">欧土关税同盟</w:t>
      </w:r>
      <w:r>
        <w:t xml:space="preserve">:在土耳其生产的工业品可基本免关税进入欧盟,从而</w:t>
      </w:r>
      <w:r>
        <w:rPr>
          <w:b/>
          <w:bCs/>
        </w:rPr>
        <w:t xml:space="preserve">绕开欧盟对华电动车的额外关税</w:t>
      </w:r>
      <w:r>
        <w:t xml:space="preserve">——这是中国制造商赴土的头号动机。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E7A34"/>
          <w:sz w:val="17"/>
          <w:szCs w:val="17"/>
        </w:rPr>
        <w:t xml:space="preserve">【已验真】 </w:t>
      </w:r>
      <w:r>
        <w:rPr>
          <w:b/>
          <w:bCs/>
        </w:rPr>
        <w:t xml:space="preserve">BYD 在土耳其马尼萨(Manisa)投资 10 亿美元</w:t>
      </w:r>
      <w:r>
        <w:t xml:space="preserve">建电动 / 插混车厂,年产能 15 万辆,并在伊兹密尔附近设研发中心。</w:t>
      </w:r>
    </w:p>
    <w:p>
      <w:pPr>
        <w:spacing w:after="120" w:line="274"/>
      </w:pPr>
      <w:r>
        <w:rPr>
          <w:b/>
          <w:bCs/>
        </w:rPr>
        <w:t xml:space="preserve">欧盟对华电动车终裁反补贴税(2024/2754 号条例,2024 年 10 月 30 日起,为期 5 年):</w:t>
      </w:r>
    </w:p>
    <w:tbl>
      <w:tblPr>
        <w:tblW w:type="dxa" w:w="9026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2700"/>
        <w:gridCol w:w="2100"/>
        <w:gridCol w:w="2126"/>
        <w:gridCol w:w="21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厂商 / 类别</w:t>
            </w:r>
          </w:p>
        </w:tc>
        <w:tc>
          <w:tcPr>
            <w:tcW w:type="dxa" w:w="21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反补贴税(终裁)</w:t>
            </w:r>
          </w:p>
        </w:tc>
        <w:tc>
          <w:tcPr>
            <w:tcW w:type="dxa" w:w="2126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叠加基础进口税</w:t>
            </w:r>
          </w:p>
        </w:tc>
        <w:tc>
          <w:tcPr>
            <w:tcW w:type="dxa" w:w="21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实际合计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比亚迪 BYD</w:t>
            </w:r>
          </w:p>
        </w:tc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17.0%</w:t>
            </w:r>
          </w:p>
        </w:tc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27.0%</w:t>
            </w:r>
          </w:p>
        </w:tc>
      </w:tr>
      <w:tr>
        <w:trPr>
          <w:tblHeader w:val="false"/>
        </w:trPr>
        <w:tc>
          <w:tcPr>
            <w:tcW w:type="dxa" w:w="27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吉利 Geely</w:t>
            </w:r>
          </w:p>
        </w:tc>
        <w:tc>
          <w:tcPr>
            <w:tcW w:type="dxa" w:w="2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18.8%</w:t>
            </w:r>
          </w:p>
        </w:tc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2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28.8%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上汽 SAIC</w:t>
            </w:r>
          </w:p>
        </w:tc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35.3%</w:t>
            </w:r>
          </w:p>
        </w:tc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45.3%</w:t>
            </w:r>
          </w:p>
        </w:tc>
      </w:tr>
      <w:tr>
        <w:trPr>
          <w:tblHeader w:val="false"/>
        </w:trPr>
        <w:tc>
          <w:tcPr>
            <w:tcW w:type="dxa" w:w="27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其他合作企业</w:t>
            </w:r>
          </w:p>
        </w:tc>
        <w:tc>
          <w:tcPr>
            <w:tcW w:type="dxa" w:w="2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20.7%</w:t>
            </w:r>
          </w:p>
        </w:tc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2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30.7%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未合作企业</w:t>
            </w:r>
          </w:p>
        </w:tc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35.3%</w:t>
            </w:r>
          </w:p>
        </w:tc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7"/>
                <w:szCs w:val="17"/>
              </w:rPr>
              <w:t xml:space="preserve">45.3%</w:t>
            </w:r>
          </w:p>
        </w:tc>
      </w:tr>
    </w:tbl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来源:欧盟委员会 Access2Markets / Cleary Trade Watch(已验真:在土生产可经关税同盟规避此关税)</w:t>
      </w:r>
    </w:p>
    <w:p>
      <w:pPr>
        <w:spacing w:after="120" w:line="274"/>
      </w:pPr>
      <w:r>
        <w:rPr>
          <w:b/>
          <w:bCs/>
          <w:color w:val="1E7A34"/>
          <w:sz w:val="17"/>
          <w:szCs w:val="17"/>
        </w:rPr>
        <w:t xml:space="preserve">【已验真】 </w:t>
      </w:r>
      <w:r>
        <w:rPr>
          <w:b/>
          <w:bCs/>
        </w:rPr>
        <w:t xml:space="preserve">但有边界(必须诚实):</w:t>
      </w:r>
      <w:r>
        <w:t xml:space="preserve">关税同盟</w:t>
      </w:r>
      <w:r>
        <w:rPr>
          <w:b/>
          <w:bCs/>
        </w:rPr>
        <w:t xml:space="preserve">不覆盖未加工农产品、服务业、公共采购</w:t>
      </w:r>
      <w:r>
        <w:t xml:space="preserve">。所以受益客户是</w:t>
      </w:r>
      <w:r>
        <w:rPr>
          <w:b/>
          <w:bCs/>
        </w:rPr>
        <w:t xml:space="preserve">制造 / 货物出口企业,不是服务业</w:t>
      </w:r>
      <w:r>
        <w:t xml:space="preserve">。</w:t>
      </w:r>
    </w:p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来源:OECD《土耳其经济调查 2025》</w:t>
      </w:r>
    </w:p>
    <w:p>
      <w:pPr>
        <w:pStyle w:val="Heading2"/>
      </w:pPr>
      <w:r>
        <w:t xml:space="preserve">1.3 土耳其的引资力度与税制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2024 年土耳其 FDI 流入 113 亿美元,其中 34.5% 投向制造业</w:t>
      </w:r>
      <w:r>
        <w:t xml:space="preserve">(土耳其央行 CBRT)。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E7A34"/>
          <w:sz w:val="17"/>
          <w:szCs w:val="17"/>
        </w:rPr>
        <w:t xml:space="preserve">【已验真】 </w:t>
      </w:r>
      <w:r>
        <w:rPr>
          <w:b/>
          <w:bCs/>
        </w:rPr>
        <w:t xml:space="preserve">HIT-30 项目制定制激励:</w:t>
      </w:r>
      <w:r>
        <w:t xml:space="preserve">为大型高影响战略项目量身定制激励包(电动车 / 电池等巨型项目走此通道)。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E7A34"/>
          <w:sz w:val="17"/>
          <w:szCs w:val="17"/>
        </w:rPr>
        <w:t xml:space="preserve">【已验真】 </w:t>
      </w:r>
      <w:r>
        <w:rPr>
          <w:b/>
          <w:bCs/>
        </w:rPr>
        <w:t xml:space="preserve">通用激励工具箱:</w:t>
      </w:r>
      <w:r>
        <w:t xml:space="preserve">机器设备增值税免除、关税免除、企业所得税减免、SGK 社保(雇主 + 雇员)补贴、土地划拨,以及</w:t>
      </w:r>
      <w:r>
        <w:rPr>
          <w:b/>
          <w:bCs/>
        </w:rPr>
        <w:t xml:space="preserve">最高达投资额 49% 的资本金支持</w:t>
      </w:r>
      <w:r>
        <w:t xml:space="preserve">。</w:t>
      </w:r>
    </w:p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来源:土耳其投资办公室 Invest in Türkiye(已验真)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税制:</w:t>
      </w:r>
      <w:r>
        <w:t xml:space="preserve">企业所得税 25%(银行等 30%);2025 年起设 10% 国内最低税;增值税 20% / 10% / 1% 三档。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自贸区(Free Zone):</w:t>
      </w:r>
      <w:r>
        <w:t xml:space="preserve">出口收入 100% 企业所得税免除 + 增值税 / 关税免除;科技园区研发 / 软件收入 100% 免税(至 2028-12-31)。</w:t>
      </w:r>
    </w:p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来源:PwC Tax Summaries(土耳其);ccs.law 2025 税制指南</w:t>
      </w:r>
    </w:p>
    <w:p>
      <w:pPr>
        <w:pStyle w:val="Heading2"/>
      </w:pPr>
      <w:r>
        <w:t xml:space="preserve">1.4 中土经贸底盘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2024 年中土双边贸易约 477 亿美元</w:t>
      </w:r>
      <w:r>
        <w:t xml:space="preserve">,其中中国对土出口约 442 亿、土耳其对华出口约 34–35 亿——</w:t>
      </w:r>
      <w:r>
        <w:rPr>
          <w:b/>
          <w:bCs/>
        </w:rPr>
        <w:t xml:space="preserve">严重逆差</w:t>
      </w:r>
      <w:r>
        <w:t xml:space="preserve">,意味着大量中国商品 / 供应链已在土耳其有商业存在,落地服务需求底盘厚实。</w:t>
      </w:r>
    </w:p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来源:OEC(联合国 Comtrade 口径)</w:t>
      </w:r>
    </w:p>
    <w:p>
      <w:pPr>
        <w:pStyle w:val="Heading2"/>
      </w:pPr>
      <w:r>
        <w:t xml:space="preserve">1.5 风险与冷水(必须诚实)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E7A34"/>
          <w:sz w:val="17"/>
          <w:szCs w:val="17"/>
        </w:rPr>
        <w:t xml:space="preserve">【已验真】 </w:t>
      </w:r>
      <w:r>
        <w:rPr>
          <w:b/>
          <w:bCs/>
        </w:rPr>
        <w:t xml:space="preserve">世界银行点名土耳其“外资走弱(weakening FDI)”是结构性挑战</w:t>
      </w:r>
      <w:r>
        <w:t xml:space="preserve">——需求真实,但非“躺着接单”的无限繁荣。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里拉与通胀:</w:t>
      </w:r>
      <w:r>
        <w:t xml:space="preserve">通胀与本币融资成本仍高(具体数值各源差异较大、本轮验真未通过,故不在此引用),是客户落地的真实逆风——</w:t>
      </w:r>
      <w:r>
        <w:rPr>
          <w:b/>
          <w:bCs/>
        </w:rPr>
        <w:t xml:space="preserve">也正是你这类在地中文顾问的价值点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rPr>
          <w:b/>
          <w:bCs/>
        </w:rPr>
        <w:t xml:space="preserve">“BYD 为近十年中国在土最大单笔投资”</w:t>
      </w:r>
      <w:r>
        <w:t xml:space="preserve">一说:部分媒体如此表述,但本研究对抗验真未通过,谨慎采用;可靠的是 10 亿美元这一数额本身。</w:t>
      </w:r>
    </w:p>
    <w:p>
      <w:pPr>
        <w:pStyle w:val="Heading2"/>
      </w:pPr>
      <w:r>
        <w:t xml:space="preserve">1.6 旅游辅线:需求真实,可作考察漏斗的现金流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2024 年赴土中国游客超 40.9 万人次,同比 +65.1%</w:t>
      </w:r>
      <w:r>
        <w:t xml:space="preserve">,为土耳其增长最快的客源市场(2019 年约 43 万,基本恢复)。</w:t>
      </w:r>
    </w:p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来源:Daily Sabah / FTN(援引中国驻土使馆口径)</w:t>
      </w:r>
    </w:p>
    <w:p>
      <w:pPr>
        <w:spacing w:after="120" w:line="274"/>
      </w:pPr>
      <w:r>
        <w:t xml:space="preserve">结论:旅游别丢,降为“入口”。高端定制 / 考察团是给企业老板的高价值行程,复用现有土耳其地接能力,毛利高且天然导向 B2B 落地。</w:t>
      </w:r>
    </w:p>
    <w:p>
      <w:r>
        <w:br w:type="page"/>
      </w:r>
    </w:p>
    <w:p>
      <w:pPr>
        <w:pStyle w:val="Heading1"/>
      </w:pPr>
      <w:r>
        <w:t xml:space="preserve">二、获客:全渠道 ROI 对比</w:t>
      </w:r>
    </w:p>
    <w:p>
      <w:pPr>
        <w:spacing w:after="120" w:line="274"/>
      </w:pPr>
      <w:r>
        <w:rPr>
          <w:b/>
          <w:bCs/>
          <w:color w:val="B8860B"/>
          <w:sz w:val="17"/>
          <w:szCs w:val="17"/>
        </w:rPr>
        <w:t xml:space="preserve">【估算】 </w:t>
      </w:r>
      <w:r>
        <w:t xml:space="preserve">下表 CAC / 适配 / 周期为行业经验估算,用于排序而非财务预测;星级越多越适配。</w:t>
      </w:r>
    </w:p>
    <w:tbl>
      <w:tblPr>
        <w:tblW w:type="dxa" w:w="9026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2126"/>
        <w:gridCol w:w="1100"/>
        <w:gridCol w:w="1100"/>
        <w:gridCol w:w="1500"/>
        <w:gridCol w:w="1400"/>
        <w:gridCol w:w="1800"/>
      </w:tblGrid>
      <w:tr>
        <w:trPr>
          <w:tblHeader/>
        </w:trPr>
        <w:tc>
          <w:tcPr>
            <w:tcW w:type="dxa" w:w="2126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渠道</w:t>
            </w:r>
          </w:p>
        </w:tc>
        <w:tc>
          <w:tcPr>
            <w:tcW w:type="dxa" w:w="11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出海B2B</w:t>
            </w:r>
          </w:p>
        </w:tc>
        <w:tc>
          <w:tcPr>
            <w:tcW w:type="dxa" w:w="11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高端旅游</w:t>
            </w:r>
          </w:p>
        </w:tc>
        <w:tc>
          <w:tcPr>
            <w:tcW w:type="dxa" w:w="15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CAC量级</w:t>
            </w:r>
          </w:p>
        </w:tc>
        <w:tc>
          <w:tcPr>
            <w:tcW w:type="dxa" w:w="14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起量周期</w:t>
            </w:r>
          </w:p>
        </w:tc>
        <w:tc>
          <w:tcPr>
            <w:tcW w:type="dxa" w:w="18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转介绍 / 标杆裂变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极低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6–12月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行业商协会 / 产业带 / 沙龙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</w:t>
            </w:r>
          </w:p>
        </w:tc>
        <w:tc>
          <w:tcPr>
            <w:tcW w:type="dxa" w:w="15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低–中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3–6月</w:t>
            </w:r>
          </w:p>
        </w:tc>
        <w:tc>
          <w:tcPr>
            <w:tcW w:type="dxa" w:w="18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知乎(决策长尾)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低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3–6月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公众号 + 企业微信私域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</w:t>
            </w:r>
          </w:p>
        </w:tc>
        <w:tc>
          <w:tcPr>
            <w:tcW w:type="dxa" w:w="15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低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慢(养粉)</w:t>
            </w:r>
          </w:p>
        </w:tc>
        <w:tc>
          <w:tcPr>
            <w:tcW w:type="dxa" w:w="18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小红书(双用)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3–6月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出海展会 / 论坛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</w:t>
            </w:r>
          </w:p>
        </w:tc>
        <w:tc>
          <w:tcPr>
            <w:tcW w:type="dxa" w:w="15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中–高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即时</w:t>
            </w:r>
          </w:p>
        </w:tc>
        <w:tc>
          <w:tcPr>
            <w:tcW w:type="dxa" w:w="18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视频号 / 抖音 老板IP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6–12月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贸促会 / CCPIT / 政府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</w:t>
            </w:r>
          </w:p>
        </w:tc>
        <w:tc>
          <w:tcPr>
            <w:tcW w:type="dxa" w:w="15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低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慢、难进</w:t>
            </w:r>
          </w:p>
        </w:tc>
        <w:tc>
          <w:tcPr>
            <w:tcW w:type="dxa" w:w="18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AI搜索可见性 / GEO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★★★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极低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6–12月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Google(海外侧)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</w:t>
            </w:r>
          </w:p>
        </w:tc>
        <w:tc>
          <w:tcPr>
            <w:tcW w:type="dxa" w:w="15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低–中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8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1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百度自然排名(本站)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</w:t>
            </w:r>
          </w:p>
        </w:tc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★★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天花板低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慢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tblHeader w:val="false"/>
        </w:trPr>
        <w:tc>
          <w:tcPr>
            <w:tcW w:type="dxa" w:w="21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B站 / LinkedIn(国内侧)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</w:t>
            </w:r>
          </w:p>
        </w:tc>
        <w:tc>
          <w:tcPr>
            <w:tcW w:type="dxa" w:w="11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★</w:t>
            </w:r>
          </w:p>
        </w:tc>
        <w:tc>
          <w:tcPr>
            <w:tcW w:type="dxa" w:w="15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</w:tbl>
    <w:p>
      <w:pPr>
        <w:pStyle w:val="Heading3"/>
      </w:pPr>
      <w:r>
        <w:t xml:space="preserve">预算分配建议(出海为主)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40%　</w:t>
      </w:r>
      <w:r>
        <w:t xml:space="preserve">关系引擎(商协会 / 产业带 / 展会 / 转介绍激励)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25%　</w:t>
      </w:r>
      <w:r>
        <w:t xml:space="preserve">内容引擎(知乎 + 公众号 + 小红书 生产)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20%　</w:t>
      </w:r>
      <w:r>
        <w:t xml:space="preserve">私域承接 + 销售跟进(企业微信 / CRM / 双语快响应)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10%　</w:t>
      </w:r>
      <w:r>
        <w:t xml:space="preserve">高端旅游种草(小红书 / 抖音)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5%　</w:t>
      </w:r>
      <w:r>
        <w:t xml:space="preserve">AI 可见性 / GEO + 实验</w:t>
      </w:r>
    </w:p>
    <w:p>
      <w:pPr>
        <w:spacing w:after="120" w:line="274"/>
      </w:pPr>
      <w:r>
        <w:rPr>
          <w:b/>
          <w:bCs/>
        </w:rPr>
        <w:t xml:space="preserve">对“百度死结”的直接结论:</w:t>
      </w:r>
      <w:r>
        <w:t xml:space="preserve">别再为本站百度收录耗力——B2B 不靠它。改为把内容铺在</w:t>
      </w:r>
      <w:r>
        <w:rPr>
          <w:b/>
          <w:bCs/>
        </w:rPr>
        <w:t xml:space="preserve">本身已被百度收录的平台</w:t>
      </w:r>
      <w:r>
        <w:t xml:space="preserve">(知乎 / 公众号 / 视频号),让客户在那里发现你,再导入私域。这等于绕过了 ICP / 跨境的技术天花板。</w:t>
      </w:r>
    </w:p>
    <w:p>
      <w:r>
        <w:br w:type="page"/>
      </w:r>
    </w:p>
    <w:p>
      <w:pPr>
        <w:pStyle w:val="Heading1"/>
      </w:pPr>
      <w:r>
        <w:t xml:space="preserve">三、完整盈利模型</w:t>
      </w:r>
    </w:p>
    <w:p>
      <w:pPr>
        <w:pStyle w:val="Heading2"/>
      </w:pPr>
      <w:r>
        <w:t xml:space="preserve">3.1 服务组合与定价</w:t>
      </w:r>
    </w:p>
    <w:p>
      <w:pPr>
        <w:spacing w:after="12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t xml:space="preserve">土耳其真实报价基准 + </w:t>
      </w:r>
      <w:r>
        <w:rPr>
          <w:b/>
          <w:bCs/>
          <w:color w:val="B8860B"/>
          <w:sz w:val="17"/>
          <w:szCs w:val="17"/>
        </w:rPr>
        <w:t xml:space="preserve">【估算】 </w:t>
      </w:r>
      <w:r>
        <w:t xml:space="preserve">grace.tr 建议客单为估算:</w:t>
      </w:r>
    </w:p>
    <w:tbl>
      <w:tblPr>
        <w:tblW w:type="dxa" w:w="9026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1750"/>
        <w:gridCol w:w="2600"/>
        <w:gridCol w:w="1900"/>
        <w:gridCol w:w="1376"/>
        <w:gridCol w:w="14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6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土耳其市场基准(真实)</w:t>
            </w:r>
          </w:p>
        </w:tc>
        <w:tc>
          <w:tcPr>
            <w:tcW w:type="dxa" w:w="19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grace.tr 建议客单(估)</w:t>
            </w:r>
          </w:p>
        </w:tc>
        <w:tc>
          <w:tcPr>
            <w:tcW w:type="dxa" w:w="1376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毛利</w:t>
            </w:r>
          </w:p>
        </w:tc>
        <w:tc>
          <w:tcPr>
            <w:tcW w:type="dxa" w:w="14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类型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公司注册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全包约 $2,500–5,000;最低约 $492</w:t>
            </w:r>
          </w:p>
        </w:tc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¥2万–4万</w:t>
            </w:r>
          </w:p>
        </w:tc>
        <w:tc>
          <w:tcPr>
            <w:tcW w:type="dxa" w:w="137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协调 20–40%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一次性</w:t>
            </w:r>
          </w:p>
        </w:tc>
      </w:tr>
      <w:tr>
        <w:trPr>
          <w:tblHeader w:val="false"/>
        </w:trPr>
        <w:tc>
          <w:tcPr>
            <w:tcW w:type="dxa" w:w="175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银行开户协调</w:t>
            </w:r>
          </w:p>
        </w:tc>
        <w:tc>
          <w:tcPr>
            <w:tcW w:type="dxa" w:w="26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(因 KYC 难,不保证)</w:t>
            </w:r>
          </w:p>
        </w:tc>
        <w:tc>
          <w:tcPr>
            <w:tcW w:type="dxa" w:w="19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¥0.4万–2万</w:t>
            </w:r>
          </w:p>
        </w:tc>
        <w:tc>
          <w:tcPr>
            <w:tcW w:type="dxa" w:w="137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低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一次性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财税·代账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muhasebe 约 €350–500/月 或 5,000 TRY/月起</w:t>
            </w:r>
          </w:p>
        </w:tc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¥0.3万–0.8万/月</w:t>
            </w:r>
          </w:p>
        </w:tc>
        <w:tc>
          <w:tcPr>
            <w:tcW w:type="dxa" w:w="137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年费复购</w:t>
            </w:r>
          </w:p>
        </w:tc>
      </w:tr>
      <w:tr>
        <w:trPr>
          <w:tblHeader w:val="false"/>
        </w:trPr>
        <w:tc>
          <w:tcPr>
            <w:tcW w:type="dxa" w:w="175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法务对接</w:t>
            </w:r>
          </w:p>
        </w:tc>
        <w:tc>
          <w:tcPr>
            <w:tcW w:type="dxa" w:w="26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持牌律所计费</w:t>
            </w:r>
          </w:p>
        </w:tc>
        <w:tc>
          <w:tcPr>
            <w:tcW w:type="dxa" w:w="19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转介佣金 10–25%</w:t>
            </w:r>
          </w:p>
        </w:tc>
        <w:tc>
          <w:tcPr>
            <w:tcW w:type="dxa" w:w="137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一次性/retainer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办公室/仓库/自贸区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中介 / 服务式办公</w:t>
            </w:r>
          </w:p>
        </w:tc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介绍费 / 加价</w:t>
            </w:r>
          </w:p>
        </w:tc>
        <w:tc>
          <w:tcPr>
            <w:tcW w:type="dxa" w:w="137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可经常性</w:t>
            </w:r>
          </w:p>
        </w:tc>
      </w:tr>
      <w:tr>
        <w:trPr>
          <w:tblHeader w:val="false"/>
        </w:trPr>
        <w:tc>
          <w:tcPr>
            <w:tcW w:type="dxa" w:w="175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商务考察</w:t>
            </w:r>
          </w:p>
        </w:tc>
        <w:tc>
          <w:tcPr>
            <w:tcW w:type="dxa" w:w="26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复用旅游地接</w:t>
            </w:r>
          </w:p>
        </w:tc>
        <w:tc>
          <w:tcPr>
            <w:tcW w:type="dxa" w:w="19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¥2万–6万/人;团 ¥15万–50万</w:t>
            </w:r>
          </w:p>
        </w:tc>
        <w:tc>
          <w:tcPr>
            <w:tcW w:type="dxa" w:w="137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50–70%</w:t>
            </w:r>
          </w:p>
        </w:tc>
        <w:tc>
          <w:tcPr>
            <w:tcW w:type="dxa" w:w="14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一次性(引流)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资源对接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关系型</w:t>
            </w:r>
          </w:p>
        </w:tc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¥3万–10万+</w:t>
            </w:r>
          </w:p>
        </w:tc>
        <w:tc>
          <w:tcPr>
            <w:tcW w:type="dxa" w:w="137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极高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一次性/retainer</w:t>
            </w:r>
          </w:p>
        </w:tc>
      </w:tr>
    </w:tbl>
    <w:p>
      <w:pPr>
        <w:spacing w:after="140"/>
      </w:pPr>
      <w:r>
        <w:rPr>
          <w:i/>
          <w:iCs/>
          <w:color w:val="808080"/>
          <w:sz w:val="16"/>
          <w:szCs w:val="16"/>
        </w:rPr>
        <w:t xml:space="preserve">来源:注册成本:akkaslaw / ccs.law / istanbulcota;代账费:eryilmazmuhasebe 等(公开数据);客单为估算</w:t>
      </w:r>
    </w:p>
    <w:p>
      <w:pPr>
        <w:spacing w:after="120" w:line="274"/>
      </w:pPr>
      <w:r>
        <w:rPr>
          <w:b/>
          <w:bCs/>
          <w:color w:val="1F5FA8"/>
          <w:sz w:val="17"/>
          <w:szCs w:val="17"/>
        </w:rPr>
        <w:t xml:space="preserve">【公开数据】 </w:t>
      </w:r>
      <w:r>
        <w:rPr>
          <w:b/>
          <w:bCs/>
        </w:rPr>
        <w:t xml:space="preserve">关键合规基准:</w:t>
      </w:r>
      <w:r>
        <w:t xml:space="preserve">有限公司(Ltd. Şti.)最低注册资本 50,000 TRY(可在注册后 24 个月内缴足);土耳其法律强制企业聘请持牌会计师(SMMM)——这意味着</w:t>
      </w:r>
      <w:r>
        <w:rPr>
          <w:b/>
          <w:bCs/>
        </w:rPr>
        <w:t xml:space="preserve">代账是法定刚需,天然适合做年费复购</w:t>
      </w:r>
      <w:r>
        <w:t xml:space="preserve">。</w:t>
      </w:r>
    </w:p>
    <w:p>
      <w:pPr>
        <w:pStyle w:val="Heading2"/>
      </w:pPr>
      <w:r>
        <w:t xml:space="preserve">3.2 复购与 LTV——盈利核心</w:t>
      </w:r>
    </w:p>
    <w:p>
      <w:pPr>
        <w:spacing w:after="120" w:line="274"/>
      </w:pPr>
      <w:r>
        <w:rPr>
          <w:b/>
          <w:bCs/>
        </w:rPr>
        <w:t xml:space="preserve">落地阶梯:</w:t>
      </w:r>
      <w:r>
        <w:t xml:space="preserve">考察(一次性高毛利)→ 落地(注册 + 选址)→ </w:t>
      </w:r>
      <w:r>
        <w:rPr>
          <w:b/>
          <w:bCs/>
        </w:rPr>
        <w:t xml:space="preserve">锁定年费复购(代账 + 法务 + 办公室)</w:t>
      </w:r>
      <w:r>
        <w:t xml:space="preserve">。一个工厂客户从一次性几千美金,做成</w:t>
      </w:r>
      <w:r>
        <w:rPr>
          <w:b/>
          <w:bCs/>
        </w:rPr>
        <w:t xml:space="preserve">每年持续的 retainer</w:t>
      </w:r>
      <w:r>
        <w:t xml:space="preserve">,LTV 翻几倍。经常性收入是现金流与估值的关键。</w:t>
      </w:r>
    </w:p>
    <w:p>
      <w:pPr>
        <w:pStyle w:val="Heading2"/>
      </w:pPr>
      <w:r>
        <w:t xml:space="preserve">3.3 伙伴分成(不自营持牌服务、保毛利、控责任)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三种模式:</w:t>
      </w:r>
      <w:r>
        <w:t xml:space="preserve">①加价 / 协调费(留 20–40% 价差);②转介佣金(伙伴给 10–30%);③白标 retainer(你打包、伙伴交付、你留差)。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保毛利:</w:t>
      </w:r>
      <w:r>
        <w:t xml:space="preserve">攥住高毛利环节(考察 / 对接 / 选址协调)+ 客户关系,商品化的持牌活交伙伴;不拼价,拼“打包 + 中文 + 信任”。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控责任:</w:t>
      </w:r>
      <w:r>
        <w:t xml:space="preserve">合同写明“你只做协调,持牌伙伴交付并担责”,自己绝不出具财税 / 法务意见。银行永远写“协调”不写“包开”。</w:t>
      </w:r>
    </w:p>
    <w:p>
      <w:pPr>
        <w:pStyle w:val="Heading2"/>
      </w:pPr>
      <w:r>
        <w:t xml:space="preserve">3.4 成本结构与四个盈利杠杆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成本:</w:t>
      </w:r>
      <w:r>
        <w:t xml:space="preserve">获客以销售人力 &gt; 广告投放(关系型);交付 = 伙伴费 + 协调人力 + 考察地接;双语 BD / 本地协调 / 运营。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① 提客单:</w:t>
      </w:r>
      <w:r>
        <w:t xml:space="preserve">卖“考察→落地→复购”程序包 + 分层(基础 / 标准 / 尊享)。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② 提复购 / LTV:</w:t>
      </w:r>
      <w:r>
        <w:t xml:space="preserve">主推年费(代账 / 法务 / 办公室)+ 账户内扩展。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③ 提转化:</w:t>
      </w:r>
      <w:r>
        <w:t xml:space="preserve">标准化考察→落地漏斗 + 标杆案例 + 双语快响应 + 私域 nurture。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</w:rPr>
        <w:t xml:space="preserve">④ 降 CAC:</w:t>
      </w:r>
      <w:r>
        <w:t xml:space="preserve">转介绍激励 + 商协会渠道 + 长青内容 inbound + 私域降低重复获客成本。</w:t>
      </w:r>
    </w:p>
    <w:p>
      <w:pPr>
        <w:pStyle w:val="Heading2"/>
      </w:pPr>
      <w:r>
        <w:t xml:space="preserve">3.5 单位经济对比(估算)</w:t>
      </w:r>
    </w:p>
    <w:tbl>
      <w:tblPr>
        <w:tblW w:type="dxa" w:w="9026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013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现有:旅游客</w:t>
            </w:r>
          </w:p>
        </w:tc>
        <w:tc>
          <w:tcPr>
            <w:tcW w:type="dxa" w:w="30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转型:出海客</w:t>
            </w:r>
          </w:p>
        </w:tc>
      </w:tr>
      <w:tr>
        <w:trPr>
          <w:tblHeader w:val="false"/>
        </w:trPr>
        <w:tc>
          <w:tcPr>
            <w:tcW w:type="dxa" w:w="3013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单客净贡献</w:t>
            </w:r>
          </w:p>
        </w:tc>
        <w:tc>
          <w:tcPr>
            <w:tcW w:type="dxa" w:w="3013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¥几百–几千(一次性)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考察团毛利可达 ¥10万+</w:t>
            </w:r>
          </w:p>
        </w:tc>
      </w:tr>
      <w:tr>
        <w:trPr>
          <w:tblHeader w:val="false"/>
        </w:trPr>
        <w:tc>
          <w:tcPr>
            <w:tcW w:type="dxa" w:w="3013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复购</w:t>
            </w:r>
          </w:p>
        </w:tc>
        <w:tc>
          <w:tcPr>
            <w:tcW w:type="dxa" w:w="3013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几乎无</w:t>
            </w:r>
          </w:p>
        </w:tc>
        <w:tc>
          <w:tcPr>
            <w:tcW w:type="dxa" w:w="30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代账/法务/办公室 ¥3万–10万+/年</w:t>
            </w:r>
          </w:p>
        </w:tc>
      </w:tr>
      <w:tr>
        <w:trPr>
          <w:tblHeader w:val="false"/>
        </w:trPr>
        <w:tc>
          <w:tcPr>
            <w:tcW w:type="dxa" w:w="3013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全周期 LTV</w:t>
            </w:r>
          </w:p>
        </w:tc>
        <w:tc>
          <w:tcPr>
            <w:tcW w:type="dxa" w:w="3013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¥几千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¥30万–100万+</w:t>
            </w:r>
          </w:p>
        </w:tc>
      </w:tr>
      <w:tr>
        <w:trPr>
          <w:tblHeader w:val="false"/>
        </w:trPr>
        <w:tc>
          <w:tcPr>
            <w:tcW w:type="dxa" w:w="3013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获客依赖</w:t>
            </w:r>
          </w:p>
        </w:tc>
        <w:tc>
          <w:tcPr>
            <w:tcW w:type="dxa" w:w="3013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依赖打不通的大陆搜索</w:t>
            </w:r>
          </w:p>
        </w:tc>
        <w:tc>
          <w:tcPr>
            <w:tcW w:type="dxa" w:w="30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关系 / 转介绍,不依赖本站</w:t>
            </w:r>
          </w:p>
        </w:tc>
      </w:tr>
    </w:tbl>
    <w:p>
      <w:pPr>
        <w:spacing w:after="120" w:line="274"/>
      </w:pPr>
      <w:r>
        <w:rPr>
          <w:b/>
          <w:bCs/>
        </w:rPr>
        <w:t xml:space="preserve">一个出海客 ≈ 几十到上百个旅游客</w:t>
      </w:r>
      <w:r>
        <w:t xml:space="preserve">,且不依赖你打不通的获客渠道。</w:t>
      </w:r>
    </w:p>
    <w:p>
      <w:r>
        <w:br w:type="page"/>
      </w:r>
    </w:p>
    <w:p>
      <w:pPr>
        <w:pStyle w:val="Heading1"/>
      </w:pPr>
      <w:r>
        <w:t xml:space="preserve">四、竞争格局与差异化</w:t>
      </w:r>
    </w:p>
    <w:tbl>
      <w:tblPr>
        <w:tblW w:type="dxa" w:w="9026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826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代表 / 特征与定位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四大(伊堡所)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普华永道 / 德勤 / 安永 / 毕马威——贵、慢、只接大单</w:t>
            </w:r>
          </w:p>
        </w:tc>
      </w:tr>
      <w:tr>
        <w:trPr>
          <w:tblHeader w:val="false"/>
        </w:trPr>
        <w:tc>
          <w:tcPr>
            <w:tcW w:type="dxa" w:w="22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当地律所 / 会计所</w:t>
            </w:r>
          </w:p>
        </w:tc>
        <w:tc>
          <w:tcPr>
            <w:tcW w:type="dxa" w:w="68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SMMM 法定刚需,但中文沟通弱、不懂中国客户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半官方平台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DEİK 土中商务理事会、贸促会 / CCPIT——权威、低价,但不深度交付</w:t>
            </w:r>
          </w:p>
        </w:tc>
      </w:tr>
      <w:tr>
        <w:trPr>
          <w:tblHeader w:val="false"/>
        </w:trPr>
        <w:tc>
          <w:tcPr>
            <w:tcW w:type="dxa" w:w="2200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中文出海服务商</w:t>
            </w:r>
          </w:p>
        </w:tc>
        <w:tc>
          <w:tcPr>
            <w:tcW w:type="dxa" w:w="6826"/>
            <w:shd w:fill="F2F5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数量稀缺、良莠不齐;深耕土耳其在地的更少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对照:迪拜代办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自贸区注册高度标准化、服务商饱和(红海)</w:t>
            </w:r>
          </w:p>
        </w:tc>
      </w:tr>
    </w:tbl>
    <w:p>
      <w:pPr>
        <w:spacing w:after="120" w:line="274"/>
      </w:pPr>
      <w:r>
        <w:rPr>
          <w:b/>
          <w:bCs/>
        </w:rPr>
        <w:t xml:space="preserve">grace.tr 的差异化缝隙:</w:t>
      </w:r>
      <w:r>
        <w:t xml:space="preserve">中文 + 土耳其在地实体(TURSAB 持牌 + 伊堡办公室)+ </w:t>
      </w:r>
      <w:r>
        <w:rPr>
          <w:b/>
          <w:bCs/>
        </w:rPr>
        <w:t xml:space="preserve">考察→落地体验漏斗</w:t>
      </w:r>
      <w:r>
        <w:t xml:space="preserve">(能把人带到现场看了再落地,别人做不到)+ 中端灵活(四大忽略的中小制造商)+ 旅游运营能力(把考察交付成本压低、毛利做高)。</w:t>
      </w:r>
    </w:p>
    <w:p>
      <w:pPr>
        <w:spacing w:after="12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rPr>
          <w:b/>
          <w:bCs/>
        </w:rPr>
        <w:t xml:space="preserve">待你确认的信任主体:</w:t>
      </w:r>
      <w:r>
        <w:t xml:space="preserve">TURSAB 是旅游牌照,不等于商务咨询资质。出海服务对外应展示哪个注册主体(土耳其旅游实体 / 新设咨询实体 + 持牌伙伴)需定夺,直接影响 About / 案例页可信度。</w:t>
      </w:r>
    </w:p>
    <w:p>
      <w:pPr>
        <w:pStyle w:val="Heading1"/>
      </w:pPr>
      <w:r>
        <w:t xml:space="preserve">五、2026 行动路线图(按 ROI)</w:t>
      </w:r>
    </w:p>
    <w:p>
      <w:pPr>
        <w:pStyle w:val="ListParagraph"/>
        <w:numPr>
          <w:ilvl w:val="0"/>
          <w:numId w:val="4"/>
        </w:numPr>
        <w:spacing w:after="60" w:line="274"/>
      </w:pPr>
      <w:r>
        <w:rPr>
          <w:b/>
          <w:bCs/>
        </w:rPr>
        <w:t xml:space="preserve">Q1 立标杆:</w:t>
      </w:r>
      <w:r>
        <w:t xml:space="preserve">免费 / 低价做 2–3 个可公开的土耳其落地案例 → 解锁转介绍引擎(P0)。</w:t>
      </w:r>
    </w:p>
    <w:p>
      <w:pPr>
        <w:pStyle w:val="ListParagraph"/>
        <w:numPr>
          <w:ilvl w:val="0"/>
          <w:numId w:val="4"/>
        </w:numPr>
        <w:spacing w:after="60" w:line="274"/>
      </w:pPr>
      <w:r>
        <w:rPr>
          <w:b/>
          <w:bCs/>
        </w:rPr>
        <w:t xml:space="preserve">Q1–Q2 搭关系渠道:</w:t>
      </w:r>
      <w:r>
        <w:t xml:space="preserve">对接 1–2 个目标产业带商会 + DEİK / 海外中国商会;考察团做入口产品(P0)。</w:t>
      </w:r>
    </w:p>
    <w:p>
      <w:pPr>
        <w:pStyle w:val="ListParagraph"/>
        <w:numPr>
          <w:ilvl w:val="0"/>
          <w:numId w:val="4"/>
        </w:numPr>
        <w:spacing w:after="60" w:line="274"/>
      </w:pPr>
      <w:r>
        <w:rPr>
          <w:b/>
          <w:bCs/>
        </w:rPr>
        <w:t xml:space="preserve">Q1 起内容引擎:</w:t>
      </w:r>
      <w:r>
        <w:t xml:space="preserve">知乎 + 公众号 + 小红书(老板视角 / 避坑),全部导入企业微信私域(P1)。</w:t>
      </w:r>
    </w:p>
    <w:p>
      <w:pPr>
        <w:pStyle w:val="ListParagraph"/>
        <w:numPr>
          <w:ilvl w:val="0"/>
          <w:numId w:val="4"/>
        </w:numPr>
        <w:spacing w:after="60" w:line="274"/>
      </w:pPr>
      <w:r>
        <w:rPr>
          <w:b/>
          <w:bCs/>
        </w:rPr>
        <w:t xml:space="preserve">Q2 建复购:</w:t>
      </w:r>
      <w:r>
        <w:t xml:space="preserve">把落地客户转成代账 / 法务 / 办公室年费 retainer(LTV 引擎)。</w:t>
      </w:r>
    </w:p>
    <w:p>
      <w:pPr>
        <w:pStyle w:val="ListParagraph"/>
        <w:numPr>
          <w:ilvl w:val="0"/>
          <w:numId w:val="4"/>
        </w:numPr>
        <w:spacing w:after="60" w:line="274"/>
      </w:pPr>
      <w:r>
        <w:rPr>
          <w:b/>
          <w:bCs/>
        </w:rPr>
        <w:t xml:space="preserve">持续低成本长线:</w:t>
      </w:r>
      <w:r>
        <w:t xml:space="preserve">AI 搜索可见性 / GEO + 老板 IP 视频号(P2)。</w:t>
      </w:r>
    </w:p>
    <w:p>
      <w:pPr>
        <w:pStyle w:val="ListParagraph"/>
        <w:numPr>
          <w:ilvl w:val="0"/>
          <w:numId w:val="4"/>
        </w:numPr>
        <w:spacing w:after="60" w:line="274"/>
      </w:pPr>
      <w:r>
        <w:rPr>
          <w:b/>
          <w:bCs/>
        </w:rPr>
        <w:t xml:space="preserve">停止内耗:</w:t>
      </w:r>
      <w:r>
        <w:t xml:space="preserve">不再为本站百度自然收录投入,改借力已收录平台(P3)。</w:t>
      </w:r>
    </w:p>
    <w:p>
      <w:r>
        <w:br w:type="page"/>
      </w:r>
    </w:p>
    <w:p>
      <w:pPr>
        <w:pStyle w:val="Heading1"/>
      </w:pPr>
      <w:r>
        <w:t xml:space="preserve">附录 A:数据来源</w:t>
      </w:r>
    </w:p>
    <w:p>
      <w:pPr>
        <w:pStyle w:val="Heading3"/>
      </w:pPr>
      <w:r>
        <w:t xml:space="preserve">市场与政策(已验真 / 公开)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SWP Berlin — BYD 投资与关税同盟动机 — </w:t>
      </w:r>
      <w:hyperlink w:history="1" r:id="rId-qmafx963te_bldfkcq0l">
        <w:r>
          <w:rPr>
            <w:rStyle w:val="Hyperlink"/>
            <w:sz w:val="16"/>
            <w:szCs w:val="16"/>
          </w:rPr>
          <w:t xml:space="preserve">https://www.swp-berlin.org/en/publication/chinas-push-towards-europe-byds-investment-in-turkey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ECFR — 中国对欧南翼出口与设厂 — </w:t>
      </w:r>
      <w:hyperlink w:history="1" r:id="rIddwryzxlbkbxp8xjqruxml">
        <w:r>
          <w:rPr>
            <w:rStyle w:val="Hyperlink"/>
            <w:sz w:val="16"/>
            <w:szCs w:val="16"/>
          </w:rPr>
          <w:t xml:space="preserve">https://ecfr.eu/publication/ev-endgame-stalling-chinas-export-surge-in-europes-southern-neighbourhood/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OECD《土耳其经济调查 2025》— 关税同盟边界 — </w:t>
      </w:r>
      <w:hyperlink w:history="1" r:id="rIdtrgc0yfn--8msozhzcxpo">
        <w:r>
          <w:rPr>
            <w:rStyle w:val="Hyperlink"/>
            <w:sz w:val="16"/>
            <w:szCs w:val="16"/>
          </w:rPr>
          <w:t xml:space="preserve">https://www.oecd.org/en/publications/oecd-economic-surveys-turkiye-2025_d01c660f-en.html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Invest in Türkiye — 投资激励(HIT-30 等) — </w:t>
      </w:r>
      <w:hyperlink w:history="1" r:id="rIdzng1l4jysauu3l_jr0xhd">
        <w:r>
          <w:rPr>
            <w:rStyle w:val="Hyperlink"/>
            <w:sz w:val="16"/>
            <w:szCs w:val="16"/>
          </w:rPr>
          <w:t xml:space="preserve">https://www.invest.gov.tr/en/investmentguide/pages/incentives-guide.aspx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World Bank — 土耳其概览(外资走弱) — </w:t>
      </w:r>
      <w:hyperlink w:history="1" r:id="rIdzyfiqw6bs2vg7xwvmhcmk">
        <w:r>
          <w:rPr>
            <w:rStyle w:val="Hyperlink"/>
            <w:sz w:val="16"/>
            <w:szCs w:val="16"/>
          </w:rPr>
          <w:t xml:space="preserve">https://www.worldbank.org/en/country/turkey/overview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欧盟委员会 Access2Markets — 对华电车反补贴税 — </w:t>
      </w:r>
      <w:hyperlink w:history="1" r:id="rId7bjz3adqgmdl0gkd4czfh">
        <w:r>
          <w:rPr>
            <w:rStyle w:val="Hyperlink"/>
            <w:sz w:val="16"/>
            <w:szCs w:val="16"/>
          </w:rPr>
          <w:t xml:space="preserve">https://trade.ec.europa.eu/access-to-markets/en/news/eu-commission-imposes-countervailing-duties-imports-battery-electric-vehicles-bevs-china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Cleary Trade Watch — 终裁税率(2024/2754) — </w:t>
      </w:r>
      <w:hyperlink w:history="1" r:id="rIdmvhxzgqnpglmq1-mj2sen">
        <w:r>
          <w:rPr>
            <w:rStyle w:val="Hyperlink"/>
            <w:sz w:val="16"/>
            <w:szCs w:val="16"/>
          </w:rPr>
          <w:t xml:space="preserve">https://www.clearytradewatch.com/2024/10/definitive-duties-adopted-by-the-eu-on-chinese-battery-electric-vehicles-to-counteract-subsidies-to-apply-by-october-30/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中国政府网 — 2024 年非金融类对外投资 — </w:t>
      </w:r>
      <w:hyperlink w:history="1" r:id="rIdrnonl9qo6n7r7a2z4d_dz">
        <w:r>
          <w:rPr>
            <w:rStyle w:val="Hyperlink"/>
            <w:sz w:val="16"/>
            <w:szCs w:val="16"/>
          </w:rPr>
          <w:t xml:space="preserve">https://english.www.gov.cn/archive/statistics/202501/22/content_WS6790333bc6d0868f4e8ef0cc.html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EY — 2024 年中国海外投资概览 — </w:t>
      </w:r>
      <w:hyperlink w:history="1" r:id="rIdlwbie_q0s6ulxcubgd4w_">
        <w:r>
          <w:rPr>
            <w:rStyle w:val="Hyperlink"/>
            <w:sz w:val="16"/>
            <w:szCs w:val="16"/>
          </w:rPr>
          <w:t xml:space="preserve">https://www.ey.com/en_cn/newsroom/2025/02/ey-releases-the-overview-of-china-outbound-investment-of-2024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China-Briefing — 中土贸易与投资概况(FDI 113亿/制造业34.5%) — </w:t>
      </w:r>
      <w:hyperlink w:history="1" r:id="rIdtufjadmhuqe-srp49iohc">
        <w:r>
          <w:rPr>
            <w:rStyle w:val="Hyperlink"/>
            <w:sz w:val="16"/>
            <w:szCs w:val="16"/>
          </w:rPr>
          <w:t xml:space="preserve">https://www.china-briefing.com/news/china-turkey-bilateral-trade-and-investment-profile/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OEC — 中土双边贸易 — </w:t>
      </w:r>
      <w:hyperlink w:history="1" r:id="rIdboexder6al85awahcb7kr">
        <w:r>
          <w:rPr>
            <w:rStyle w:val="Hyperlink"/>
            <w:sz w:val="16"/>
            <w:szCs w:val="16"/>
          </w:rPr>
          <w:t xml:space="preserve">https://oec.world/en/profile/bilateral-country/tur/partner/chn</w:t>
        </w:r>
      </w:hyperlink>
    </w:p>
    <w:p>
      <w:pPr>
        <w:pStyle w:val="Heading3"/>
      </w:pPr>
      <w:r>
        <w:t xml:space="preserve">成本 / 税制 / 旅游(公开)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Akkas &amp; Associates — 土耳其公司注册成本 2025 — </w:t>
      </w:r>
      <w:hyperlink w:history="1" r:id="rIdr-vfgpftpkcki3p88xzlk">
        <w:r>
          <w:rPr>
            <w:rStyle w:val="Hyperlink"/>
            <w:sz w:val="16"/>
            <w:szCs w:val="16"/>
          </w:rPr>
          <w:t xml:space="preserve">https://akkaslaw.com/cost-of-company-formation-in-turkey/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CCS Law — 有限公司设立流程与成本 2024/2025 — </w:t>
      </w:r>
      <w:hyperlink w:history="1" r:id="rId3xme1a27vdocdjbnt6_xv">
        <w:r>
          <w:rPr>
            <w:rStyle w:val="Hyperlink"/>
            <w:sz w:val="16"/>
            <w:szCs w:val="16"/>
          </w:rPr>
          <w:t xml:space="preserve">https://www.ccs.law/post/establishing-a-limited-company-in-turkey-legal-framework-procedures-and-costs-2024-2025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Eryılmaz Müşavirlik — 土耳其月度代账费 — </w:t>
      </w:r>
      <w:hyperlink w:history="1" r:id="rIdttq4zakr5pks9o7--orsz">
        <w:r>
          <w:rPr>
            <w:rStyle w:val="Hyperlink"/>
            <w:sz w:val="16"/>
            <w:szCs w:val="16"/>
          </w:rPr>
          <w:t xml:space="preserve">https://www.eryilmazmuhasebe.com.tr/en//helpdetail/how-much-is-the-monthly-accounting-service-fee-in-turkey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PwC Tax Summaries — 土耳其企业税 / 激励 — </w:t>
      </w:r>
      <w:hyperlink w:history="1" r:id="rIdbw_qn85adag6ildmfsfzh">
        <w:r>
          <w:rPr>
            <w:rStyle w:val="Hyperlink"/>
            <w:sz w:val="16"/>
            <w:szCs w:val="16"/>
          </w:rPr>
          <w:t xml:space="preserve">https://taxsummaries.pwc.com/turkey/corporate/taxes-on-corporate-income</w:t>
        </w:r>
      </w:hyperlink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18"/>
          <w:szCs w:val="18"/>
        </w:rPr>
        <w:t xml:space="preserve">Daily Sabah — 2024 赴土中国游客 +65% — </w:t>
      </w:r>
      <w:hyperlink w:history="1" r:id="rIdy47vlgclfc6be4fmo4rki">
        <w:r>
          <w:rPr>
            <w:rStyle w:val="Hyperlink"/>
            <w:sz w:val="16"/>
            <w:szCs w:val="16"/>
          </w:rPr>
          <w:t xml:space="preserve">https://www.dailysabah.com/business/tourism/turkiye-sees-65-rise-in-chinese-visitors-in-2024-envoy-says</w:t>
        </w:r>
      </w:hyperlink>
    </w:p>
    <w:p>
      <w:pPr>
        <w:pStyle w:val="Heading1"/>
      </w:pPr>
      <w:r>
        <w:t xml:space="preserve">附录 B:数据缺口与待核实</w:t>
      </w:r>
    </w:p>
    <w:p>
      <w:pPr>
        <w:spacing w:after="120" w:line="274"/>
      </w:pPr>
      <w:r>
        <w:t xml:space="preserve">以下为本轮</w:t>
      </w:r>
      <w:r>
        <w:rPr>
          <w:b/>
          <w:bCs/>
        </w:rPr>
        <w:t xml:space="preserve">未取到可靠一手源</w:t>
      </w:r>
      <w:r>
        <w:t xml:space="preserve">的数字,落地前建议专项核实: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rPr>
          <w:b/>
          <w:bCs/>
        </w:rPr>
        <w:t xml:space="preserve">在土注册的中国企业总数</w:t>
      </w:r>
      <w:r>
        <w:t xml:space="preserve">——多源均未给出确切数字(建议查土耳其贸易部 / 中国驻土使馆 / Invest in Türkiye)。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rPr>
          <w:b/>
          <w:bCs/>
        </w:rPr>
        <w:t xml:space="preserve">“中国企业土耳其落地服务”市场规模</w:t>
      </w:r>
      <w:r>
        <w:t xml:space="preserve">——高度碎片化,无权威口径,本报告以需求逻辑定性。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rPr>
          <w:b/>
          <w:bCs/>
        </w:rPr>
        <w:t xml:space="preserve">竞品真实报价表</w:t>
      </w:r>
      <w:r>
        <w:t xml:space="preserve">(四大 / 当地所 / 中文服务商的分项价格)——需以询价获取。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rPr>
          <w:b/>
          <w:bCs/>
        </w:rPr>
        <w:t xml:space="preserve">各获客渠道的具体 CAC / 转化率</w:t>
      </w:r>
      <w:r>
        <w:t xml:space="preserve">——本报告为行业经验估算,需以自有投放 / 运营数据校准。</w:t>
      </w:r>
    </w:p>
    <w:p>
      <w:pPr>
        <w:pStyle w:val="ListParagraph"/>
        <w:numPr>
          <w:ilvl w:val="0"/>
          <w:numId w:val="2"/>
        </w:numPr>
        <w:spacing w:after="60" w:line="274"/>
      </w:pPr>
      <w:r>
        <w:rPr>
          <w:b/>
          <w:bCs/>
          <w:color w:val="B00020"/>
          <w:sz w:val="17"/>
          <w:szCs w:val="17"/>
        </w:rPr>
        <w:t xml:space="preserve">【待核实】 </w:t>
      </w:r>
      <w:r>
        <w:rPr>
          <w:b/>
          <w:bCs/>
        </w:rPr>
        <w:t xml:space="preserve">里拉 / 通胀的精确预测值</w:t>
      </w:r>
      <w:r>
        <w:t xml:space="preserve">——各源差异大、本轮验真未通过,引用前以 IMF / OECD / 央行最新口径为准。</w:t>
      </w:r>
    </w:p>
    <w:p>
      <w:pPr>
        <w:spacing w:after="120" w:line="274"/>
      </w:pPr>
      <w:r>
        <w:rPr>
          <w:i/>
          <w:iCs/>
          <w:color w:val="808080"/>
          <w:sz w:val="16"/>
          <w:szCs w:val="16"/>
        </w:rPr>
        <w:t xml:space="preserve">(注:第二轮联网调研的最终合成步骤因接口限流中断,本报告由已验真结论 + 权威公开源 + 分析综合而成;如需补齐上述硬数字,可在限流重置后做一轮窄查。)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6"/>
      </w:pBdr>
      <w:jc w:val="center"/>
    </w:pPr>
    <w:r>
      <w:rPr>
        <w:color w:val="808080"/>
        <w:sz w:val="15"/>
        <w:szCs w:val="15"/>
      </w:rPr>
      <w:t xml:space="preserve">Grace Way · 恩途　|　土耳其出海市场调研 2026　|　内部参考　·　第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PingFang SC" w:eastAsia="PingFang S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50" w:before="300"/>
      <w:outlineLvl w:val="0"/>
    </w:pPr>
    <w:rPr>
      <w:rFonts w:ascii="Arial" w:cs="PingFang SC" w:eastAsia="PingFang SC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PingFang SC" w:eastAsia="PingFang SC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PingFang SC" w:eastAsia="PingFang SC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qmafx963te_bldfkcq0l" Type="http://schemas.openxmlformats.org/officeDocument/2006/relationships/hyperlink" Target="https://www.swp-berlin.org/en/publication/chinas-push-towards-europe-byds-investment-in-turkey" TargetMode="External"/><Relationship Id="rIddwryzxlbkbxp8xjqruxml" Type="http://schemas.openxmlformats.org/officeDocument/2006/relationships/hyperlink" Target="https://ecfr.eu/publication/ev-endgame-stalling-chinas-export-surge-in-europes-southern-neighbourhood/" TargetMode="External"/><Relationship Id="rIdtrgc0yfn--8msozhzcxpo" Type="http://schemas.openxmlformats.org/officeDocument/2006/relationships/hyperlink" Target="https://www.oecd.org/en/publications/oecd-economic-surveys-turkiye-2025_d01c660f-en.html" TargetMode="External"/><Relationship Id="rIdzng1l4jysauu3l_jr0xhd" Type="http://schemas.openxmlformats.org/officeDocument/2006/relationships/hyperlink" Target="https://www.invest.gov.tr/en/investmentguide/pages/incentives-guide.aspx" TargetMode="External"/><Relationship Id="rIdzyfiqw6bs2vg7xwvmhcmk" Type="http://schemas.openxmlformats.org/officeDocument/2006/relationships/hyperlink" Target="https://www.worldbank.org/en/country/turkey/overview" TargetMode="External"/><Relationship Id="rId7bjz3adqgmdl0gkd4czfh" Type="http://schemas.openxmlformats.org/officeDocument/2006/relationships/hyperlink" Target="https://trade.ec.europa.eu/access-to-markets/en/news/eu-commission-imposes-countervailing-duties-imports-battery-electric-vehicles-bevs-china" TargetMode="External"/><Relationship Id="rIdmvhxzgqnpglmq1-mj2sen" Type="http://schemas.openxmlformats.org/officeDocument/2006/relationships/hyperlink" Target="https://www.clearytradewatch.com/2024/10/definitive-duties-adopted-by-the-eu-on-chinese-battery-electric-vehicles-to-counteract-subsidies-to-apply-by-october-30/" TargetMode="External"/><Relationship Id="rIdrnonl9qo6n7r7a2z4d_dz" Type="http://schemas.openxmlformats.org/officeDocument/2006/relationships/hyperlink" Target="https://english.www.gov.cn/archive/statistics/202501/22/content_WS6790333bc6d0868f4e8ef0cc.html" TargetMode="External"/><Relationship Id="rIdlwbie_q0s6ulxcubgd4w_" Type="http://schemas.openxmlformats.org/officeDocument/2006/relationships/hyperlink" Target="https://www.ey.com/en_cn/newsroom/2025/02/ey-releases-the-overview-of-china-outbound-investment-of-2024" TargetMode="External"/><Relationship Id="rIdtufjadmhuqe-srp49iohc" Type="http://schemas.openxmlformats.org/officeDocument/2006/relationships/hyperlink" Target="https://www.china-briefing.com/news/china-turkey-bilateral-trade-and-investment-profile/" TargetMode="External"/><Relationship Id="rIdboexder6al85awahcb7kr" Type="http://schemas.openxmlformats.org/officeDocument/2006/relationships/hyperlink" Target="https://oec.world/en/profile/bilateral-country/tur/partner/chn" TargetMode="External"/><Relationship Id="rIdr-vfgpftpkcki3p88xzlk" Type="http://schemas.openxmlformats.org/officeDocument/2006/relationships/hyperlink" Target="https://akkaslaw.com/cost-of-company-formation-in-turkey/" TargetMode="External"/><Relationship Id="rId3xme1a27vdocdjbnt6_xv" Type="http://schemas.openxmlformats.org/officeDocument/2006/relationships/hyperlink" Target="https://www.ccs.law/post/establishing-a-limited-company-in-turkey-legal-framework-procedures-and-costs-2024-2025" TargetMode="External"/><Relationship Id="rIdttq4zakr5pks9o7--orsz" Type="http://schemas.openxmlformats.org/officeDocument/2006/relationships/hyperlink" Target="https://www.eryilmazmuhasebe.com.tr/en//helpdetail/how-much-is-the-monthly-accounting-service-fee-in-turkey" TargetMode="External"/><Relationship Id="rIdbw_qn85adag6ildmfsfzh" Type="http://schemas.openxmlformats.org/officeDocument/2006/relationships/hyperlink" Target="https://taxsummaries.pwc.com/turkey/corporate/taxes-on-corporate-income" TargetMode="External"/><Relationship Id="rIdy47vlgclfc6be4fmo4rki" Type="http://schemas.openxmlformats.org/officeDocument/2006/relationships/hyperlink" Target="https://www.dailysabah.com/business/tourism/turkiye-sees-65-rise-in-chinese-visitors-in-2024-envoy-says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中国企业出海土耳其市场调研报告 2026</dc:title>
  <dc:creator>Grace Way</dc:creator>
  <cp:lastModifiedBy>Un-named</cp:lastModifiedBy>
  <cp:revision>1</cp:revision>
  <dcterms:created xsi:type="dcterms:W3CDTF">2026-06-21T11:00:30.926Z</dcterms:created>
  <dcterms:modified xsi:type="dcterms:W3CDTF">2026-06-21T11:00:30.926Z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