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0BBC" w14:textId="77777777" w:rsidR="00740576" w:rsidRPr="00BE38A1" w:rsidRDefault="00740576" w:rsidP="00740576">
      <w:pPr>
        <w:jc w:val="center"/>
        <w:rPr>
          <w:rFonts w:ascii="Times New Roman" w:hAnsi="Times New Roman" w:cs="Times New Roman"/>
          <w:sz w:val="36"/>
          <w:szCs w:val="36"/>
          <w:lang w:val="ro-RO"/>
        </w:rPr>
      </w:pPr>
      <w:r w:rsidRPr="00BE38A1">
        <w:rPr>
          <w:rFonts w:ascii="Times New Roman" w:hAnsi="Times New Roman" w:cs="Times New Roman"/>
          <w:sz w:val="36"/>
          <w:szCs w:val="36"/>
          <w:lang w:val="ro-RO"/>
        </w:rPr>
        <w:t xml:space="preserve">Universitatea Tehnică a Moldovei </w:t>
      </w:r>
    </w:p>
    <w:p w14:paraId="22DA092F" w14:textId="77777777" w:rsidR="00740576" w:rsidRPr="00BE38A1" w:rsidRDefault="00740576" w:rsidP="00740576">
      <w:pPr>
        <w:jc w:val="center"/>
        <w:rPr>
          <w:rFonts w:ascii="Times New Roman" w:hAnsi="Times New Roman" w:cs="Times New Roman"/>
          <w:sz w:val="36"/>
          <w:szCs w:val="36"/>
          <w:lang w:val="ro-RO"/>
        </w:rPr>
      </w:pPr>
      <w:r w:rsidRPr="00BE38A1">
        <w:rPr>
          <w:rFonts w:ascii="Times New Roman" w:hAnsi="Times New Roman" w:cs="Times New Roman"/>
          <w:sz w:val="36"/>
          <w:szCs w:val="36"/>
          <w:lang w:val="ro-RO"/>
        </w:rPr>
        <w:t xml:space="preserve">Facultatea Calculatoare Informatică şi Microelectronică </w:t>
      </w:r>
    </w:p>
    <w:p w14:paraId="219F1A68" w14:textId="77777777" w:rsidR="00740576" w:rsidRPr="00BE38A1" w:rsidRDefault="00740576" w:rsidP="00740576">
      <w:pPr>
        <w:jc w:val="center"/>
        <w:rPr>
          <w:rFonts w:ascii="Bookman Old Style" w:hAnsi="Bookman Old Style"/>
          <w:sz w:val="28"/>
          <w:szCs w:val="28"/>
          <w:lang w:val="ro-RO"/>
        </w:rPr>
      </w:pPr>
      <w:r w:rsidRPr="00BE38A1">
        <w:rPr>
          <w:rFonts w:ascii="Times New Roman" w:hAnsi="Times New Roman" w:cs="Times New Roman"/>
          <w:sz w:val="36"/>
          <w:szCs w:val="36"/>
          <w:lang w:val="ro-RO"/>
        </w:rPr>
        <w:t>Departamentul Ingineria Software și Automatică</w:t>
      </w:r>
    </w:p>
    <w:p w14:paraId="6FC4C273" w14:textId="77777777" w:rsidR="00740576" w:rsidRPr="00BE38A1" w:rsidRDefault="00740576" w:rsidP="00740576">
      <w:pPr>
        <w:jc w:val="center"/>
        <w:rPr>
          <w:rFonts w:ascii="Times New Roman" w:hAnsi="Times New Roman" w:cs="Times New Roman"/>
          <w:sz w:val="32"/>
          <w:szCs w:val="32"/>
          <w:lang w:val="ro-RO"/>
        </w:rPr>
      </w:pPr>
    </w:p>
    <w:p w14:paraId="6A64983B" w14:textId="77777777" w:rsidR="00740576" w:rsidRPr="00BE38A1" w:rsidRDefault="00740576" w:rsidP="00740576">
      <w:pPr>
        <w:jc w:val="center"/>
        <w:rPr>
          <w:rFonts w:ascii="Times New Roman" w:hAnsi="Times New Roman" w:cs="Times New Roman"/>
          <w:sz w:val="32"/>
          <w:szCs w:val="32"/>
          <w:lang w:val="ro-RO"/>
        </w:rPr>
      </w:pPr>
    </w:p>
    <w:p w14:paraId="30310359" w14:textId="77777777" w:rsidR="00740576" w:rsidRPr="00BE38A1" w:rsidRDefault="00740576" w:rsidP="00740576">
      <w:pPr>
        <w:jc w:val="center"/>
        <w:rPr>
          <w:rFonts w:ascii="Times New Roman" w:hAnsi="Times New Roman" w:cs="Times New Roman"/>
          <w:sz w:val="32"/>
          <w:szCs w:val="32"/>
          <w:lang w:val="ro-RO"/>
        </w:rPr>
      </w:pPr>
    </w:p>
    <w:p w14:paraId="635A4718" w14:textId="77777777" w:rsidR="00740576" w:rsidRPr="00BE38A1" w:rsidRDefault="00740576" w:rsidP="00740576">
      <w:pPr>
        <w:jc w:val="center"/>
        <w:rPr>
          <w:rFonts w:ascii="Times New Roman" w:hAnsi="Times New Roman" w:cs="Times New Roman"/>
          <w:b/>
          <w:sz w:val="96"/>
          <w:szCs w:val="96"/>
          <w:lang w:val="ro-RO"/>
        </w:rPr>
      </w:pPr>
      <w:r w:rsidRPr="00BE38A1">
        <w:rPr>
          <w:rFonts w:ascii="Times New Roman" w:hAnsi="Times New Roman" w:cs="Times New Roman"/>
          <w:b/>
          <w:sz w:val="96"/>
          <w:szCs w:val="96"/>
          <w:lang w:val="ro-RO"/>
        </w:rPr>
        <w:t>RAPORT</w:t>
      </w:r>
    </w:p>
    <w:p w14:paraId="196654CA" w14:textId="77777777" w:rsidR="00740576" w:rsidRPr="00BE38A1" w:rsidRDefault="00740576" w:rsidP="00740576">
      <w:pPr>
        <w:jc w:val="center"/>
        <w:rPr>
          <w:rFonts w:ascii="Times New Roman" w:hAnsi="Times New Roman" w:cs="Times New Roman"/>
          <w:sz w:val="32"/>
          <w:szCs w:val="32"/>
          <w:lang w:val="ro-RO"/>
        </w:rPr>
      </w:pPr>
    </w:p>
    <w:p w14:paraId="05CF8089" w14:textId="77777777" w:rsidR="00740576" w:rsidRPr="00BE38A1" w:rsidRDefault="00740576" w:rsidP="00740576">
      <w:pPr>
        <w:jc w:val="both"/>
        <w:rPr>
          <w:rFonts w:ascii="Times New Roman" w:hAnsi="Times New Roman" w:cs="Times New Roman"/>
          <w:sz w:val="32"/>
          <w:szCs w:val="32"/>
          <w:lang w:val="ro-RO"/>
        </w:rPr>
      </w:pPr>
    </w:p>
    <w:p w14:paraId="0482AF43" w14:textId="77777777" w:rsidR="00740576" w:rsidRPr="00BE38A1" w:rsidRDefault="00740576" w:rsidP="00740576">
      <w:pPr>
        <w:jc w:val="center"/>
        <w:rPr>
          <w:rFonts w:ascii="Times New Roman" w:hAnsi="Times New Roman" w:cs="Times New Roman"/>
          <w:sz w:val="32"/>
          <w:szCs w:val="32"/>
          <w:lang w:val="ro-RO"/>
        </w:rPr>
      </w:pPr>
      <w:r w:rsidRPr="00BE38A1">
        <w:rPr>
          <w:rFonts w:ascii="Times New Roman" w:hAnsi="Times New Roman" w:cs="Times New Roman"/>
          <w:sz w:val="32"/>
          <w:szCs w:val="32"/>
          <w:lang w:val="ro-RO"/>
        </w:rPr>
        <w:t>Lucrarea de laborator nr. 1</w:t>
      </w:r>
    </w:p>
    <w:p w14:paraId="248A4641" w14:textId="77777777" w:rsidR="00740576" w:rsidRPr="00BE38A1" w:rsidRDefault="00740576" w:rsidP="00740576">
      <w:pPr>
        <w:pStyle w:val="Heading1"/>
        <w:shd w:val="clear" w:color="auto" w:fill="FFFFFF"/>
        <w:spacing w:before="0" w:beforeAutospacing="0"/>
        <w:jc w:val="center"/>
        <w:rPr>
          <w:rFonts w:ascii="Arial" w:hAnsi="Arial" w:cs="Arial"/>
          <w:b w:val="0"/>
          <w:bCs w:val="0"/>
          <w:color w:val="455A64"/>
          <w:sz w:val="56"/>
          <w:lang w:val="ro-RO"/>
        </w:rPr>
      </w:pPr>
      <w:r w:rsidRPr="00BE38A1">
        <w:rPr>
          <w:b w:val="0"/>
          <w:sz w:val="32"/>
          <w:szCs w:val="24"/>
          <w:lang w:val="ro-RO"/>
        </w:rPr>
        <w:t xml:space="preserve">La disciplina </w:t>
      </w:r>
      <w:r w:rsidRPr="00BE38A1">
        <w:rPr>
          <w:b w:val="0"/>
          <w:sz w:val="32"/>
          <w:szCs w:val="24"/>
          <w:shd w:val="clear" w:color="auto" w:fill="FFFFFF"/>
          <w:lang w:val="ro-RO"/>
        </w:rPr>
        <w:t>„Managementul și Auditul Securitații Informaționale</w:t>
      </w:r>
      <w:r w:rsidRPr="00BE38A1">
        <w:rPr>
          <w:b w:val="0"/>
          <w:color w:val="000000"/>
          <w:sz w:val="32"/>
          <w:shd w:val="clear" w:color="auto" w:fill="FFFFFF"/>
          <w:lang w:val="ro-RO"/>
        </w:rPr>
        <w:t>”</w:t>
      </w:r>
    </w:p>
    <w:p w14:paraId="67B5E5D5" w14:textId="77777777" w:rsidR="00740576" w:rsidRPr="00BE38A1" w:rsidRDefault="00740576" w:rsidP="00740576">
      <w:pPr>
        <w:pStyle w:val="1"/>
        <w:jc w:val="center"/>
        <w:rPr>
          <w:rFonts w:ascii="Times New Roman" w:hAnsi="Times New Roman" w:cs="Times New Roman"/>
          <w:bCs/>
          <w:sz w:val="28"/>
          <w:szCs w:val="24"/>
          <w:lang w:val="ro-RO"/>
        </w:rPr>
      </w:pPr>
      <w:r w:rsidRPr="00BE38A1">
        <w:rPr>
          <w:rFonts w:ascii="Times New Roman" w:hAnsi="Times New Roman" w:cs="Times New Roman"/>
          <w:bCs/>
          <w:sz w:val="28"/>
          <w:szCs w:val="24"/>
          <w:lang w:val="ro-RO"/>
        </w:rPr>
        <w:t>Tema: “</w:t>
      </w:r>
      <w:hyperlink r:id="rId6" w:history="1">
        <w:r w:rsidRPr="00BE38A1">
          <w:rPr>
            <w:rStyle w:val="instancename"/>
            <w:rFonts w:ascii="Times New Roman" w:hAnsi="Times New Roman" w:cs="Times New Roman"/>
            <w:sz w:val="28"/>
            <w:szCs w:val="24"/>
            <w:shd w:val="clear" w:color="auto" w:fill="FFFFFF"/>
            <w:lang w:val="ro-RO"/>
          </w:rPr>
          <w:t>Evaluarea RI utilizind Microsoft Security Assessment Tool</w:t>
        </w:r>
        <w:r w:rsidRPr="00BE38A1">
          <w:rPr>
            <w:rStyle w:val="accesshide"/>
            <w:rFonts w:ascii="Times New Roman" w:hAnsi="Times New Roman" w:cs="Times New Roman"/>
            <w:sz w:val="28"/>
            <w:szCs w:val="24"/>
            <w:shd w:val="clear" w:color="auto" w:fill="FFFFFF"/>
            <w:lang w:val="ro-RO"/>
          </w:rPr>
          <w:t>Assignment</w:t>
        </w:r>
      </w:hyperlink>
      <w:r w:rsidRPr="00BE38A1">
        <w:rPr>
          <w:rFonts w:ascii="Times New Roman" w:hAnsi="Times New Roman" w:cs="Times New Roman"/>
          <w:bCs/>
          <w:sz w:val="32"/>
          <w:szCs w:val="28"/>
          <w:lang w:val="ro-RO"/>
        </w:rPr>
        <w:t>.”</w:t>
      </w:r>
    </w:p>
    <w:p w14:paraId="483EFB63" w14:textId="77777777" w:rsidR="00740576" w:rsidRPr="00BE38A1" w:rsidRDefault="00740576" w:rsidP="00740576">
      <w:pPr>
        <w:pStyle w:val="1"/>
        <w:jc w:val="center"/>
        <w:rPr>
          <w:b/>
          <w:bCs/>
          <w:sz w:val="24"/>
          <w:szCs w:val="24"/>
          <w:lang w:val="ro-RO"/>
        </w:rPr>
      </w:pPr>
    </w:p>
    <w:p w14:paraId="333EEB18" w14:textId="77777777" w:rsidR="00740576" w:rsidRPr="00BE38A1" w:rsidRDefault="00740576" w:rsidP="00740576">
      <w:pPr>
        <w:jc w:val="center"/>
        <w:rPr>
          <w:rFonts w:ascii="Times New Roman" w:hAnsi="Times New Roman" w:cs="Times New Roman"/>
          <w:sz w:val="32"/>
          <w:szCs w:val="32"/>
          <w:lang w:val="ro-RO"/>
        </w:rPr>
      </w:pPr>
    </w:p>
    <w:p w14:paraId="0FCDC14D" w14:textId="77777777" w:rsidR="00740576" w:rsidRPr="00BE38A1" w:rsidRDefault="00740576" w:rsidP="00740576">
      <w:pPr>
        <w:jc w:val="both"/>
        <w:rPr>
          <w:rFonts w:ascii="Times New Roman" w:hAnsi="Times New Roman" w:cs="Times New Roman"/>
          <w:sz w:val="32"/>
          <w:szCs w:val="32"/>
          <w:lang w:val="ro-RO"/>
        </w:rPr>
      </w:pPr>
    </w:p>
    <w:p w14:paraId="637D68AF" w14:textId="77777777" w:rsidR="00740576" w:rsidRPr="00BE38A1" w:rsidRDefault="00740576" w:rsidP="00740576">
      <w:pPr>
        <w:jc w:val="both"/>
        <w:rPr>
          <w:rFonts w:ascii="Times New Roman" w:hAnsi="Times New Roman" w:cs="Times New Roman"/>
          <w:sz w:val="32"/>
          <w:szCs w:val="32"/>
          <w:lang w:val="ro-RO"/>
        </w:rPr>
      </w:pPr>
    </w:p>
    <w:p w14:paraId="5D25E6E0" w14:textId="77777777" w:rsidR="00740576" w:rsidRPr="00BE38A1" w:rsidRDefault="00740576" w:rsidP="00740576">
      <w:pPr>
        <w:jc w:val="both"/>
        <w:rPr>
          <w:rFonts w:ascii="Times New Roman" w:hAnsi="Times New Roman" w:cs="Times New Roman"/>
          <w:sz w:val="32"/>
          <w:szCs w:val="32"/>
          <w:lang w:val="ro-RO"/>
        </w:rPr>
      </w:pPr>
    </w:p>
    <w:p w14:paraId="12170F65" w14:textId="0DFF0595" w:rsidR="00740576" w:rsidRPr="00BE38A1" w:rsidRDefault="00740576" w:rsidP="00740576">
      <w:pPr>
        <w:jc w:val="both"/>
        <w:rPr>
          <w:rFonts w:ascii="Times New Roman" w:hAnsi="Times New Roman" w:cs="Times New Roman"/>
          <w:sz w:val="32"/>
          <w:szCs w:val="32"/>
          <w:lang w:val="ro-RO"/>
        </w:rPr>
      </w:pPr>
      <w:r w:rsidRPr="00BE38A1">
        <w:rPr>
          <w:rFonts w:ascii="Times New Roman" w:hAnsi="Times New Roman" w:cs="Times New Roman"/>
          <w:sz w:val="32"/>
          <w:szCs w:val="32"/>
          <w:lang w:val="ro-RO"/>
        </w:rPr>
        <w:t xml:space="preserve">       A efectuat: st. gr. SI-211                                                    </w:t>
      </w:r>
      <w:r w:rsidR="000A096C" w:rsidRPr="00BE38A1">
        <w:rPr>
          <w:rFonts w:ascii="Times New Roman" w:hAnsi="Times New Roman" w:cs="Times New Roman"/>
          <w:sz w:val="32"/>
          <w:szCs w:val="32"/>
          <w:lang w:val="ro-RO"/>
        </w:rPr>
        <w:t>A</w:t>
      </w:r>
      <w:r w:rsidRPr="00BE38A1">
        <w:rPr>
          <w:rFonts w:ascii="Times New Roman" w:hAnsi="Times New Roman" w:cs="Times New Roman"/>
          <w:sz w:val="32"/>
          <w:szCs w:val="32"/>
          <w:lang w:val="ro-RO"/>
        </w:rPr>
        <w:t>. Chi</w:t>
      </w:r>
      <w:r w:rsidR="000A096C" w:rsidRPr="00BE38A1">
        <w:rPr>
          <w:rFonts w:ascii="Times New Roman" w:hAnsi="Times New Roman" w:cs="Times New Roman"/>
          <w:sz w:val="32"/>
          <w:szCs w:val="32"/>
          <w:lang w:val="ro-RO"/>
        </w:rPr>
        <w:t>hai</w:t>
      </w:r>
    </w:p>
    <w:p w14:paraId="19B65E60" w14:textId="77777777" w:rsidR="00740576" w:rsidRPr="00BE38A1" w:rsidRDefault="00740576" w:rsidP="00740576">
      <w:pPr>
        <w:rPr>
          <w:rFonts w:ascii="Times New Roman" w:hAnsi="Times New Roman" w:cs="Times New Roman"/>
          <w:sz w:val="32"/>
          <w:szCs w:val="32"/>
          <w:lang w:val="ro-RO"/>
        </w:rPr>
      </w:pPr>
      <w:r w:rsidRPr="00BE38A1">
        <w:rPr>
          <w:rFonts w:ascii="Times New Roman" w:hAnsi="Times New Roman" w:cs="Times New Roman"/>
          <w:sz w:val="32"/>
          <w:szCs w:val="32"/>
          <w:lang w:val="ro-RO"/>
        </w:rPr>
        <w:t xml:space="preserve">       A verificat:                                                                    E. Nemerenco</w:t>
      </w:r>
    </w:p>
    <w:p w14:paraId="044F43B3" w14:textId="77777777" w:rsidR="00740576" w:rsidRPr="00BE38A1" w:rsidRDefault="00740576" w:rsidP="00740576">
      <w:pPr>
        <w:rPr>
          <w:rFonts w:ascii="Times New Roman" w:hAnsi="Times New Roman" w:cs="Times New Roman"/>
          <w:sz w:val="32"/>
          <w:szCs w:val="32"/>
          <w:lang w:val="ro-RO"/>
        </w:rPr>
      </w:pPr>
      <w:r w:rsidRPr="00BE38A1">
        <w:rPr>
          <w:rFonts w:ascii="Times New Roman" w:hAnsi="Times New Roman" w:cs="Times New Roman"/>
          <w:sz w:val="32"/>
          <w:szCs w:val="32"/>
          <w:lang w:val="ro-RO"/>
        </w:rPr>
        <w:t xml:space="preserve">   </w:t>
      </w:r>
    </w:p>
    <w:p w14:paraId="6FE4CDB1" w14:textId="77777777" w:rsidR="00740576" w:rsidRPr="00BE38A1" w:rsidRDefault="00740576" w:rsidP="00740576">
      <w:pPr>
        <w:rPr>
          <w:rFonts w:ascii="Times New Roman" w:hAnsi="Times New Roman" w:cs="Times New Roman"/>
          <w:sz w:val="32"/>
          <w:szCs w:val="32"/>
          <w:lang w:val="ro-RO"/>
        </w:rPr>
      </w:pPr>
    </w:p>
    <w:p w14:paraId="37B3EAD3" w14:textId="77777777" w:rsidR="00740576" w:rsidRPr="00BE38A1" w:rsidRDefault="00740576" w:rsidP="00740576">
      <w:pPr>
        <w:rPr>
          <w:rFonts w:ascii="Times New Roman" w:hAnsi="Times New Roman" w:cs="Times New Roman"/>
          <w:sz w:val="32"/>
          <w:szCs w:val="32"/>
          <w:lang w:val="ro-RO"/>
        </w:rPr>
      </w:pPr>
    </w:p>
    <w:p w14:paraId="0C446D4F" w14:textId="77777777" w:rsidR="00740576" w:rsidRPr="00BE38A1" w:rsidRDefault="00740576" w:rsidP="00740576">
      <w:pPr>
        <w:jc w:val="center"/>
        <w:rPr>
          <w:rFonts w:ascii="Times New Roman" w:hAnsi="Times New Roman" w:cs="Times New Roman"/>
          <w:sz w:val="32"/>
          <w:szCs w:val="32"/>
          <w:lang w:val="ro-RO"/>
        </w:rPr>
      </w:pPr>
      <w:r w:rsidRPr="00BE38A1">
        <w:rPr>
          <w:rFonts w:ascii="Times New Roman" w:hAnsi="Times New Roman" w:cs="Times New Roman"/>
          <w:sz w:val="32"/>
          <w:szCs w:val="32"/>
          <w:lang w:val="ro-RO"/>
        </w:rPr>
        <w:t>Chișinău – 2024</w:t>
      </w:r>
    </w:p>
    <w:p w14:paraId="38221C35" w14:textId="77777777" w:rsidR="00740576" w:rsidRPr="00BE38A1" w:rsidRDefault="00740576" w:rsidP="00740576">
      <w:pPr>
        <w:jc w:val="center"/>
        <w:rPr>
          <w:rFonts w:ascii="Times New Roman" w:hAnsi="Times New Roman" w:cs="Times New Roman"/>
          <w:b/>
          <w:sz w:val="32"/>
          <w:szCs w:val="24"/>
          <w:lang w:val="ro-RO"/>
        </w:rPr>
      </w:pPr>
      <w:r w:rsidRPr="00BE38A1">
        <w:rPr>
          <w:rFonts w:ascii="Times New Roman" w:hAnsi="Times New Roman" w:cs="Times New Roman"/>
          <w:b/>
          <w:sz w:val="32"/>
          <w:szCs w:val="24"/>
          <w:lang w:val="ro-RO"/>
        </w:rPr>
        <w:lastRenderedPageBreak/>
        <w:t>Introducere</w:t>
      </w:r>
    </w:p>
    <w:p w14:paraId="0FA0F30D" w14:textId="77777777" w:rsidR="008C36CE" w:rsidRPr="00BE38A1" w:rsidRDefault="00740576" w:rsidP="00740576">
      <w:pPr>
        <w:ind w:firstLine="708"/>
        <w:rPr>
          <w:rFonts w:ascii="Times New Roman" w:hAnsi="Times New Roman" w:cs="Times New Roman"/>
          <w:sz w:val="24"/>
          <w:szCs w:val="24"/>
          <w:lang w:val="ro-RO"/>
        </w:rPr>
      </w:pPr>
      <w:r w:rsidRPr="00BE38A1">
        <w:rPr>
          <w:rFonts w:ascii="Times New Roman" w:hAnsi="Times New Roman" w:cs="Times New Roman"/>
          <w:sz w:val="24"/>
          <w:szCs w:val="24"/>
          <w:lang w:val="ro-RO"/>
        </w:rPr>
        <w:t>Mai jos este un raport care compară Profilul de Risc al Afacerii (Business Risk Profile - BRP) și Indicele de Apărare în Profunzime (Defence-in-Depth Index - DiDI) pentru o organizație. Se măsoară riscul de afaceri pe baza mediului de afaceri și a industriei prin BRP, în timp ce DiDI evaluează apărările de securitate folosite în diferite aspecte precum oameni, procese și tehnologie. Raportul subliniază importanța echilibrării acestor scoruri, indicând că disparitățile pot semnala necesitatea unui examen și ajustare suplimentară a strategiilor de securitate. De asemenea, accentuează semnificația considerării scorurilor BRP și DiDI în relație unul cu celălalt pentru o înțelegere cuprinzătoare a posturii de risc și securitate a unei organizații.</w:t>
      </w:r>
    </w:p>
    <w:p w14:paraId="01B0F0A0" w14:textId="38EAACB4" w:rsidR="00740576" w:rsidRPr="00BE38A1" w:rsidRDefault="00740576" w:rsidP="000A096C">
      <w:pPr>
        <w:pStyle w:val="Heading1"/>
        <w:rPr>
          <w:sz w:val="32"/>
          <w:lang w:val="ro-RO"/>
        </w:rPr>
      </w:pPr>
      <w:r w:rsidRPr="00BE38A1">
        <w:rPr>
          <w:sz w:val="32"/>
          <w:lang w:val="ro-RO"/>
        </w:rPr>
        <w:t>Business Risk Profile vs. Defense-in-Depth Index Summary Report</w:t>
      </w:r>
    </w:p>
    <w:p w14:paraId="7C0BE41E" w14:textId="06CD001E" w:rsidR="00740576" w:rsidRPr="00BE38A1" w:rsidRDefault="00740576" w:rsidP="00740576">
      <w:pPr>
        <w:rPr>
          <w:lang w:val="ro-RO"/>
        </w:rPr>
      </w:pPr>
    </w:p>
    <w:p w14:paraId="21F72DD3" w14:textId="22A5CB59" w:rsidR="000A096C" w:rsidRPr="00BE38A1" w:rsidRDefault="000A096C" w:rsidP="00740576">
      <w:pPr>
        <w:rPr>
          <w:lang w:val="ro-RO"/>
        </w:rPr>
      </w:pPr>
      <w:r w:rsidRPr="00BE38A1">
        <w:rPr>
          <w:noProof/>
          <w:lang w:val="ro-RO"/>
        </w:rPr>
        <w:drawing>
          <wp:inline distT="0" distB="0" distL="0" distR="0" wp14:anchorId="4D76EB0D" wp14:editId="662423C4">
            <wp:extent cx="5486400" cy="3200400"/>
            <wp:effectExtent l="19050" t="0" r="19050" b="0"/>
            <wp:docPr id="1633438348" name="Chart 163343834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CADC47" w14:textId="77777777" w:rsidR="000A096C" w:rsidRPr="000A096C" w:rsidRDefault="000A096C" w:rsidP="000A096C">
      <w:pPr>
        <w:rPr>
          <w:rFonts w:ascii="Times New Roman" w:hAnsi="Times New Roman" w:cs="Times New Roman"/>
          <w:b/>
          <w:sz w:val="24"/>
          <w:szCs w:val="24"/>
          <w:lang w:val="ro-RO"/>
        </w:rPr>
      </w:pPr>
      <w:r w:rsidRPr="000A096C">
        <w:rPr>
          <w:rFonts w:ascii="Times New Roman" w:hAnsi="Times New Roman" w:cs="Times New Roman"/>
          <w:b/>
          <w:bCs/>
          <w:sz w:val="24"/>
          <w:szCs w:val="24"/>
          <w:lang w:val="ro-RO"/>
        </w:rPr>
        <w:t xml:space="preserve">BRP (Business Risk Profile) </w:t>
      </w:r>
      <w:r w:rsidRPr="000A096C">
        <w:rPr>
          <w:rFonts w:ascii="Times New Roman" w:hAnsi="Times New Roman" w:cs="Times New Roman"/>
          <w:bCs/>
          <w:sz w:val="24"/>
          <w:szCs w:val="24"/>
          <w:lang w:val="ro-RO"/>
        </w:rPr>
        <w:t>variază de la 0 la 100, unde un scor mai mare implică o cantitate mai mare de risc potențial de afaceri pentru acel AoA (Articles of Association) specific. Este important de reținut că un scor de zero nu este posibil aici; desfășurarea afacerilor în sine implică un anumit nivel de risc. De asemenea, este important să înțelegeți că există unele aspecte ale conducerii unei afaceri care nu au o strategie directă de atenuare.</w:t>
      </w:r>
    </w:p>
    <w:p w14:paraId="75713901" w14:textId="77777777" w:rsidR="000A096C" w:rsidRPr="000A096C" w:rsidRDefault="000A096C" w:rsidP="000A096C">
      <w:pPr>
        <w:rPr>
          <w:rFonts w:ascii="Times New Roman" w:hAnsi="Times New Roman" w:cs="Times New Roman"/>
          <w:b/>
          <w:sz w:val="24"/>
          <w:szCs w:val="24"/>
          <w:lang w:val="ro-RO"/>
        </w:rPr>
      </w:pPr>
    </w:p>
    <w:p w14:paraId="13A4C874" w14:textId="77777777" w:rsidR="000A096C" w:rsidRPr="000A096C" w:rsidRDefault="000A096C" w:rsidP="000A096C">
      <w:pPr>
        <w:rPr>
          <w:rFonts w:ascii="Times New Roman" w:hAnsi="Times New Roman" w:cs="Times New Roman"/>
          <w:bCs/>
          <w:sz w:val="24"/>
          <w:szCs w:val="24"/>
          <w:lang w:val="ro-RO"/>
        </w:rPr>
      </w:pPr>
      <w:r w:rsidRPr="000A096C">
        <w:rPr>
          <w:rFonts w:ascii="Times New Roman" w:hAnsi="Times New Roman" w:cs="Times New Roman"/>
          <w:b/>
          <w:bCs/>
          <w:sz w:val="24"/>
          <w:szCs w:val="24"/>
          <w:lang w:val="ro-RO"/>
        </w:rPr>
        <w:t xml:space="preserve">DiDI </w:t>
      </w:r>
      <w:r w:rsidRPr="000A096C">
        <w:rPr>
          <w:rFonts w:ascii="Times New Roman" w:hAnsi="Times New Roman" w:cs="Times New Roman"/>
          <w:bCs/>
          <w:sz w:val="24"/>
          <w:szCs w:val="24"/>
          <w:lang w:val="ro-RO"/>
        </w:rPr>
        <w:t>variază, de asemenea, de la 0 la 100. Un scor mare indică un mediu în care au fost luate un număr mai mare de măsuri pentru a implementa strategii de apărare în profunzime într-un anumit AoA. Scorul DiDI nu reflectă eficacitatea generală a securității sau chiar resursele cheltuite pentru securitate, ci mai degrabă este o reflectare a strategiei generale utilizate pentru apărarea mediului.</w:t>
      </w:r>
    </w:p>
    <w:p w14:paraId="3E90A539" w14:textId="77777777" w:rsidR="000A096C" w:rsidRPr="00BE38A1" w:rsidRDefault="000A096C" w:rsidP="00740576">
      <w:pPr>
        <w:jc w:val="center"/>
        <w:rPr>
          <w:rFonts w:ascii="Times New Roman" w:hAnsi="Times New Roman" w:cs="Times New Roman"/>
          <w:b/>
          <w:sz w:val="32"/>
          <w:szCs w:val="32"/>
          <w:lang w:val="ro-RO"/>
        </w:rPr>
      </w:pPr>
    </w:p>
    <w:tbl>
      <w:tblPr>
        <w:tblStyle w:val="LightList-Accent11"/>
        <w:tblW w:w="0" w:type="auto"/>
        <w:tblLook w:val="04A0" w:firstRow="1" w:lastRow="0" w:firstColumn="1" w:lastColumn="0" w:noHBand="0" w:noVBand="1"/>
      </w:tblPr>
      <w:tblGrid>
        <w:gridCol w:w="3116"/>
        <w:gridCol w:w="3115"/>
        <w:gridCol w:w="3104"/>
      </w:tblGrid>
      <w:tr w:rsidR="000A096C" w:rsidRPr="00BE38A1" w14:paraId="2AEF9BA6" w14:textId="77777777" w:rsidTr="00B91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4447DA" w14:textId="77777777" w:rsidR="000A096C" w:rsidRPr="00BE38A1" w:rsidRDefault="000A096C" w:rsidP="00B91879">
            <w:pPr>
              <w:jc w:val="center"/>
              <w:rPr>
                <w:rStyle w:val="Strong"/>
                <w:rFonts w:ascii="Segoe UI" w:hAnsi="Segoe UI" w:cs="Segoe UI"/>
                <w:b/>
                <w:sz w:val="20"/>
                <w:szCs w:val="20"/>
                <w:lang w:val="ro-RO"/>
              </w:rPr>
            </w:pPr>
            <w:r w:rsidRPr="00BE38A1">
              <w:rPr>
                <w:rStyle w:val="Strong"/>
                <w:rFonts w:ascii="Segoe UI" w:hAnsi="Segoe UI" w:cs="Segoe UI"/>
                <w:sz w:val="20"/>
                <w:szCs w:val="20"/>
                <w:lang w:val="ro-RO"/>
              </w:rPr>
              <w:lastRenderedPageBreak/>
              <w:t>Areas of Analysis</w:t>
            </w:r>
          </w:p>
        </w:tc>
        <w:tc>
          <w:tcPr>
            <w:tcW w:w="3192" w:type="dxa"/>
          </w:tcPr>
          <w:p w14:paraId="4A853582" w14:textId="77777777" w:rsidR="000A096C" w:rsidRPr="00BE38A1" w:rsidRDefault="000A096C" w:rsidP="00B91879">
            <w:pPr>
              <w:jc w:val="center"/>
              <w:cnfStyle w:val="100000000000" w:firstRow="1" w:lastRow="0" w:firstColumn="0" w:lastColumn="0" w:oddVBand="0" w:evenVBand="0" w:oddHBand="0" w:evenHBand="0" w:firstRowFirstColumn="0" w:firstRowLastColumn="0" w:lastRowFirstColumn="0" w:lastRowLastColumn="0"/>
              <w:rPr>
                <w:rStyle w:val="Strong"/>
                <w:rFonts w:ascii="Segoe UI" w:hAnsi="Segoe UI" w:cs="Segoe UI"/>
                <w:b/>
                <w:sz w:val="20"/>
                <w:szCs w:val="20"/>
                <w:lang w:val="ro-RO"/>
              </w:rPr>
            </w:pPr>
            <w:r w:rsidRPr="00BE38A1">
              <w:rPr>
                <w:rFonts w:ascii="Segoe UI" w:hAnsi="Segoe UI" w:cs="Segoe UI"/>
                <w:bCs w:val="0"/>
                <w:color w:val="FFFFFF"/>
                <w:sz w:val="18"/>
                <w:szCs w:val="18"/>
                <w:lang w:val="ro-RO"/>
              </w:rPr>
              <w:t>Risk-Defense Distribution</w:t>
            </w:r>
          </w:p>
        </w:tc>
        <w:tc>
          <w:tcPr>
            <w:tcW w:w="3192" w:type="dxa"/>
          </w:tcPr>
          <w:p w14:paraId="7362A8B8" w14:textId="77777777" w:rsidR="000A096C" w:rsidRPr="00BE38A1" w:rsidRDefault="000A096C" w:rsidP="00B91879">
            <w:pPr>
              <w:jc w:val="center"/>
              <w:cnfStyle w:val="100000000000" w:firstRow="1" w:lastRow="0" w:firstColumn="0" w:lastColumn="0" w:oddVBand="0" w:evenVBand="0" w:oddHBand="0" w:evenHBand="0" w:firstRowFirstColumn="0" w:firstRowLastColumn="0" w:lastRowFirstColumn="0" w:lastRowLastColumn="0"/>
              <w:rPr>
                <w:rStyle w:val="Strong"/>
                <w:rFonts w:ascii="Segoe UI" w:hAnsi="Segoe UI" w:cs="Segoe UI"/>
                <w:b/>
                <w:sz w:val="20"/>
                <w:szCs w:val="20"/>
                <w:lang w:val="ro-RO"/>
              </w:rPr>
            </w:pPr>
            <w:r w:rsidRPr="00BE38A1">
              <w:rPr>
                <w:rFonts w:ascii="Segoe UI" w:hAnsi="Segoe UI" w:cs="Segoe UI"/>
                <w:bCs w:val="0"/>
                <w:color w:val="FFFFFF"/>
                <w:sz w:val="18"/>
                <w:szCs w:val="18"/>
                <w:lang w:val="ro-RO"/>
              </w:rPr>
              <w:t>Security Maturity</w:t>
            </w:r>
          </w:p>
        </w:tc>
      </w:tr>
      <w:tr w:rsidR="000A096C" w:rsidRPr="00BE38A1" w14:paraId="5526C2A6" w14:textId="77777777" w:rsidTr="00B9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532EC12" w14:textId="77777777" w:rsidR="000A096C" w:rsidRPr="00BE38A1" w:rsidRDefault="000A096C" w:rsidP="00B91879">
            <w:pPr>
              <w:rPr>
                <w:rStyle w:val="Strong"/>
                <w:rFonts w:ascii="Segoe UI" w:hAnsi="Segoe UI" w:cs="Segoe UI"/>
                <w:sz w:val="18"/>
                <w:szCs w:val="18"/>
                <w:lang w:val="ro-RO"/>
              </w:rPr>
            </w:pPr>
            <w:r w:rsidRPr="00BE38A1">
              <w:rPr>
                <w:rStyle w:val="Strong"/>
                <w:rFonts w:ascii="Segoe UI" w:hAnsi="Segoe UI" w:cs="Segoe UI"/>
                <w:sz w:val="18"/>
                <w:szCs w:val="18"/>
                <w:lang w:val="ro-RO"/>
              </w:rPr>
              <w:t>Infrastructure</w:t>
            </w:r>
          </w:p>
        </w:tc>
        <w:tc>
          <w:tcPr>
            <w:tcW w:w="3192" w:type="dxa"/>
          </w:tcPr>
          <w:p w14:paraId="4D97544B" w14:textId="77777777" w:rsidR="000A096C" w:rsidRPr="00BE38A1" w:rsidRDefault="000A096C" w:rsidP="00B91879">
            <w:pPr>
              <w:jc w:val="center"/>
              <w:cnfStyle w:val="000000100000" w:firstRow="0" w:lastRow="0" w:firstColumn="0" w:lastColumn="0" w:oddVBand="0" w:evenVBand="0" w:oddHBand="1"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FF0000"/>
                <w:sz w:val="20"/>
                <w:szCs w:val="20"/>
                <w:lang w:val="ro-RO"/>
              </w:rPr>
              <w:t></w:t>
            </w:r>
          </w:p>
        </w:tc>
        <w:tc>
          <w:tcPr>
            <w:tcW w:w="3192" w:type="dxa"/>
          </w:tcPr>
          <w:p w14:paraId="41898E59" w14:textId="77777777" w:rsidR="000A096C" w:rsidRPr="00BE38A1" w:rsidRDefault="000A096C" w:rsidP="00B91879">
            <w:pPr>
              <w:jc w:val="center"/>
              <w:cnfStyle w:val="000000100000" w:firstRow="0" w:lastRow="0" w:firstColumn="0" w:lastColumn="0" w:oddVBand="0" w:evenVBand="0" w:oddHBand="1"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00B050"/>
                <w:sz w:val="20"/>
                <w:szCs w:val="20"/>
                <w:lang w:val="ro-RO"/>
              </w:rPr>
              <w:t></w:t>
            </w:r>
          </w:p>
        </w:tc>
      </w:tr>
      <w:tr w:rsidR="000A096C" w:rsidRPr="00BE38A1" w14:paraId="02B04248" w14:textId="77777777" w:rsidTr="00B91879">
        <w:tc>
          <w:tcPr>
            <w:cnfStyle w:val="001000000000" w:firstRow="0" w:lastRow="0" w:firstColumn="1" w:lastColumn="0" w:oddVBand="0" w:evenVBand="0" w:oddHBand="0" w:evenHBand="0" w:firstRowFirstColumn="0" w:firstRowLastColumn="0" w:lastRowFirstColumn="0" w:lastRowLastColumn="0"/>
            <w:tcW w:w="3192" w:type="dxa"/>
          </w:tcPr>
          <w:p w14:paraId="4B063DBC" w14:textId="77777777" w:rsidR="000A096C" w:rsidRPr="00BE38A1" w:rsidRDefault="000A096C" w:rsidP="00B91879">
            <w:pPr>
              <w:rPr>
                <w:rStyle w:val="Strong"/>
                <w:rFonts w:ascii="Segoe UI" w:hAnsi="Segoe UI" w:cs="Segoe UI"/>
                <w:sz w:val="18"/>
                <w:szCs w:val="18"/>
                <w:lang w:val="ro-RO"/>
              </w:rPr>
            </w:pPr>
            <w:r w:rsidRPr="00BE38A1">
              <w:rPr>
                <w:rStyle w:val="Strong"/>
                <w:rFonts w:ascii="Segoe UI" w:hAnsi="Segoe UI" w:cs="Segoe UI"/>
                <w:sz w:val="18"/>
                <w:szCs w:val="18"/>
                <w:lang w:val="ro-RO"/>
              </w:rPr>
              <w:t>Applications</w:t>
            </w:r>
          </w:p>
        </w:tc>
        <w:tc>
          <w:tcPr>
            <w:tcW w:w="3192" w:type="dxa"/>
          </w:tcPr>
          <w:p w14:paraId="497B308F" w14:textId="77777777" w:rsidR="000A096C" w:rsidRPr="00BE38A1" w:rsidRDefault="000A096C" w:rsidP="00B91879">
            <w:pPr>
              <w:jc w:val="center"/>
              <w:cnfStyle w:val="000000000000" w:firstRow="0" w:lastRow="0" w:firstColumn="0" w:lastColumn="0" w:oddVBand="0" w:evenVBand="0" w:oddHBand="0"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FFCC00"/>
                <w:sz w:val="20"/>
                <w:szCs w:val="20"/>
                <w:lang w:val="ro-RO"/>
              </w:rPr>
              <w:t></w:t>
            </w:r>
          </w:p>
        </w:tc>
        <w:tc>
          <w:tcPr>
            <w:tcW w:w="3192" w:type="dxa"/>
          </w:tcPr>
          <w:p w14:paraId="1602C0EF" w14:textId="77777777" w:rsidR="000A096C" w:rsidRPr="00BE38A1" w:rsidRDefault="000A096C" w:rsidP="00B91879">
            <w:pPr>
              <w:jc w:val="center"/>
              <w:cnfStyle w:val="000000000000" w:firstRow="0" w:lastRow="0" w:firstColumn="0" w:lastColumn="0" w:oddVBand="0" w:evenVBand="0" w:oddHBand="0"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00B050"/>
                <w:sz w:val="20"/>
                <w:szCs w:val="20"/>
                <w:lang w:val="ro-RO"/>
              </w:rPr>
              <w:t></w:t>
            </w:r>
          </w:p>
        </w:tc>
      </w:tr>
      <w:tr w:rsidR="000A096C" w:rsidRPr="00BE38A1" w14:paraId="7652CDE4" w14:textId="77777777" w:rsidTr="00B91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EB7323" w14:textId="77777777" w:rsidR="000A096C" w:rsidRPr="00BE38A1" w:rsidRDefault="000A096C" w:rsidP="00B91879">
            <w:pPr>
              <w:rPr>
                <w:rStyle w:val="Strong"/>
                <w:rFonts w:ascii="Segoe UI" w:hAnsi="Segoe UI" w:cs="Segoe UI"/>
                <w:sz w:val="18"/>
                <w:szCs w:val="18"/>
                <w:lang w:val="ro-RO"/>
              </w:rPr>
            </w:pPr>
            <w:r w:rsidRPr="00BE38A1">
              <w:rPr>
                <w:rStyle w:val="Strong"/>
                <w:rFonts w:ascii="Segoe UI" w:hAnsi="Segoe UI" w:cs="Segoe UI"/>
                <w:sz w:val="18"/>
                <w:szCs w:val="18"/>
                <w:lang w:val="ro-RO"/>
              </w:rPr>
              <w:t>Operations</w:t>
            </w:r>
          </w:p>
        </w:tc>
        <w:tc>
          <w:tcPr>
            <w:tcW w:w="3192" w:type="dxa"/>
          </w:tcPr>
          <w:p w14:paraId="69ACDB48" w14:textId="77777777" w:rsidR="000A096C" w:rsidRPr="00BE38A1" w:rsidRDefault="000A096C" w:rsidP="00B91879">
            <w:pPr>
              <w:jc w:val="center"/>
              <w:cnfStyle w:val="000000100000" w:firstRow="0" w:lastRow="0" w:firstColumn="0" w:lastColumn="0" w:oddVBand="0" w:evenVBand="0" w:oddHBand="1"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FF0000"/>
                <w:sz w:val="20"/>
                <w:szCs w:val="20"/>
                <w:lang w:val="ro-RO"/>
              </w:rPr>
              <w:t></w:t>
            </w:r>
          </w:p>
        </w:tc>
        <w:tc>
          <w:tcPr>
            <w:tcW w:w="3192" w:type="dxa"/>
          </w:tcPr>
          <w:p w14:paraId="27655AA2" w14:textId="77777777" w:rsidR="000A096C" w:rsidRPr="00BE38A1" w:rsidRDefault="000A096C" w:rsidP="00B91879">
            <w:pPr>
              <w:jc w:val="center"/>
              <w:cnfStyle w:val="000000100000" w:firstRow="0" w:lastRow="0" w:firstColumn="0" w:lastColumn="0" w:oddVBand="0" w:evenVBand="0" w:oddHBand="1"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00B050"/>
                <w:sz w:val="20"/>
                <w:szCs w:val="20"/>
                <w:lang w:val="ro-RO"/>
              </w:rPr>
              <w:t></w:t>
            </w:r>
          </w:p>
        </w:tc>
      </w:tr>
      <w:tr w:rsidR="000A096C" w:rsidRPr="00BE38A1" w14:paraId="07AE8485" w14:textId="77777777" w:rsidTr="00B91879">
        <w:tc>
          <w:tcPr>
            <w:cnfStyle w:val="001000000000" w:firstRow="0" w:lastRow="0" w:firstColumn="1" w:lastColumn="0" w:oddVBand="0" w:evenVBand="0" w:oddHBand="0" w:evenHBand="0" w:firstRowFirstColumn="0" w:firstRowLastColumn="0" w:lastRowFirstColumn="0" w:lastRowLastColumn="0"/>
            <w:tcW w:w="3192" w:type="dxa"/>
          </w:tcPr>
          <w:p w14:paraId="61B1AA3F" w14:textId="77777777" w:rsidR="000A096C" w:rsidRPr="00BE38A1" w:rsidRDefault="000A096C" w:rsidP="00B91879">
            <w:pPr>
              <w:rPr>
                <w:rStyle w:val="Strong"/>
                <w:rFonts w:ascii="Segoe UI" w:hAnsi="Segoe UI" w:cs="Segoe UI"/>
                <w:sz w:val="18"/>
                <w:szCs w:val="18"/>
                <w:lang w:val="ro-RO"/>
              </w:rPr>
            </w:pPr>
            <w:r w:rsidRPr="00BE38A1">
              <w:rPr>
                <w:rStyle w:val="Strong"/>
                <w:rFonts w:ascii="Segoe UI" w:hAnsi="Segoe UI" w:cs="Segoe UI"/>
                <w:sz w:val="18"/>
                <w:szCs w:val="18"/>
                <w:lang w:val="ro-RO"/>
              </w:rPr>
              <w:t>People</w:t>
            </w:r>
          </w:p>
        </w:tc>
        <w:tc>
          <w:tcPr>
            <w:tcW w:w="3192" w:type="dxa"/>
          </w:tcPr>
          <w:p w14:paraId="77DD2DFE" w14:textId="77777777" w:rsidR="000A096C" w:rsidRPr="00BE38A1" w:rsidRDefault="000A096C" w:rsidP="00B91879">
            <w:pPr>
              <w:jc w:val="center"/>
              <w:cnfStyle w:val="000000000000" w:firstRow="0" w:lastRow="0" w:firstColumn="0" w:lastColumn="0" w:oddVBand="0" w:evenVBand="0" w:oddHBand="0"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FF0000"/>
                <w:sz w:val="20"/>
                <w:szCs w:val="20"/>
                <w:lang w:val="ro-RO"/>
              </w:rPr>
              <w:t></w:t>
            </w:r>
          </w:p>
        </w:tc>
        <w:tc>
          <w:tcPr>
            <w:tcW w:w="3192" w:type="dxa"/>
          </w:tcPr>
          <w:p w14:paraId="7B3A53D1" w14:textId="77777777" w:rsidR="000A096C" w:rsidRPr="00BE38A1" w:rsidRDefault="000A096C" w:rsidP="00B91879">
            <w:pPr>
              <w:jc w:val="center"/>
              <w:cnfStyle w:val="000000000000" w:firstRow="0" w:lastRow="0" w:firstColumn="0" w:lastColumn="0" w:oddVBand="0" w:evenVBand="0" w:oddHBand="0" w:evenHBand="0" w:firstRowFirstColumn="0" w:firstRowLastColumn="0" w:lastRowFirstColumn="0" w:lastRowLastColumn="0"/>
              <w:rPr>
                <w:rStyle w:val="Strong"/>
                <w:rFonts w:ascii="Wingdings" w:hAnsi="Wingdings" w:cs="Segoe UI"/>
                <w:b w:val="0"/>
                <w:sz w:val="20"/>
                <w:szCs w:val="20"/>
                <w:lang w:val="ro-RO"/>
              </w:rPr>
            </w:pPr>
            <w:r w:rsidRPr="00BE38A1">
              <w:rPr>
                <w:rStyle w:val="Strong"/>
                <w:rFonts w:ascii="Wingdings" w:hAnsi="Wingdings" w:cs="Segoe UI"/>
                <w:color w:val="00B050"/>
                <w:sz w:val="20"/>
                <w:szCs w:val="20"/>
                <w:lang w:val="ro-RO"/>
              </w:rPr>
              <w:t></w:t>
            </w:r>
          </w:p>
        </w:tc>
      </w:tr>
    </w:tbl>
    <w:p w14:paraId="1389C4C5" w14:textId="77777777" w:rsidR="000A096C" w:rsidRPr="00BE38A1" w:rsidRDefault="000A096C" w:rsidP="000A096C">
      <w:pPr>
        <w:rPr>
          <w:rFonts w:ascii="Times New Roman" w:hAnsi="Times New Roman" w:cs="Times New Roman"/>
          <w:b/>
          <w:sz w:val="32"/>
          <w:szCs w:val="32"/>
          <w:lang w:val="ro-RO"/>
        </w:rPr>
      </w:pPr>
    </w:p>
    <w:p w14:paraId="49AAC984" w14:textId="6827A2C6" w:rsidR="000A096C" w:rsidRPr="00BE38A1" w:rsidRDefault="00BE38A1" w:rsidP="00BE38A1">
      <w:pPr>
        <w:rPr>
          <w:rFonts w:ascii="Times New Roman" w:hAnsi="Times New Roman" w:cs="Times New Roman"/>
          <w:b/>
          <w:sz w:val="32"/>
          <w:szCs w:val="32"/>
          <w:lang w:val="ro-RO"/>
        </w:rPr>
      </w:pPr>
      <w:r w:rsidRPr="00BE38A1">
        <w:rPr>
          <w:rFonts w:ascii="Times New Roman" w:hAnsi="Times New Roman" w:cs="Times New Roman"/>
          <w:b/>
          <w:sz w:val="32"/>
          <w:szCs w:val="32"/>
          <w:lang w:val="ro-RO"/>
        </w:rPr>
        <w:drawing>
          <wp:inline distT="0" distB="0" distL="0" distR="0" wp14:anchorId="539C7F16" wp14:editId="59FD75C2">
            <wp:extent cx="2129488" cy="3253264"/>
            <wp:effectExtent l="0" t="0" r="4445" b="4445"/>
            <wp:docPr id="22031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13983" name=""/>
                    <pic:cNvPicPr/>
                  </pic:nvPicPr>
                  <pic:blipFill>
                    <a:blip r:embed="rId8"/>
                    <a:stretch>
                      <a:fillRect/>
                    </a:stretch>
                  </pic:blipFill>
                  <pic:spPr>
                    <a:xfrm>
                      <a:off x="0" y="0"/>
                      <a:ext cx="2143387" cy="3274498"/>
                    </a:xfrm>
                    <a:prstGeom prst="rect">
                      <a:avLst/>
                    </a:prstGeom>
                  </pic:spPr>
                </pic:pic>
              </a:graphicData>
            </a:graphic>
          </wp:inline>
        </w:drawing>
      </w:r>
    </w:p>
    <w:p w14:paraId="3106F735" w14:textId="47D6BA33" w:rsidR="00BE38A1" w:rsidRPr="00BE38A1" w:rsidRDefault="00BE38A1" w:rsidP="00BE38A1">
      <w:pPr>
        <w:rPr>
          <w:rFonts w:ascii="Times New Roman" w:hAnsi="Times New Roman" w:cs="Times New Roman"/>
          <w:bCs/>
          <w:lang w:val="ro-RO"/>
        </w:rPr>
      </w:pPr>
      <w:r w:rsidRPr="00BE38A1">
        <w:rPr>
          <w:rFonts w:ascii="Times New Roman" w:hAnsi="Times New Roman" w:cs="Times New Roman"/>
          <w:bCs/>
          <w:lang w:val="ro-RO"/>
        </w:rPr>
        <w:t>Din poza de mai sus putem vedea vulnerabilitățile infrastructurii, care sunt în mare parte bune, doar ca avem nevoie de dezvoltare anumitor domenii cum ar fi rețeaua wireless si securitatea fizică.</w:t>
      </w:r>
    </w:p>
    <w:p w14:paraId="6AF920F2" w14:textId="77777777" w:rsidR="00BE38A1" w:rsidRPr="00BE38A1" w:rsidRDefault="00BE38A1" w:rsidP="00BE38A1">
      <w:pPr>
        <w:rPr>
          <w:rFonts w:ascii="Times New Roman" w:hAnsi="Times New Roman" w:cs="Times New Roman"/>
          <w:bCs/>
          <w:lang w:val="ro-RO"/>
        </w:rPr>
      </w:pPr>
    </w:p>
    <w:p w14:paraId="2308F887" w14:textId="33851656" w:rsidR="00BE38A1" w:rsidRPr="00BE38A1" w:rsidRDefault="00BE38A1" w:rsidP="00BE38A1">
      <w:pPr>
        <w:rPr>
          <w:rFonts w:ascii="Times New Roman" w:hAnsi="Times New Roman" w:cs="Times New Roman"/>
          <w:bCs/>
          <w:lang w:val="ro-RO"/>
        </w:rPr>
      </w:pPr>
      <w:r w:rsidRPr="00BE38A1">
        <w:rPr>
          <w:rFonts w:ascii="Times New Roman" w:hAnsi="Times New Roman" w:cs="Times New Roman"/>
          <w:bCs/>
          <w:lang w:val="ro-RO"/>
        </w:rPr>
        <w:lastRenderedPageBreak/>
        <w:drawing>
          <wp:inline distT="0" distB="0" distL="0" distR="0" wp14:anchorId="13B6BB3C" wp14:editId="0272862C">
            <wp:extent cx="3013862" cy="3688422"/>
            <wp:effectExtent l="0" t="0" r="0" b="7620"/>
            <wp:docPr id="91803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39064" name=""/>
                    <pic:cNvPicPr/>
                  </pic:nvPicPr>
                  <pic:blipFill>
                    <a:blip r:embed="rId9"/>
                    <a:stretch>
                      <a:fillRect/>
                    </a:stretch>
                  </pic:blipFill>
                  <pic:spPr>
                    <a:xfrm>
                      <a:off x="0" y="0"/>
                      <a:ext cx="3041030" cy="3721671"/>
                    </a:xfrm>
                    <a:prstGeom prst="rect">
                      <a:avLst/>
                    </a:prstGeom>
                  </pic:spPr>
                </pic:pic>
              </a:graphicData>
            </a:graphic>
          </wp:inline>
        </w:drawing>
      </w:r>
    </w:p>
    <w:p w14:paraId="1682A210" w14:textId="57366AE5" w:rsidR="00BE38A1" w:rsidRDefault="00BE38A1" w:rsidP="00BE38A1">
      <w:pPr>
        <w:rPr>
          <w:rFonts w:ascii="Times New Roman" w:hAnsi="Times New Roman" w:cs="Times New Roman"/>
          <w:bCs/>
          <w:lang w:val="ro-RO"/>
        </w:rPr>
      </w:pPr>
      <w:r w:rsidRPr="00BE38A1">
        <w:rPr>
          <w:rFonts w:ascii="Times New Roman" w:hAnsi="Times New Roman" w:cs="Times New Roman"/>
          <w:bCs/>
          <w:lang w:val="ro-RO"/>
        </w:rPr>
        <w:t xml:space="preserve">Aplicațiile utilizate în cadrul companiei au un rol mare în ce ține cont de Securitate. Ne putem da seama din tabel că </w:t>
      </w:r>
      <w:r>
        <w:rPr>
          <w:rFonts w:ascii="Times New Roman" w:hAnsi="Times New Roman" w:cs="Times New Roman"/>
          <w:bCs/>
          <w:lang w:val="ro-RO"/>
        </w:rPr>
        <w:t>nivelul de vulnerabilitate e unul destul de ridicat, vor fi nevoie de luat măsuri pentru a preveni unele atacuri posibile și de rezolvat. Aplicațiile fiind un canal de comunicare cu furnizorii terți și periculoase.</w:t>
      </w:r>
    </w:p>
    <w:p w14:paraId="3FB78594" w14:textId="77777777" w:rsidR="00BE38A1" w:rsidRDefault="00BE38A1" w:rsidP="00BE38A1">
      <w:pPr>
        <w:rPr>
          <w:rFonts w:ascii="Times New Roman" w:hAnsi="Times New Roman" w:cs="Times New Roman"/>
          <w:bCs/>
          <w:lang w:val="ro-RO"/>
        </w:rPr>
      </w:pPr>
    </w:p>
    <w:p w14:paraId="68ABC9ED" w14:textId="517223AA" w:rsidR="00BE38A1" w:rsidRDefault="00BE38A1" w:rsidP="00BE38A1">
      <w:pPr>
        <w:rPr>
          <w:rFonts w:ascii="Times New Roman" w:hAnsi="Times New Roman" w:cs="Times New Roman"/>
          <w:bCs/>
          <w:lang w:val="ro-RO"/>
        </w:rPr>
      </w:pPr>
      <w:r w:rsidRPr="00BE38A1">
        <w:rPr>
          <w:rFonts w:ascii="Times New Roman" w:hAnsi="Times New Roman" w:cs="Times New Roman"/>
          <w:bCs/>
          <w:lang w:val="ro-RO"/>
        </w:rPr>
        <w:lastRenderedPageBreak/>
        <w:drawing>
          <wp:inline distT="0" distB="0" distL="0" distR="0" wp14:anchorId="22CF1636" wp14:editId="73C1D779">
            <wp:extent cx="3082188" cy="4901184"/>
            <wp:effectExtent l="0" t="0" r="4445" b="0"/>
            <wp:docPr id="96649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0273" name=""/>
                    <pic:cNvPicPr/>
                  </pic:nvPicPr>
                  <pic:blipFill>
                    <a:blip r:embed="rId10"/>
                    <a:stretch>
                      <a:fillRect/>
                    </a:stretch>
                  </pic:blipFill>
                  <pic:spPr>
                    <a:xfrm>
                      <a:off x="0" y="0"/>
                      <a:ext cx="3089596" cy="4912964"/>
                    </a:xfrm>
                    <a:prstGeom prst="rect">
                      <a:avLst/>
                    </a:prstGeom>
                  </pic:spPr>
                </pic:pic>
              </a:graphicData>
            </a:graphic>
          </wp:inline>
        </w:drawing>
      </w:r>
    </w:p>
    <w:p w14:paraId="7BFF23C7" w14:textId="01AC7A89" w:rsidR="00BE38A1" w:rsidRDefault="00BE38A1" w:rsidP="00BE38A1">
      <w:pPr>
        <w:rPr>
          <w:rFonts w:ascii="Times New Roman" w:hAnsi="Times New Roman" w:cs="Times New Roman"/>
          <w:bCs/>
          <w:lang w:val="ro-RO"/>
        </w:rPr>
      </w:pPr>
      <w:r>
        <w:rPr>
          <w:rFonts w:ascii="Times New Roman" w:hAnsi="Times New Roman" w:cs="Times New Roman"/>
          <w:bCs/>
          <w:lang w:val="ro-RO"/>
        </w:rPr>
        <w:t>Operțiunile sunt acțiuni directe atât ale personalului, cât și angajaților întreprinderii. Din tabelul de mai sus se poate deduce că aceste operațiuni sunt destul de securizate, iar datele sunt salvate și realizate copii de rezervă ale lor.</w:t>
      </w:r>
    </w:p>
    <w:p w14:paraId="11CA372B" w14:textId="49071BDD" w:rsidR="00BE38A1" w:rsidRDefault="00BE38A1" w:rsidP="00BE38A1">
      <w:pPr>
        <w:rPr>
          <w:rFonts w:ascii="Times New Roman" w:hAnsi="Times New Roman" w:cs="Times New Roman"/>
          <w:bCs/>
          <w:lang w:val="ro-RO"/>
        </w:rPr>
      </w:pPr>
      <w:r w:rsidRPr="00BE38A1">
        <w:rPr>
          <w:rFonts w:ascii="Times New Roman" w:hAnsi="Times New Roman" w:cs="Times New Roman"/>
          <w:bCs/>
          <w:lang w:val="ro-RO"/>
        </w:rPr>
        <w:drawing>
          <wp:inline distT="0" distB="0" distL="0" distR="0" wp14:anchorId="30C4D6B6" wp14:editId="6018963D">
            <wp:extent cx="3961651" cy="2691994"/>
            <wp:effectExtent l="0" t="0" r="1270" b="0"/>
            <wp:docPr id="93096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9586" name=""/>
                    <pic:cNvPicPr/>
                  </pic:nvPicPr>
                  <pic:blipFill>
                    <a:blip r:embed="rId11"/>
                    <a:stretch>
                      <a:fillRect/>
                    </a:stretch>
                  </pic:blipFill>
                  <pic:spPr>
                    <a:xfrm>
                      <a:off x="0" y="0"/>
                      <a:ext cx="3968075" cy="2696359"/>
                    </a:xfrm>
                    <a:prstGeom prst="rect">
                      <a:avLst/>
                    </a:prstGeom>
                  </pic:spPr>
                </pic:pic>
              </a:graphicData>
            </a:graphic>
          </wp:inline>
        </w:drawing>
      </w:r>
    </w:p>
    <w:p w14:paraId="637EEBB3" w14:textId="1725160F" w:rsidR="00662270" w:rsidRDefault="00BE38A1" w:rsidP="00740576">
      <w:pPr>
        <w:rPr>
          <w:rFonts w:ascii="Times New Roman" w:hAnsi="Times New Roman" w:cs="Times New Roman"/>
          <w:bCs/>
          <w:lang w:val="ro-RO"/>
        </w:rPr>
      </w:pPr>
      <w:r>
        <w:rPr>
          <w:rFonts w:ascii="Times New Roman" w:hAnsi="Times New Roman" w:cs="Times New Roman"/>
          <w:bCs/>
          <w:lang w:val="ro-RO"/>
        </w:rPr>
        <w:t>Personalul are un nivel alarmant de cunoștințe în securitate și sunt pasibili la atacurile potențiale, astfel ar pune și compania la un risc posibil</w:t>
      </w:r>
      <w:r w:rsidR="00662270">
        <w:rPr>
          <w:rFonts w:ascii="Times New Roman" w:hAnsi="Times New Roman" w:cs="Times New Roman"/>
          <w:bCs/>
          <w:lang w:val="ro-RO"/>
        </w:rPr>
        <w:t>, daca ar accesa un email sau nu ar ști cum să identifice aceste amenințări.</w:t>
      </w:r>
    </w:p>
    <w:p w14:paraId="21B80550" w14:textId="11A5D87F" w:rsidR="00662270" w:rsidRPr="00662270" w:rsidRDefault="00662270" w:rsidP="00740576">
      <w:pPr>
        <w:rPr>
          <w:rFonts w:ascii="Times New Roman" w:hAnsi="Times New Roman" w:cs="Times New Roman"/>
          <w:bCs/>
          <w:lang w:val="ro-RO"/>
        </w:rPr>
      </w:pPr>
      <w:r>
        <w:rPr>
          <w:rFonts w:ascii="Times New Roman" w:hAnsi="Times New Roman" w:cs="Times New Roman"/>
          <w:b/>
          <w:lang w:val="ro-RO"/>
        </w:rPr>
        <w:lastRenderedPageBreak/>
        <w:t>Concluzie</w:t>
      </w:r>
    </w:p>
    <w:p w14:paraId="2129E80B" w14:textId="4B04FED8" w:rsidR="00662270" w:rsidRPr="00662270" w:rsidRDefault="00662270" w:rsidP="00740576">
      <w:pPr>
        <w:rPr>
          <w:rFonts w:ascii="Times New Roman" w:hAnsi="Times New Roman" w:cs="Times New Roman"/>
          <w:bCs/>
          <w:lang w:val="ro-RO"/>
        </w:rPr>
      </w:pPr>
      <w:r w:rsidRPr="00662270">
        <w:rPr>
          <w:rFonts w:ascii="Times New Roman" w:hAnsi="Times New Roman" w:cs="Times New Roman"/>
          <w:bCs/>
          <w:lang w:val="ro-RO"/>
        </w:rPr>
        <w:t>În concluzie, evaluarea Riscului de Afaceri (BRP) și Indicele de Apărare în Profunzime (DiDI) pentru organizația analizată evidențiază aspecte semnificative ale securității informaționale. Discrepanțele dintre BRP și DiDI subliniază necesitatea unei atenții continue asupra strategiilor de securitate pentru a asigura o echilibrare corespunzătoare între riscurile potențiale și măsurile de apărare implementate. Îmbunătățirea infrastructurii, gestionarea eficientă a vulnerabilităților din aplicații și consolidarea cunoștințelor personalului în domeniul securității reprezintă aspecte critice pentru întărirea poziției organizației în fața amenințărilor cibernetice. Este esențială adoptarea unei abordări proactive pentru identificarea și gestionarea riscurilor, asigurând astfel securitatea informațională și continuarea operațiunilor într-un mediu sigur.</w:t>
      </w:r>
    </w:p>
    <w:sectPr w:rsidR="00662270" w:rsidRPr="006622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9336F6"/>
    <w:multiLevelType w:val="hybridMultilevel"/>
    <w:tmpl w:val="861E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85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0A7"/>
    <w:rsid w:val="000A096C"/>
    <w:rsid w:val="002F30A7"/>
    <w:rsid w:val="00662270"/>
    <w:rsid w:val="00740576"/>
    <w:rsid w:val="008C36CE"/>
    <w:rsid w:val="00BE3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8E46"/>
  <w15:chartTrackingRefBased/>
  <w15:docId w15:val="{CD12DEB1-0377-4F9E-901B-EBF661F3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76"/>
    <w:pPr>
      <w:spacing w:after="200" w:line="276" w:lineRule="auto"/>
    </w:pPr>
  </w:style>
  <w:style w:type="paragraph" w:styleId="Heading1">
    <w:name w:val="heading 1"/>
    <w:basedOn w:val="Normal"/>
    <w:link w:val="Heading1Char"/>
    <w:uiPriority w:val="9"/>
    <w:qFormat/>
    <w:rsid w:val="00740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740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76"/>
    <w:rPr>
      <w:rFonts w:ascii="Times New Roman" w:eastAsia="Times New Roman" w:hAnsi="Times New Roman" w:cs="Times New Roman"/>
      <w:b/>
      <w:bCs/>
      <w:kern w:val="36"/>
      <w:sz w:val="48"/>
      <w:szCs w:val="48"/>
      <w:lang w:eastAsia="ru-RU"/>
    </w:rPr>
  </w:style>
  <w:style w:type="paragraph" w:customStyle="1" w:styleId="1">
    <w:name w:val="Текст1"/>
    <w:basedOn w:val="Normal"/>
    <w:uiPriority w:val="99"/>
    <w:rsid w:val="00740576"/>
    <w:pPr>
      <w:suppressAutoHyphens/>
      <w:spacing w:after="0" w:line="240" w:lineRule="auto"/>
    </w:pPr>
    <w:rPr>
      <w:rFonts w:ascii="Courier New" w:eastAsia="Times New Roman" w:hAnsi="Courier New" w:cs="Courier New"/>
      <w:sz w:val="20"/>
      <w:szCs w:val="20"/>
      <w:lang w:eastAsia="hi-IN" w:bidi="hi-IN"/>
    </w:rPr>
  </w:style>
  <w:style w:type="character" w:customStyle="1" w:styleId="instancename">
    <w:name w:val="instancename"/>
    <w:basedOn w:val="DefaultParagraphFont"/>
    <w:rsid w:val="00740576"/>
  </w:style>
  <w:style w:type="character" w:customStyle="1" w:styleId="accesshide">
    <w:name w:val="accesshide"/>
    <w:basedOn w:val="DefaultParagraphFont"/>
    <w:rsid w:val="00740576"/>
  </w:style>
  <w:style w:type="character" w:customStyle="1" w:styleId="Heading2Char">
    <w:name w:val="Heading 2 Char"/>
    <w:basedOn w:val="DefaultParagraphFont"/>
    <w:link w:val="Heading2"/>
    <w:uiPriority w:val="9"/>
    <w:semiHidden/>
    <w:rsid w:val="007405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0576"/>
    <w:pPr>
      <w:ind w:left="720"/>
      <w:contextualSpacing/>
    </w:pPr>
    <w:rPr>
      <w:lang w:val="en-US"/>
    </w:rPr>
  </w:style>
  <w:style w:type="character" w:styleId="Strong">
    <w:name w:val="Strong"/>
    <w:basedOn w:val="DefaultParagraphFont"/>
    <w:uiPriority w:val="22"/>
    <w:qFormat/>
    <w:rsid w:val="000A096C"/>
    <w:rPr>
      <w:b/>
      <w:bCs/>
      <w:sz w:val="22"/>
    </w:rPr>
  </w:style>
  <w:style w:type="table" w:customStyle="1" w:styleId="LightList-Accent11">
    <w:name w:val="Light List - Accent 11"/>
    <w:basedOn w:val="TableNormal"/>
    <w:uiPriority w:val="61"/>
    <w:rsid w:val="000A096C"/>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93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se.fcim.utm.md/mod/assign/view.php?id=10820"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Sheet1!$B$1</c:f>
              <c:strCache>
                <c:ptCount val="1"/>
                <c:pt idx="0">
                  <c:v>BRP</c:v>
                </c:pt>
              </c:strCache>
            </c:strRef>
          </c:tx>
          <c:invertIfNegative val="0"/>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27.731092436971998</c:v>
                </c:pt>
                <c:pt idx="1">
                  <c:v>32.142857142856499</c:v>
                </c:pt>
                <c:pt idx="2">
                  <c:v>27.551020408162199</c:v>
                </c:pt>
                <c:pt idx="3">
                  <c:v>23.809523809521</c:v>
                </c:pt>
              </c:numCache>
            </c:numRef>
          </c:val>
          <c:extLst>
            <c:ext xmlns:c16="http://schemas.microsoft.com/office/drawing/2014/chart" uri="{C3380CC4-5D6E-409C-BE32-E72D297353CC}">
              <c16:uniqueId val="{00000000-0636-4FD7-9515-611C8DC136B5}"/>
            </c:ext>
          </c:extLst>
        </c:ser>
        <c:ser>
          <c:idx val="1"/>
          <c:order val="1"/>
          <c:tx>
            <c:strRef>
              <c:f>Sheet1!$C$1</c:f>
              <c:strCache>
                <c:ptCount val="1"/>
                <c:pt idx="0">
                  <c:v>DiDI</c:v>
                </c:pt>
              </c:strCache>
            </c:strRef>
          </c:tx>
          <c:spPr>
            <a:solidFill>
              <a:srgbClr val="7030A0"/>
            </a:solidFill>
          </c:spPr>
          <c:invertIfNegative val="0"/>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55.5555555555556</c:v>
                </c:pt>
                <c:pt idx="1">
                  <c:v>51.541850220264301</c:v>
                </c:pt>
                <c:pt idx="2">
                  <c:v>83.136094674556205</c:v>
                </c:pt>
                <c:pt idx="3">
                  <c:v>51.497005988024</c:v>
                </c:pt>
              </c:numCache>
            </c:numRef>
          </c:val>
          <c:extLst>
            <c:ext xmlns:c16="http://schemas.microsoft.com/office/drawing/2014/chart" uri="{C3380CC4-5D6E-409C-BE32-E72D297353CC}">
              <c16:uniqueId val="{00000001-0636-4FD7-9515-611C8DC136B5}"/>
            </c:ext>
          </c:extLst>
        </c:ser>
        <c:dLbls>
          <c:showLegendKey val="0"/>
          <c:showVal val="0"/>
          <c:showCatName val="0"/>
          <c:showSerName val="0"/>
          <c:showPercent val="0"/>
          <c:showBubbleSize val="0"/>
        </c:dLbls>
        <c:gapWidth val="150"/>
        <c:axId val="76579584"/>
        <c:axId val="76581120"/>
      </c:barChart>
      <c:catAx>
        <c:axId val="76579584"/>
        <c:scaling>
          <c:orientation val="minMax"/>
        </c:scaling>
        <c:delete val="0"/>
        <c:axPos val="b"/>
        <c:numFmt formatCode="General" sourceLinked="0"/>
        <c:majorTickMark val="out"/>
        <c:minorTickMark val="none"/>
        <c:tickLblPos val="nextTo"/>
        <c:crossAx val="76581120"/>
        <c:crosses val="autoZero"/>
        <c:auto val="1"/>
        <c:lblAlgn val="ctr"/>
        <c:lblOffset val="100"/>
        <c:noMultiLvlLbl val="0"/>
      </c:catAx>
      <c:valAx>
        <c:axId val="76581120"/>
        <c:scaling>
          <c:orientation val="minMax"/>
        </c:scaling>
        <c:delete val="0"/>
        <c:axPos val="l"/>
        <c:majorGridlines/>
        <c:numFmt formatCode="General" sourceLinked="1"/>
        <c:majorTickMark val="out"/>
        <c:minorTickMark val="none"/>
        <c:tickLblPos val="nextTo"/>
        <c:crossAx val="765795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BB8F-F677-4DA1-8563-8073C4A9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H1p</dc:creator>
  <cp:keywords/>
  <dc:description/>
  <cp:lastModifiedBy>Chihai Adrian</cp:lastModifiedBy>
  <cp:revision>2</cp:revision>
  <dcterms:created xsi:type="dcterms:W3CDTF">2024-02-21T10:50:00Z</dcterms:created>
  <dcterms:modified xsi:type="dcterms:W3CDTF">2024-02-21T10:50:00Z</dcterms:modified>
</cp:coreProperties>
</file>