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BC" w:rsidRDefault="001F4DBC">
      <w:pPr>
        <w:rPr>
          <w:rFonts w:ascii="Times New Roman" w:hAnsi="Times New Roman" w:cs="Times New Roman"/>
        </w:rPr>
      </w:pPr>
      <w:bookmarkStart w:id="0" w:name="_GoBack"/>
      <w:bookmarkEnd w:id="0"/>
    </w:p>
    <w:p w:rsidR="001F4DBC" w:rsidRDefault="001F4DBC">
      <w:pPr>
        <w:ind w:firstLine="709"/>
        <w:rPr>
          <w:rFonts w:ascii="Times New Roman" w:hAnsi="Times New Roman" w:cs="Times New Roman"/>
        </w:rPr>
      </w:pPr>
    </w:p>
    <w:p w:rsidR="001F4DBC" w:rsidRDefault="001101FE">
      <w:pPr>
        <w:ind w:firstLine="709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2224405</wp:posOffset>
            </wp:positionH>
            <wp:positionV relativeFrom="paragraph">
              <wp:posOffset>157575</wp:posOffset>
            </wp:positionV>
            <wp:extent cx="1440180" cy="1721045"/>
            <wp:effectExtent l="0" t="0" r="0" b="0"/>
            <wp:wrapNone/>
            <wp:docPr id="1" name="Picture 1" descr="University Of Oxford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25223" name="Picture 1" descr="University Of Oxford Logo transparent PNG - StickPNG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440180" cy="1721044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1F4DBC" w:rsidRDefault="001F4DBC">
      <w:pPr>
        <w:ind w:firstLine="709"/>
        <w:rPr>
          <w:rFonts w:ascii="Times New Roman" w:hAnsi="Times New Roman" w:cs="Times New Roman"/>
        </w:rPr>
      </w:pPr>
    </w:p>
    <w:p w:rsidR="001F4DBC" w:rsidRDefault="001F4DBC">
      <w:pPr>
        <w:ind w:firstLine="709"/>
        <w:rPr>
          <w:rFonts w:ascii="Times New Roman" w:hAnsi="Times New Roman" w:cs="Times New Roman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4DBC" w:rsidRDefault="001101FE">
      <w:pPr>
        <w:ind w:firstLine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>
        <w:rPr>
          <w:rFonts w:ascii="Times New Roman" w:hAnsi="Times New Roman" w:cs="Times New Roman"/>
          <w:b/>
          <w:bCs/>
          <w:sz w:val="50"/>
          <w:szCs w:val="50"/>
        </w:rPr>
        <w:t>Evaluarea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</w:rPr>
        <w:t xml:space="preserve"> RI </w:t>
      </w:r>
      <w:proofErr w:type="spellStart"/>
      <w:r>
        <w:rPr>
          <w:rFonts w:ascii="Times New Roman" w:hAnsi="Times New Roman" w:cs="Times New Roman"/>
          <w:b/>
          <w:bCs/>
          <w:sz w:val="50"/>
          <w:szCs w:val="50"/>
        </w:rPr>
        <w:t>după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</w:rPr>
        <w:t xml:space="preserve"> ROSI a </w:t>
      </w:r>
    </w:p>
    <w:p w:rsidR="001F4DBC" w:rsidRDefault="001101FE">
      <w:pPr>
        <w:ind w:firstLine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>
        <w:rPr>
          <w:rFonts w:ascii="Times New Roman" w:hAnsi="Times New Roman" w:cs="Times New Roman"/>
          <w:b/>
          <w:bCs/>
          <w:sz w:val="50"/>
          <w:szCs w:val="50"/>
        </w:rPr>
        <w:t>Universitatii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</w:rPr>
        <w:t xml:space="preserve"> Oxford</w:t>
      </w: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1F4DBC" w:rsidRDefault="001F4DBC">
      <w:pPr>
        <w:rPr>
          <w:rFonts w:ascii="Times New Roman" w:hAnsi="Times New Roman" w:cs="Times New Roman"/>
          <w:sz w:val="40"/>
          <w:szCs w:val="40"/>
        </w:rPr>
      </w:pPr>
    </w:p>
    <w:p w:rsidR="001F4DBC" w:rsidRDefault="001F4DBC">
      <w:pPr>
        <w:rPr>
          <w:rFonts w:ascii="Times New Roman" w:hAnsi="Times New Roman" w:cs="Times New Roman"/>
          <w:sz w:val="40"/>
          <w:szCs w:val="40"/>
        </w:rPr>
      </w:pPr>
    </w:p>
    <w:p w:rsidR="001F4DBC" w:rsidRDefault="001F4DBC">
      <w:pPr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9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6900"/>
      </w:tblGrid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1.0</w:t>
            </w:r>
          </w:p>
        </w:tc>
      </w:tr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 of version: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 w:rsidP="00261D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714D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30.03.2024</w:t>
            </w:r>
          </w:p>
        </w:tc>
      </w:tr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Created by: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 w:rsidP="00261D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1DCD" w:rsidRDefault="00261DCD" w:rsidP="00261DC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 Vladislav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</w:tr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Approved by: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 w:rsidP="00261D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Rodica</w:t>
            </w:r>
            <w:proofErr w:type="spellEnd"/>
          </w:p>
        </w:tc>
      </w:tr>
      <w:tr w:rsidR="001F4DBC">
        <w:trPr>
          <w:trHeight w:val="454"/>
        </w:trPr>
        <w:tc>
          <w:tcPr>
            <w:tcW w:w="2370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Confidentiality level: 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shd w:val="clear" w:color="FFFFFF" w:fill="FFFFFF"/>
          </w:tcPr>
          <w:p w:rsidR="001F4DBC" w:rsidRDefault="001101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F4DBC" w:rsidRDefault="001F4DBC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963377385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F4DBC" w:rsidRDefault="001101FE">
          <w:pPr>
            <w:pStyle w:val="24"/>
            <w:tabs>
              <w:tab w:val="left" w:pos="941"/>
              <w:tab w:val="right" w:leader="dot" w:pos="9355"/>
            </w:tabs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>
            <w:rPr>
              <w:rFonts w:ascii="Times New Roman" w:hAnsi="Times New Roman" w:cs="Times New Roman"/>
              <w:sz w:val="40"/>
              <w:szCs w:val="40"/>
            </w:rPr>
            <w:instrText xml:space="preserve">TOC \o "1-9" \h </w:instrText>
          </w:r>
          <w:r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:rsidR="001F4DBC" w:rsidRDefault="00C065A9">
          <w:pPr>
            <w:pStyle w:val="24"/>
            <w:tabs>
              <w:tab w:val="left" w:pos="941"/>
              <w:tab w:val="right" w:leader="dot" w:pos="9355"/>
            </w:tabs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hyperlink w:anchor="_Toc1" w:tooltip="#_Toc1" w:history="1">
            <w:r w:rsidR="001101FE">
              <w:rPr>
                <w:rFonts w:ascii="Times New Roman" w:eastAsia="Arial" w:hAnsi="Times New Roman" w:cs="Times New Roman"/>
                <w:sz w:val="30"/>
                <w:szCs w:val="30"/>
              </w:rPr>
              <w:t>1.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>Definitia Return on Investment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_Toc1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C065A9">
          <w:pPr>
            <w:pStyle w:val="24"/>
            <w:tabs>
              <w:tab w:val="left" w:pos="941"/>
              <w:tab w:val="right" w:leader="dot" w:pos="9355"/>
            </w:tabs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hyperlink w:anchor="_Toc2" w:tooltip="#_Toc2" w:history="1"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2. </w:t>
            </w:r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ab/>
              <w:t>Return On Security Investment (ROSI)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_Toc2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C065A9">
          <w:pPr>
            <w:pStyle w:val="24"/>
            <w:tabs>
              <w:tab w:val="left" w:pos="941"/>
              <w:tab w:val="right" w:leader="dot" w:pos="9355"/>
            </w:tabs>
            <w:rPr>
              <w:rStyle w:val="20"/>
              <w:rFonts w:ascii="Times New Roman" w:hAnsi="Times New Roman" w:cs="Times New Roman"/>
              <w:b/>
              <w:bCs/>
              <w:sz w:val="30"/>
              <w:szCs w:val="30"/>
            </w:rPr>
          </w:pPr>
          <w:hyperlink w:anchor="_Toc3" w:tooltip="#_Toc3" w:history="1"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ab/>
              <w:t xml:space="preserve">Calcularea ROSI 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_Toc3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C065A9">
          <w:pPr>
            <w:pStyle w:val="52"/>
            <w:tabs>
              <w:tab w:val="left" w:pos="1792"/>
              <w:tab w:val="right" w:leader="dot" w:pos="9355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4" w:tooltip="#_Toc4" w:history="1">
            <w:r w:rsidR="001101FE">
              <w:rPr>
                <w:rStyle w:val="af"/>
                <w:rFonts w:ascii="Times New Roman" w:hAnsi="Times New Roman" w:cs="Times New Roman"/>
                <w:sz w:val="30"/>
                <w:szCs w:val="30"/>
              </w:rPr>
              <w:t xml:space="preserve">3.1. </w:t>
            </w:r>
            <w:r w:rsidR="001101FE">
              <w:rPr>
                <w:rStyle w:val="af"/>
                <w:rFonts w:ascii="Times New Roman" w:hAnsi="Times New Roman" w:cs="Times New Roman"/>
                <w:sz w:val="30"/>
                <w:szCs w:val="30"/>
              </w:rPr>
              <w:tab/>
              <w:t xml:space="preserve">Calcul conform Advisera 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_Toc4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C065A9">
          <w:pPr>
            <w:pStyle w:val="52"/>
            <w:tabs>
              <w:tab w:val="left" w:pos="1792"/>
              <w:tab w:val="right" w:leader="dot" w:pos="9355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5" w:tooltip="#_Toc5" w:history="1">
            <w:r w:rsidR="001101FE">
              <w:rPr>
                <w:rStyle w:val="af"/>
                <w:rFonts w:ascii="Times New Roman" w:hAnsi="Times New Roman" w:cs="Times New Roman"/>
                <w:sz w:val="30"/>
                <w:szCs w:val="30"/>
              </w:rPr>
              <w:tab/>
              <w:t>3.2. Calcul conform ENISA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_Toc5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C065A9">
          <w:pPr>
            <w:pStyle w:val="24"/>
            <w:tabs>
              <w:tab w:val="right" w:leader="dot" w:pos="9355"/>
            </w:tabs>
            <w:rPr>
              <w:rFonts w:ascii="Times New Roman" w:hAnsi="Times New Roman" w:cs="Times New Roman"/>
              <w:b/>
              <w:sz w:val="30"/>
              <w:szCs w:val="30"/>
            </w:rPr>
          </w:pPr>
          <w:hyperlink w:anchor="_Toc6" w:tooltip="#_Toc6" w:history="1">
            <w:r w:rsidR="001101FE">
              <w:rPr>
                <w:rStyle w:val="af"/>
                <w:rFonts w:ascii="Times New Roman" w:hAnsi="Times New Roman" w:cs="Times New Roman"/>
                <w:b/>
                <w:bCs/>
                <w:sz w:val="30"/>
                <w:szCs w:val="30"/>
              </w:rPr>
              <w:t>Concluzie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begin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instrText>PAGEREF _Toc6 \h</w:instrTex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separate"/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="001101FE">
              <w:rPr>
                <w:rFonts w:ascii="Times New Roman" w:hAnsi="Times New Roman" w:cs="Times New Roman"/>
                <w:sz w:val="30"/>
                <w:szCs w:val="30"/>
              </w:rPr>
              <w:fldChar w:fldCharType="end"/>
            </w:r>
          </w:hyperlink>
        </w:p>
        <w:p w:rsidR="001F4DBC" w:rsidRDefault="001101FE">
          <w:pPr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fldChar w:fldCharType="end"/>
          </w:r>
        </w:p>
      </w:sdtContent>
    </w:sdt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F4DBC">
      <w:pPr>
        <w:rPr>
          <w:rFonts w:ascii="Times New Roman" w:hAnsi="Times New Roman" w:cs="Times New Roman"/>
        </w:rPr>
      </w:pPr>
    </w:p>
    <w:p w:rsidR="001F4DBC" w:rsidRDefault="001101FE">
      <w:pPr>
        <w:pStyle w:val="2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Definitia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Return on Investment</w:t>
      </w:r>
      <w:bookmarkEnd w:id="1"/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on Investment (ROI)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investită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4DBC" w:rsidRDefault="001101FE">
      <w:pPr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ROI =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obținut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investită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x 100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1.000 de lei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1.500 de lei,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fi:</w:t>
      </w:r>
    </w:p>
    <w:p w:rsidR="001F4DBC" w:rsidRDefault="001101FE">
      <w:pPr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ROI = (1.500 lei / 1.000 lei) x 100 = 150%</w:t>
      </w:r>
    </w:p>
    <w:p w:rsidR="001F4DBC" w:rsidRDefault="001101FE">
      <w:pPr>
        <w:tabs>
          <w:tab w:val="left" w:pos="5516"/>
        </w:tabs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indicator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ii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ROI-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întreținere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F4DB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4DBC" w:rsidRDefault="001101FE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2"/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Return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On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Security Investment (ROSI)</w:t>
      </w:r>
      <w:bookmarkEnd w:id="2"/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On Security Investment (ROSI)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eficienței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ROSI,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4DBC" w:rsidRDefault="001101FE">
      <w:pPr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ROSI =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beneficiu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costuri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x 100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înlocuiri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include,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achiziție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întreținere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ROSI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amenințărilor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important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rețineți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ROSI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potențial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F4DB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4DBC" w:rsidRDefault="001101FE">
      <w:pPr>
        <w:pStyle w:val="2"/>
        <w:rPr>
          <w:rStyle w:val="20"/>
          <w:rFonts w:ascii="Times New Roman" w:hAnsi="Times New Roman" w:cs="Times New Roman"/>
          <w:b/>
          <w:bCs/>
          <w:sz w:val="40"/>
          <w:szCs w:val="40"/>
        </w:rPr>
      </w:pPr>
      <w:bookmarkStart w:id="3" w:name="_Toc3"/>
      <w:r>
        <w:rPr>
          <w:rStyle w:val="20"/>
          <w:rFonts w:ascii="Times New Roman" w:hAnsi="Times New Roman" w:cs="Times New Roman"/>
          <w:b/>
          <w:bCs/>
        </w:rPr>
        <w:lastRenderedPageBreak/>
        <w:t xml:space="preserve">3. </w:t>
      </w:r>
      <w:r>
        <w:rPr>
          <w:rStyle w:val="20"/>
          <w:rFonts w:ascii="Times New Roman" w:hAnsi="Times New Roman" w:cs="Times New Roman"/>
          <w:b/>
          <w:bCs/>
        </w:rPr>
        <w:tab/>
      </w:r>
      <w:proofErr w:type="spellStart"/>
      <w:r>
        <w:rPr>
          <w:rStyle w:val="20"/>
          <w:rFonts w:ascii="Times New Roman" w:hAnsi="Times New Roman" w:cs="Times New Roman"/>
          <w:b/>
          <w:bCs/>
          <w:sz w:val="40"/>
          <w:szCs w:val="40"/>
        </w:rPr>
        <w:t>Calcularea</w:t>
      </w:r>
      <w:proofErr w:type="spellEnd"/>
      <w:r>
        <w:rPr>
          <w:rStyle w:val="20"/>
          <w:rFonts w:ascii="Times New Roman" w:hAnsi="Times New Roman" w:cs="Times New Roman"/>
          <w:b/>
          <w:bCs/>
          <w:sz w:val="40"/>
          <w:szCs w:val="40"/>
        </w:rPr>
        <w:t xml:space="preserve"> ROSI </w:t>
      </w:r>
      <w:bookmarkEnd w:id="3"/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aproximarea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apropiată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 ROSI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Oxford.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4DBC" w:rsidRDefault="001101FE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DBC" w:rsidRDefault="001101FE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ENISA. </w:t>
      </w:r>
    </w:p>
    <w:p w:rsidR="001F4DBC" w:rsidRDefault="001101FE">
      <w:pPr>
        <w:pStyle w:val="5"/>
        <w:ind w:firstLine="708"/>
        <w:rPr>
          <w:rFonts w:ascii="Times New Roman" w:hAnsi="Times New Roman" w:cs="Times New Roman"/>
          <w:sz w:val="30"/>
          <w:szCs w:val="30"/>
        </w:rPr>
      </w:pPr>
      <w:bookmarkStart w:id="4" w:name="_Toc4"/>
      <w:r>
        <w:rPr>
          <w:rFonts w:ascii="Times New Roman" w:hAnsi="Times New Roman" w:cs="Times New Roman"/>
        </w:rPr>
        <w:t xml:space="preserve">3.1.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Calcul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Advisera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bookmarkEnd w:id="4"/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Free Return on Security Investment Calculator. </w:t>
      </w:r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luând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măsurilor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arscădea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atenuări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câștigul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scăderea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controale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incident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malițios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neautorizat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101FE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74930" cy="4713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23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974930" cy="47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BC" w:rsidRDefault="001101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ROSI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- 16.99%</w:t>
      </w:r>
    </w:p>
    <w:p w:rsidR="001F4DBC" w:rsidRDefault="001101FE">
      <w:pPr>
        <w:pStyle w:val="5"/>
        <w:rPr>
          <w:rFonts w:ascii="Times New Roman" w:hAnsi="Times New Roman" w:cs="Times New Roman"/>
          <w:sz w:val="30"/>
          <w:szCs w:val="30"/>
        </w:rPr>
      </w:pPr>
      <w:bookmarkStart w:id="5" w:name="_Toc5"/>
      <w:r>
        <w:rPr>
          <w:rFonts w:ascii="Times New Roman" w:hAnsi="Times New Roman" w:cs="Times New Roman"/>
          <w:sz w:val="30"/>
          <w:szCs w:val="30"/>
        </w:rPr>
        <w:tab/>
        <w:t xml:space="preserve">3.2. </w:t>
      </w:r>
      <w:proofErr w:type="spellStart"/>
      <w:r>
        <w:rPr>
          <w:rFonts w:ascii="Times New Roman" w:hAnsi="Times New Roman" w:cs="Times New Roman"/>
          <w:sz w:val="30"/>
          <w:szCs w:val="30"/>
        </w:rPr>
        <w:t>Calcul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conform ENISA</w:t>
      </w:r>
      <w:bookmarkEnd w:id="5"/>
    </w:p>
    <w:p w:rsidR="001F4DBC" w:rsidRDefault="0011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Oxford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antivirus –Sophos Endpoint/ </w:t>
      </w:r>
      <w:proofErr w:type="spellStart"/>
      <w:r>
        <w:rPr>
          <w:rFonts w:ascii="Times New Roman" w:hAnsi="Times New Roman" w:cs="Times New Roman"/>
          <w:sz w:val="24"/>
          <w:szCs w:val="24"/>
        </w:rPr>
        <w:t>Anual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ARO </w:t>
      </w:r>
      <w:r>
        <w:rPr>
          <w:rFonts w:ascii="Times New Roman" w:hAnsi="Times New Roman" w:cs="Times New Roman"/>
          <w:sz w:val="24"/>
          <w:szCs w:val="24"/>
        </w:rPr>
        <w:t xml:space="preserve">= 3). RSI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incident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costa </w:t>
      </w:r>
      <w:proofErr w:type="gramStart"/>
      <w:r>
        <w:rPr>
          <w:rFonts w:ascii="Times New Roman" w:hAnsi="Times New Roman" w:cs="Times New Roman"/>
          <w:sz w:val="24"/>
          <w:szCs w:val="24"/>
        </w:rPr>
        <w:t>1000  lire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SLE =</w:t>
      </w:r>
      <w:r>
        <w:rPr>
          <w:rFonts w:ascii="Times New Roman" w:hAnsi="Times New Roman" w:cs="Times New Roman"/>
          <w:sz w:val="24"/>
          <w:szCs w:val="24"/>
        </w:rPr>
        <w:t xml:space="preserve"> 1000).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mitigation ration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90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lire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BC" w:rsidRDefault="001F4DBC">
      <w:pPr>
        <w:rPr>
          <w:rFonts w:ascii="Times New Roman" w:hAnsi="Times New Roman" w:cs="Times New Roman"/>
          <w:sz w:val="24"/>
          <w:szCs w:val="24"/>
        </w:rPr>
      </w:pPr>
    </w:p>
    <w:p w:rsidR="001F4DBC" w:rsidRDefault="001101F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formula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4DBC" w:rsidRDefault="001101FE">
      <w:pPr>
        <w:ind w:firstLine="708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ROSI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3  1000</m:t>
                </m:r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>* 0.9 - 25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25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* 100%= 107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%</w:t>
      </w:r>
    </w:p>
    <w:p w:rsidR="001F4DBC" w:rsidRDefault="001101FE">
      <w:pPr>
        <w:ind w:firstLine="708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ROSI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profitabilitatea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107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%)</w:t>
      </w:r>
    </w:p>
    <w:p w:rsidR="001F4DBC" w:rsidRDefault="001F4DBC">
      <w:pPr>
        <w:rPr>
          <w:rFonts w:ascii="Times New Roman" w:hAnsi="Times New Roman" w:cs="Times New Roman"/>
          <w:bCs/>
          <w:i/>
          <w:sz w:val="24"/>
          <w:szCs w:val="24"/>
        </w:rPr>
      </w:pPr>
    </w:p>
    <w:p w:rsidR="001F4DBC" w:rsidRDefault="001F4DBC">
      <w:pPr>
        <w:rPr>
          <w:rFonts w:ascii="Times New Roman" w:hAnsi="Times New Roman" w:cs="Times New Roman"/>
          <w:bCs/>
          <w:i/>
          <w:sz w:val="24"/>
          <w:szCs w:val="24"/>
        </w:rPr>
      </w:pPr>
    </w:p>
    <w:p w:rsidR="001F4DBC" w:rsidRDefault="001F4DBC">
      <w:pPr>
        <w:rPr>
          <w:rFonts w:ascii="Times New Roman" w:hAnsi="Times New Roman" w:cs="Times New Roman"/>
          <w:bCs/>
          <w:i/>
          <w:sz w:val="24"/>
          <w:szCs w:val="24"/>
        </w:rPr>
      </w:pPr>
    </w:p>
    <w:p w:rsidR="001F4DBC" w:rsidRDefault="001F4DBC">
      <w:pPr>
        <w:rPr>
          <w:rFonts w:ascii="Times New Roman" w:hAnsi="Times New Roman" w:cs="Times New Roman"/>
          <w:bCs/>
          <w:i/>
        </w:rPr>
      </w:pPr>
    </w:p>
    <w:p w:rsidR="001F4DBC" w:rsidRDefault="001101FE">
      <w:pPr>
        <w:pStyle w:val="2"/>
        <w:rPr>
          <w:rFonts w:ascii="Times New Roman" w:hAnsi="Times New Roman" w:cs="Times New Roman"/>
          <w:b/>
        </w:rPr>
      </w:pPr>
      <w:bookmarkStart w:id="6" w:name="_Toc6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Concluzie</w:t>
      </w:r>
      <w:bookmarkEnd w:id="6"/>
      <w:proofErr w:type="spellEnd"/>
    </w:p>
    <w:p w:rsidR="00261DCD" w:rsidRPr="00261DCD" w:rsidRDefault="00261DCD" w:rsidP="00261DC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1DCD">
        <w:rPr>
          <w:rFonts w:ascii="Times New Roman" w:hAnsi="Times New Roman" w:cs="Times New Roman"/>
          <w:sz w:val="24"/>
          <w:szCs w:val="24"/>
        </w:rPr>
        <w:t xml:space="preserve">Return on Security Investment (ROSI) </w:t>
      </w:r>
      <w:proofErr w:type="spellStart"/>
      <w:proofErr w:type="gramStart"/>
      <w:r w:rsidRPr="00261DC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61DCD">
        <w:rPr>
          <w:rFonts w:ascii="Times New Roman" w:hAnsi="Times New Roman" w:cs="Times New Roman"/>
          <w:sz w:val="24"/>
          <w:szCs w:val="24"/>
        </w:rPr>
        <w:t xml:space="preserve"> un indicator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investițiilor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organizații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beneficiilor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nete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investiției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. ROSI </w:t>
      </w:r>
      <w:proofErr w:type="spellStart"/>
      <w:proofErr w:type="gramStart"/>
      <w:r w:rsidRPr="00261DC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exprimat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procent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organizațiile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evalueze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investițiilor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>.</w:t>
      </w:r>
    </w:p>
    <w:p w:rsidR="00261DCD" w:rsidRPr="00261DCD" w:rsidRDefault="00261DCD" w:rsidP="00261DC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61DCD" w:rsidRPr="00261DCD" w:rsidRDefault="00261DCD" w:rsidP="00261DC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Advisera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ENISA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orientare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conformitatea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pot duce la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>.</w:t>
      </w:r>
    </w:p>
    <w:p w:rsidR="00261DCD" w:rsidRPr="00261DCD" w:rsidRDefault="00261DCD" w:rsidP="00261DC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4DBC" w:rsidRDefault="00261DCD" w:rsidP="00261DC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Oxford,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antivirusului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calculatoarele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1DCD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un ROSI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CD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261DCD">
        <w:rPr>
          <w:rFonts w:ascii="Times New Roman" w:hAnsi="Times New Roman" w:cs="Times New Roman"/>
          <w:sz w:val="24"/>
          <w:szCs w:val="24"/>
        </w:rPr>
        <w:t>.</w:t>
      </w:r>
    </w:p>
    <w:sectPr w:rsidR="001F4DBC">
      <w:headerReference w:type="default" r:id="rId9"/>
      <w:foot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5A9" w:rsidRDefault="00C065A9">
      <w:pPr>
        <w:spacing w:after="0" w:line="240" w:lineRule="auto"/>
      </w:pPr>
      <w:r>
        <w:separator/>
      </w:r>
    </w:p>
  </w:endnote>
  <w:endnote w:type="continuationSeparator" w:id="0">
    <w:p w:rsidR="00C065A9" w:rsidRDefault="00C0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DBC" w:rsidRDefault="001F4D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5A9" w:rsidRDefault="00C065A9">
      <w:pPr>
        <w:spacing w:after="0" w:line="240" w:lineRule="auto"/>
      </w:pPr>
      <w:r>
        <w:separator/>
      </w:r>
    </w:p>
  </w:footnote>
  <w:footnote w:type="continuationSeparator" w:id="0">
    <w:p w:rsidR="00C065A9" w:rsidRDefault="00C0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DBC" w:rsidRDefault="001F4DB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809"/>
    <w:multiLevelType w:val="hybridMultilevel"/>
    <w:tmpl w:val="C908C836"/>
    <w:lvl w:ilvl="0" w:tplc="516E4BC6">
      <w:start w:val="1"/>
      <w:numFmt w:val="decimal"/>
      <w:lvlText w:val="%1."/>
      <w:lvlJc w:val="left"/>
    </w:lvl>
    <w:lvl w:ilvl="1" w:tplc="52BEB288">
      <w:start w:val="1"/>
      <w:numFmt w:val="lowerLetter"/>
      <w:lvlText w:val="%2."/>
      <w:lvlJc w:val="left"/>
      <w:pPr>
        <w:ind w:left="1440" w:hanging="360"/>
      </w:pPr>
    </w:lvl>
    <w:lvl w:ilvl="2" w:tplc="93129F60">
      <w:start w:val="1"/>
      <w:numFmt w:val="lowerRoman"/>
      <w:lvlText w:val="%3."/>
      <w:lvlJc w:val="right"/>
      <w:pPr>
        <w:ind w:left="2160" w:hanging="180"/>
      </w:pPr>
    </w:lvl>
    <w:lvl w:ilvl="3" w:tplc="C986B0D8">
      <w:start w:val="1"/>
      <w:numFmt w:val="decimal"/>
      <w:lvlText w:val="%4."/>
      <w:lvlJc w:val="left"/>
      <w:pPr>
        <w:ind w:left="2880" w:hanging="360"/>
      </w:pPr>
    </w:lvl>
    <w:lvl w:ilvl="4" w:tplc="E63AC3D0">
      <w:start w:val="1"/>
      <w:numFmt w:val="lowerLetter"/>
      <w:lvlText w:val="%5."/>
      <w:lvlJc w:val="left"/>
      <w:pPr>
        <w:ind w:left="3600" w:hanging="360"/>
      </w:pPr>
    </w:lvl>
    <w:lvl w:ilvl="5" w:tplc="A43C371C">
      <w:start w:val="1"/>
      <w:numFmt w:val="lowerRoman"/>
      <w:lvlText w:val="%6."/>
      <w:lvlJc w:val="right"/>
      <w:pPr>
        <w:ind w:left="4320" w:hanging="180"/>
      </w:pPr>
    </w:lvl>
    <w:lvl w:ilvl="6" w:tplc="A6E655A8">
      <w:start w:val="1"/>
      <w:numFmt w:val="decimal"/>
      <w:lvlText w:val="%7."/>
      <w:lvlJc w:val="left"/>
      <w:pPr>
        <w:ind w:left="5040" w:hanging="360"/>
      </w:pPr>
    </w:lvl>
    <w:lvl w:ilvl="7" w:tplc="9A42859E">
      <w:start w:val="1"/>
      <w:numFmt w:val="lowerLetter"/>
      <w:lvlText w:val="%8."/>
      <w:lvlJc w:val="left"/>
      <w:pPr>
        <w:ind w:left="5760" w:hanging="360"/>
      </w:pPr>
    </w:lvl>
    <w:lvl w:ilvl="8" w:tplc="81B441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794B"/>
    <w:multiLevelType w:val="hybridMultilevel"/>
    <w:tmpl w:val="1060A576"/>
    <w:lvl w:ilvl="0" w:tplc="41269B9C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5C7A202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882535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F7ABDB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1FE77B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BF0097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FBC095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E64B5B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5DEAB9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BC"/>
    <w:rsid w:val="001101FE"/>
    <w:rsid w:val="001F4DBC"/>
    <w:rsid w:val="00261DCD"/>
    <w:rsid w:val="002C576A"/>
    <w:rsid w:val="00537FEC"/>
    <w:rsid w:val="00714D8E"/>
    <w:rsid w:val="00C0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4BF47-A06A-489A-80C2-A0D1AD7E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18EDF14-4CD8-4560-A3C2-9A74A74B34FC}"/>
      </w:docPartPr>
      <w:docPartBody>
        <w:p w:rsidR="004931F1" w:rsidRDefault="00CB7C0A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26" w:rsidRDefault="00F63C26">
      <w:r>
        <w:separator/>
      </w:r>
    </w:p>
  </w:endnote>
  <w:endnote w:type="continuationSeparator" w:id="0">
    <w:p w:rsidR="00F63C26" w:rsidRDefault="00F63C26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26" w:rsidRDefault="00F63C26">
      <w:r>
        <w:separator/>
      </w:r>
    </w:p>
  </w:footnote>
  <w:footnote w:type="continuationSeparator" w:id="0">
    <w:p w:rsidR="00F63C26" w:rsidRDefault="00F63C26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F1"/>
    <w:rsid w:val="004931F1"/>
    <w:rsid w:val="006C6E73"/>
    <w:rsid w:val="00CB7C0A"/>
    <w:rsid w:val="00F6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LucaV</dc:creator>
  <cp:lastModifiedBy>LucaV</cp:lastModifiedBy>
  <cp:revision>1</cp:revision>
  <dcterms:created xsi:type="dcterms:W3CDTF">2024-03-30T10:15:00Z</dcterms:created>
  <dcterms:modified xsi:type="dcterms:W3CDTF">2024-03-30T10:15:00Z</dcterms:modified>
</cp:coreProperties>
</file>