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DD28B7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>
        <w:rPr>
          <w:rFonts w:ascii="Cambria" w:hAnsi="Cambria" w:cs="Arial"/>
          <w:b/>
          <w:i/>
          <w:sz w:val="36"/>
          <w:szCs w:val="28"/>
        </w:rPr>
        <w:t>A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802530"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DD28B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Adrián García López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DD28B7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DD28B7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DD28B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DD28B7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DD28B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DD28B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DD28B7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DD28B7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DD28B7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7.9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8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0.5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852667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>26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85266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112</w:t>
            </w:r>
            <w:bookmarkStart w:id="0" w:name="_GoBack"/>
            <w:bookmarkEnd w:id="0"/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DD28B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DD28B7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D28B7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DD28B7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2667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28B7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42F4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6CBBC-1F47-4B53-9E2B-BFAE1B03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García</cp:lastModifiedBy>
  <cp:revision>17</cp:revision>
  <dcterms:created xsi:type="dcterms:W3CDTF">2018-02-28T16:45:00Z</dcterms:created>
  <dcterms:modified xsi:type="dcterms:W3CDTF">2020-04-23T02:38:00Z</dcterms:modified>
</cp:coreProperties>
</file>