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0F" w:rsidRPr="00D633DB" w:rsidRDefault="00B34C0F" w:rsidP="00B34C0F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:rsidR="00B34C0F" w:rsidRDefault="00B34C0F" w:rsidP="00B34C0F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B34C0F" w:rsidRPr="00D633DB" w:rsidTr="004F5F5D">
        <w:trPr>
          <w:cantSplit/>
          <w:trHeight w:val="250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García López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9/3/2020</w:t>
            </w:r>
          </w:p>
        </w:tc>
      </w:tr>
      <w:tr w:rsidR="00B34C0F" w:rsidRPr="00D633DB" w:rsidTr="004F5F5D">
        <w:trPr>
          <w:cantSplit/>
          <w:trHeight w:val="263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:rsidR="00B34C0F" w:rsidRPr="00D633DB" w:rsidRDefault="00D03E60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:rsidR="00B34C0F" w:rsidRPr="00D633DB" w:rsidRDefault="00D03E60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B34C0F" w:rsidRPr="00D633DB" w:rsidTr="004F5F5D">
        <w:trPr>
          <w:cantSplit/>
          <w:trHeight w:val="250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34C0F" w:rsidRPr="00D81CF4" w:rsidRDefault="00B34C0F" w:rsidP="004F5F5D">
            <w:pPr>
              <w:widowControl w:val="0"/>
              <w:rPr>
                <w:sz w:val="20"/>
              </w:rPr>
            </w:pPr>
            <w:r>
              <w:rPr>
                <w:sz w:val="20"/>
                <w:lang w:val="es-MX"/>
              </w:rPr>
              <w:t>C</w:t>
            </w:r>
            <w:r>
              <w:rPr>
                <w:sz w:val="20"/>
              </w:rPr>
              <w:t>++</w:t>
            </w:r>
          </w:p>
        </w:tc>
      </w:tr>
    </w:tbl>
    <w:p w:rsidR="00B34C0F" w:rsidRPr="00D633DB" w:rsidRDefault="00B34C0F" w:rsidP="00B34C0F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B34C0F" w:rsidRPr="00D03E60" w:rsidTr="004F5F5D">
        <w:tc>
          <w:tcPr>
            <w:tcW w:w="1261" w:type="dxa"/>
          </w:tcPr>
          <w:p w:rsidR="00B34C0F" w:rsidRPr="00D633DB" w:rsidRDefault="00B34C0F" w:rsidP="004F5F5D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:rsidR="00B34C0F" w:rsidRPr="00D633DB" w:rsidRDefault="00B34C0F" w:rsidP="004F5F5D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B34C0F" w:rsidRPr="00D03E60" w:rsidTr="004F5F5D">
        <w:tc>
          <w:tcPr>
            <w:tcW w:w="1261" w:type="dxa"/>
          </w:tcPr>
          <w:p w:rsidR="00B34C0F" w:rsidRPr="00D633DB" w:rsidRDefault="00B34C0F" w:rsidP="004F5F5D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:rsidR="00B34C0F" w:rsidRPr="00D633DB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:rsidR="00B34C0F" w:rsidRPr="00D633DB" w:rsidRDefault="00B34C0F" w:rsidP="00B34C0F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B34C0F" w:rsidRPr="00D633DB" w:rsidTr="004F5F5D">
        <w:tc>
          <w:tcPr>
            <w:tcW w:w="8217" w:type="dxa"/>
            <w:gridSpan w:val="2"/>
            <w:shd w:val="clear" w:color="auto" w:fill="D9D9D9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B34C0F" w:rsidTr="004F5F5D">
        <w:tc>
          <w:tcPr>
            <w:tcW w:w="1998" w:type="dxa"/>
          </w:tcPr>
          <w:p w:rsidR="00B34C0F" w:rsidRPr="00B34C0F" w:rsidRDefault="00B34C0F" w:rsidP="004F5F5D">
            <w:pPr>
              <w:widowControl w:val="0"/>
              <w:jc w:val="both"/>
              <w:rPr>
                <w:sz w:val="20"/>
              </w:rPr>
            </w:pPr>
            <w:r>
              <w:rPr>
                <w:sz w:val="20"/>
              </w:rPr>
              <w:t>Segmentation fault</w:t>
            </w:r>
          </w:p>
        </w:tc>
        <w:tc>
          <w:tcPr>
            <w:tcW w:w="6219" w:type="dxa"/>
          </w:tcPr>
          <w:p w:rsidR="00B34C0F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no haya fallos de segmentación al momento de utilizar estructuras de datos. Verificar que los índices en </w:t>
            </w:r>
            <w:proofErr w:type="spellStart"/>
            <w:r>
              <w:rPr>
                <w:lang w:val="es-MX"/>
              </w:rPr>
              <w:t>strings</w:t>
            </w:r>
            <w:proofErr w:type="spellEnd"/>
            <w:r>
              <w:rPr>
                <w:lang w:val="es-MX"/>
              </w:rPr>
              <w:t xml:space="preserve">, listas, vectores, etc.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 nombradas correctamente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las variables tengan nombres correctos y referentes a como fueron nombradas inicialmente. Evitar faltas de ortografía al momento de usar una </w:t>
            </w:r>
            <w:proofErr w:type="spellStart"/>
            <w:r>
              <w:rPr>
                <w:lang w:val="es-MX"/>
              </w:rPr>
              <w:t>varible</w:t>
            </w:r>
            <w:proofErr w:type="spellEnd"/>
            <w:r>
              <w:rPr>
                <w:lang w:val="es-MX"/>
              </w:rPr>
              <w:t xml:space="preserve">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Returns</w:t>
            </w:r>
            <w:proofErr w:type="spellEnd"/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cada función tenga un </w:t>
            </w: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(si lo necesita) del tipo previamente especificado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Tabulación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Código con espaciado de </w:t>
            </w:r>
            <w:proofErr w:type="spellStart"/>
            <w:r>
              <w:rPr>
                <w:lang w:val="es-MX"/>
              </w:rPr>
              <w:t>tab</w:t>
            </w:r>
            <w:proofErr w:type="spellEnd"/>
            <w:r>
              <w:rPr>
                <w:lang w:val="es-MX"/>
              </w:rPr>
              <w:t xml:space="preserve"> y no espacios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Código amigable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Utilizar código fácil de entender con variables nombradas de forma entendible y autodescriptiva. </w:t>
            </w:r>
          </w:p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Reducir número de variables</w:t>
            </w:r>
          </w:p>
        </w:tc>
        <w:tc>
          <w:tcPr>
            <w:tcW w:w="6219" w:type="dxa"/>
          </w:tcPr>
          <w:p w:rsidR="00B34C0F" w:rsidRPr="00B34C0F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</w:t>
            </w:r>
            <w:proofErr w:type="spellStart"/>
            <w:r>
              <w:rPr>
                <w:lang w:val="es-MX"/>
              </w:rPr>
              <w:t>getters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setters</w:t>
            </w:r>
            <w:proofErr w:type="spellEnd"/>
            <w:r>
              <w:rPr>
                <w:lang w:val="es-MX"/>
              </w:rPr>
              <w:t xml:space="preserve">, nombrar variables nuevas de la misma forma que fueron nombradas en su constructor.  Usar </w:t>
            </w:r>
            <w:proofErr w:type="spellStart"/>
            <w:r>
              <w:rPr>
                <w:lang w:val="es-MX"/>
              </w:rPr>
              <w:t>var</w:t>
            </w:r>
            <w:proofErr w:type="spellEnd"/>
            <w:r>
              <w:rPr>
                <w:lang w:val="es-MX"/>
              </w:rPr>
              <w:t>-&gt;</w:t>
            </w:r>
            <w:proofErr w:type="spellStart"/>
            <w:r>
              <w:rPr>
                <w:lang w:val="es-MX"/>
              </w:rPr>
              <w:t>this</w:t>
            </w:r>
            <w:proofErr w:type="spellEnd"/>
            <w:r>
              <w:rPr>
                <w:lang w:val="es-MX"/>
              </w:rPr>
              <w:t xml:space="preserve"> de esta manera se reduce el espacio y se facilita el entendimiento del código.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D03E60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Syntaxis</w:t>
            </w:r>
            <w:proofErr w:type="spellEnd"/>
          </w:p>
        </w:tc>
        <w:tc>
          <w:tcPr>
            <w:tcW w:w="6219" w:type="dxa"/>
          </w:tcPr>
          <w:p w:rsidR="00B34C0F" w:rsidRPr="00D03E60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los paréntesis, corchetes y llaves estén en pares y asegurarse de que cada estatuto tenga </w:t>
            </w:r>
            <w:proofErr w:type="gramStart"/>
            <w:r>
              <w:rPr>
                <w:lang w:val="es-MX"/>
              </w:rPr>
              <w:t xml:space="preserve">un </w:t>
            </w:r>
            <w:r w:rsidRPr="00B34C0F">
              <w:rPr>
                <w:lang w:val="es-MX"/>
              </w:rPr>
              <w:t>;</w:t>
            </w:r>
            <w:proofErr w:type="gramEnd"/>
            <w:r w:rsidR="00D248FB">
              <w:rPr>
                <w:lang w:val="es-MX"/>
              </w:rPr>
              <w:t xml:space="preserve"> Para reducir el número de errores, reducir el </w:t>
            </w:r>
            <w:proofErr w:type="spellStart"/>
            <w:r w:rsidR="00D248FB">
              <w:rPr>
                <w:lang w:val="es-MX"/>
              </w:rPr>
              <w:t>numero</w:t>
            </w:r>
            <w:proofErr w:type="spellEnd"/>
            <w:r w:rsidR="00D248FB">
              <w:rPr>
                <w:lang w:val="es-MX"/>
              </w:rPr>
              <w:t xml:space="preserve"> de paréntesis y llaves lo más posible.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D03E60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</w:tbl>
    <w:p w:rsidR="00B34C0F" w:rsidRPr="00B34C0F" w:rsidRDefault="00B34C0F" w:rsidP="00B34C0F">
      <w:pPr>
        <w:tabs>
          <w:tab w:val="left" w:pos="3420"/>
        </w:tabs>
        <w:rPr>
          <w:sz w:val="16"/>
          <w:szCs w:val="16"/>
          <w:lang w:val="es-MX"/>
        </w:rPr>
      </w:pPr>
      <w:r w:rsidRPr="00B34C0F">
        <w:rPr>
          <w:sz w:val="16"/>
          <w:szCs w:val="16"/>
          <w:lang w:val="es-MX"/>
        </w:rPr>
        <w:tab/>
      </w:r>
      <w:bookmarkStart w:id="0" w:name="_GoBack"/>
      <w:bookmarkEnd w:id="0"/>
    </w:p>
    <w:p w:rsidR="00424984" w:rsidRPr="00B34C0F" w:rsidRDefault="00D03E60">
      <w:pPr>
        <w:rPr>
          <w:lang w:val="es-MX"/>
        </w:rPr>
      </w:pPr>
    </w:p>
    <w:sectPr w:rsidR="00424984" w:rsidRPr="00B34C0F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0F"/>
    <w:rsid w:val="00243F24"/>
    <w:rsid w:val="002B4A02"/>
    <w:rsid w:val="002C3FA0"/>
    <w:rsid w:val="00B34C0F"/>
    <w:rsid w:val="00D03E60"/>
    <w:rsid w:val="00D248FB"/>
    <w:rsid w:val="00DF4874"/>
    <w:rsid w:val="00E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1B10"/>
  <w15:chartTrackingRefBased/>
  <w15:docId w15:val="{44DBB7C5-C8A4-4FB5-88A8-25161BAC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0F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B34C0F"/>
    <w:pPr>
      <w:spacing w:before="40" w:after="40"/>
      <w:ind w:left="180" w:hanging="180"/>
    </w:pPr>
  </w:style>
  <w:style w:type="paragraph" w:customStyle="1" w:styleId="ScriptTableHeader">
    <w:name w:val="ScriptTableHeader"/>
    <w:rsid w:val="00B34C0F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B34C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B34C0F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García</dc:creator>
  <cp:keywords/>
  <dc:description/>
  <cp:lastModifiedBy>Adrián García</cp:lastModifiedBy>
  <cp:revision>2</cp:revision>
  <dcterms:created xsi:type="dcterms:W3CDTF">2020-03-09T19:51:00Z</dcterms:created>
  <dcterms:modified xsi:type="dcterms:W3CDTF">2020-04-23T01:49:00Z</dcterms:modified>
</cp:coreProperties>
</file>