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jc w:val="center"/>
      </w:pPr>
      <w:r>
        <w:rPr>
          <w:rFonts w:ascii="Calibri" w:cs="Calibri" w:eastAsia="Calibri" w:hAnsi="Calibri"/>
          <w:b/>
          <w:bCs/>
          <w:color w:val="5B6870"/>
          <w:sz w:val="20"/>
          <w:szCs w:val="20"/>
        </w:rPr>
        <w:t xml:space="preserve">DUOC UC · ESCUELA DE INFORMÁTICA Y TELECOMUNICACIONES</w:t>
      </w:r>
    </w:p>
    <w:p>
      <w:pPr>
        <w:spacing w:after="120"/>
        <w:jc w:val="center"/>
      </w:pPr>
      <w:r>
        <w:rPr>
          <w:rFonts w:ascii="Calibri" w:cs="Calibri" w:eastAsia="Calibri" w:hAnsi="Calibri"/>
          <w:b/>
          <w:bCs/>
          <w:color w:val="0E2436"/>
          <w:sz w:val="72"/>
          <w:szCs w:val="72"/>
        </w:rPr>
        <w:t xml:space="preserve">VIGÍA HH</w:t>
      </w:r>
    </w:p>
    <w:p>
      <w:pPr>
        <w:spacing w:after="400"/>
        <w:jc w:val="center"/>
      </w:pPr>
      <w:r>
        <w:rPr>
          <w:rFonts w:ascii="Calibri" w:cs="Calibri" w:eastAsia="Calibri" w:hAnsi="Calibri"/>
          <w:color w:val="12857A"/>
          <w:sz w:val="28"/>
          <w:szCs w:val="28"/>
        </w:rPr>
        <w:t xml:space="preserve">Modelamiento de paradas mayores y optimización de horas hombre</w:t>
      </w:r>
    </w:p>
    <w:p>
      <w:pPr>
        <w:spacing w:after="1400"/>
        <w:jc w:val="center"/>
      </w:pPr>
      <w:r>
        <w:rPr>
          <w:rFonts w:ascii="Calibri" w:cs="Calibri" w:eastAsia="Calibri" w:hAnsi="Calibri"/>
          <w:i/>
          <w:iCs/>
          <w:color w:val="5B6870"/>
          <w:sz w:val="24"/>
          <w:szCs w:val="24"/>
        </w:rPr>
        <w:t xml:space="preserve">Informe técnico — Fase 1: Definición del Proyecto APT</w:t>
      </w:r>
    </w:p>
    <w:p>
      <w:pPr>
        <w:spacing w:after="100"/>
        <w:jc w:val="center"/>
      </w:pPr>
      <w:r>
        <w:rPr>
          <w:rFonts w:ascii="Calibri" w:cs="Calibri" w:eastAsia="Calibri" w:hAnsi="Calibri"/>
          <w:sz w:val="24"/>
          <w:szCs w:val="24"/>
        </w:rPr>
        <w:t xml:space="preserve">Asignatura: Capstone (APT122 – PTY4614)</w:t>
      </w:r>
    </w:p>
    <w:p>
      <w:pPr>
        <w:spacing w:after="100"/>
        <w:jc w:val="center"/>
      </w:pPr>
      <w:r>
        <w:rPr>
          <w:rFonts w:ascii="Calibri" w:cs="Calibri" w:eastAsia="Calibri" w:hAnsi="Calibri"/>
          <w:sz w:val="24"/>
          <w:szCs w:val="24"/>
        </w:rPr>
        <w:t xml:space="preserve">Docente guía: Ernesto Velázquez</w:t>
      </w:r>
    </w:p>
    <w:p>
      <w:pPr>
        <w:spacing w:after="100"/>
        <w:jc w:val="center"/>
      </w:pPr>
      <w:r>
        <w:rPr>
          <w:rFonts w:ascii="Calibri" w:cs="Calibri" w:eastAsia="Calibri" w:hAnsi="Calibri"/>
          <w:sz w:val="24"/>
          <w:szCs w:val="24"/>
        </w:rPr>
        <w:t xml:space="preserve">Integrantes: Adrián Nájera Prado · Andrés Gamboa · Rodrigo Llanquinado</w:t>
      </w:r>
    </w:p>
    <w:p>
      <w:pPr>
        <w:spacing w:after="100"/>
        <w:jc w:val="center"/>
      </w:pPr>
      <w:r>
        <w:rPr>
          <w:rFonts w:ascii="Calibri" w:cs="Calibri" w:eastAsia="Calibri" w:hAnsi="Calibri"/>
          <w:sz w:val="24"/>
          <w:szCs w:val="24"/>
        </w:rPr>
        <w:t xml:space="preserve">Carrera: Ingeniería en Informática · Grupo 9</w:t>
      </w:r>
    </w:p>
    <w:p>
      <w:pPr>
        <w:spacing w:after="0"/>
        <w:jc w:val="center"/>
      </w:pPr>
      <w:r>
        <w:rPr>
          <w:rFonts w:ascii="Calibri" w:cs="Calibri" w:eastAsia="Calibri" w:hAnsi="Calibri"/>
          <w:sz w:val="24"/>
          <w:szCs w:val="24"/>
        </w:rPr>
        <w:t xml:space="preserve">Segundo semestre 2026</w:t>
      </w:r>
    </w:p>
    <w:p>
      <w:r>
        <w:br w:type="page"/>
      </w:r>
    </w:p>
    <w:p>
      <w:pPr>
        <w:pStyle w:val="Heading1"/>
        <w:spacing w:after="200" w:before="360"/>
      </w:pPr>
      <w:r>
        <w:rPr>
          <w:rFonts w:ascii="Calibri" w:cs="Calibri" w:eastAsia="Calibri" w:hAnsi="Calibri"/>
          <w:b/>
          <w:bCs/>
          <w:color w:val="0E2436"/>
          <w:sz w:val="32"/>
          <w:szCs w:val="32"/>
        </w:rPr>
        <w:t xml:space="preserve">Índice</w:t>
      </w:r>
    </w:p>
    <w:p>
      <w:pPr>
        <w:tabs>
          <w:tab w:val="right" w:pos="8900" w:leader="dot"/>
        </w:tabs>
        <w:spacing w:after="160" w:line="276"/>
      </w:pPr>
      <w:r>
        <w:rPr>
          <w:rFonts w:ascii="Calibri" w:cs="Calibri" w:eastAsia="Calibri" w:hAnsi="Calibri"/>
          <w:sz w:val="24"/>
          <w:szCs w:val="24"/>
        </w:rPr>
        <w:t xml:space="preserve">Abstract (Español)</w:t>
      </w:r>
      <w:r>
        <w:rPr>
          <w:rFonts w:ascii="Calibri" w:cs="Calibri" w:eastAsia="Calibri" w:hAnsi="Calibri"/>
          <w:sz w:val="24"/>
          <w:szCs w:val="24"/>
        </w:rPr>
        <w:t xml:space="preserve">	3</w:t>
      </w:r>
    </w:p>
    <w:p>
      <w:pPr>
        <w:tabs>
          <w:tab w:val="right" w:pos="8900" w:leader="dot"/>
        </w:tabs>
        <w:spacing w:after="160" w:line="276"/>
      </w:pPr>
      <w:r>
        <w:rPr>
          <w:rFonts w:ascii="Calibri" w:cs="Calibri" w:eastAsia="Calibri" w:hAnsi="Calibri"/>
          <w:sz w:val="24"/>
          <w:szCs w:val="24"/>
        </w:rPr>
        <w:t xml:space="preserve">Abstract (English)</w:t>
      </w:r>
      <w:r>
        <w:rPr>
          <w:rFonts w:ascii="Calibri" w:cs="Calibri" w:eastAsia="Calibri" w:hAnsi="Calibri"/>
          <w:sz w:val="24"/>
          <w:szCs w:val="24"/>
        </w:rPr>
        <w:t xml:space="preserve">	3</w:t>
      </w:r>
    </w:p>
    <w:p>
      <w:pPr>
        <w:tabs>
          <w:tab w:val="right" w:pos="8900" w:leader="dot"/>
        </w:tabs>
        <w:spacing w:after="160" w:line="276"/>
      </w:pPr>
      <w:r>
        <w:rPr>
          <w:rFonts w:ascii="Calibri" w:cs="Calibri" w:eastAsia="Calibri" w:hAnsi="Calibri"/>
          <w:sz w:val="24"/>
          <w:szCs w:val="24"/>
        </w:rPr>
        <w:t xml:space="preserve">1. Descripción del Proyecto APT y su relevancia</w:t>
      </w:r>
      <w:r>
        <w:rPr>
          <w:rFonts w:ascii="Calibri" w:cs="Calibri" w:eastAsia="Calibri" w:hAnsi="Calibri"/>
          <w:sz w:val="24"/>
          <w:szCs w:val="24"/>
        </w:rPr>
        <w:t xml:space="preserve">	4</w:t>
      </w:r>
    </w:p>
    <w:p>
      <w:pPr>
        <w:tabs>
          <w:tab w:val="right" w:pos="8900" w:leader="dot"/>
        </w:tabs>
        <w:spacing w:after="160" w:line="276"/>
      </w:pPr>
      <w:r>
        <w:rPr>
          <w:rFonts w:ascii="Calibri" w:cs="Calibri" w:eastAsia="Calibri" w:hAnsi="Calibri"/>
          <w:sz w:val="24"/>
          <w:szCs w:val="24"/>
        </w:rPr>
        <w:t xml:space="preserve">      1.1 En qué consiste el proyecto</w:t>
      </w:r>
      <w:r>
        <w:rPr>
          <w:rFonts w:ascii="Calibri" w:cs="Calibri" w:eastAsia="Calibri" w:hAnsi="Calibri"/>
          <w:sz w:val="24"/>
          <w:szCs w:val="24"/>
        </w:rPr>
        <w:t xml:space="preserve">	4</w:t>
      </w:r>
    </w:p>
    <w:p>
      <w:pPr>
        <w:tabs>
          <w:tab w:val="right" w:pos="8900" w:leader="dot"/>
        </w:tabs>
        <w:spacing w:after="160" w:line="276"/>
      </w:pPr>
      <w:r>
        <w:rPr>
          <w:rFonts w:ascii="Calibri" w:cs="Calibri" w:eastAsia="Calibri" w:hAnsi="Calibri"/>
          <w:sz w:val="24"/>
          <w:szCs w:val="24"/>
        </w:rPr>
        <w:t xml:space="preserve">      1.2 Justificación de su relevancia</w:t>
      </w:r>
      <w:r>
        <w:rPr>
          <w:rFonts w:ascii="Calibri" w:cs="Calibri" w:eastAsia="Calibri" w:hAnsi="Calibri"/>
          <w:sz w:val="24"/>
          <w:szCs w:val="24"/>
        </w:rPr>
        <w:t xml:space="preserve">	4</w:t>
      </w:r>
    </w:p>
    <w:p>
      <w:pPr>
        <w:tabs>
          <w:tab w:val="right" w:pos="8900" w:leader="dot"/>
        </w:tabs>
        <w:spacing w:after="160" w:line="276"/>
      </w:pPr>
      <w:r>
        <w:rPr>
          <w:rFonts w:ascii="Calibri" w:cs="Calibri" w:eastAsia="Calibri" w:hAnsi="Calibri"/>
          <w:sz w:val="24"/>
          <w:szCs w:val="24"/>
        </w:rPr>
        <w:t xml:space="preserve">      1.3 Los tres tipos de límite del modelo</w:t>
      </w:r>
      <w:r>
        <w:rPr>
          <w:rFonts w:ascii="Calibri" w:cs="Calibri" w:eastAsia="Calibri" w:hAnsi="Calibri"/>
          <w:sz w:val="24"/>
          <w:szCs w:val="24"/>
        </w:rPr>
        <w:t xml:space="preserve">	4</w:t>
      </w:r>
    </w:p>
    <w:p>
      <w:pPr>
        <w:tabs>
          <w:tab w:val="right" w:pos="8900" w:leader="dot"/>
        </w:tabs>
        <w:spacing w:after="160" w:line="276"/>
      </w:pPr>
      <w:r>
        <w:rPr>
          <w:rFonts w:ascii="Calibri" w:cs="Calibri" w:eastAsia="Calibri" w:hAnsi="Calibri"/>
          <w:sz w:val="24"/>
          <w:szCs w:val="24"/>
        </w:rPr>
        <w:t xml:space="preserve">2. Relación con las competencias del perfil de egreso</w:t>
      </w:r>
      <w:r>
        <w:rPr>
          <w:rFonts w:ascii="Calibri" w:cs="Calibri" w:eastAsia="Calibri" w:hAnsi="Calibri"/>
          <w:sz w:val="24"/>
          <w:szCs w:val="24"/>
        </w:rPr>
        <w:t xml:space="preserve">	4</w:t>
      </w:r>
    </w:p>
    <w:p>
      <w:pPr>
        <w:tabs>
          <w:tab w:val="right" w:pos="8900" w:leader="dot"/>
        </w:tabs>
        <w:spacing w:after="160" w:line="276"/>
      </w:pPr>
      <w:r>
        <w:rPr>
          <w:rFonts w:ascii="Calibri" w:cs="Calibri" w:eastAsia="Calibri" w:hAnsi="Calibri"/>
          <w:sz w:val="24"/>
          <w:szCs w:val="24"/>
        </w:rPr>
        <w:t xml:space="preserve">3. Relación con los intereses profesionales del equipo</w:t>
      </w:r>
      <w:r>
        <w:rPr>
          <w:rFonts w:ascii="Calibri" w:cs="Calibri" w:eastAsia="Calibri" w:hAnsi="Calibri"/>
          <w:sz w:val="24"/>
          <w:szCs w:val="24"/>
        </w:rPr>
        <w:t xml:space="preserve">	5</w:t>
      </w:r>
    </w:p>
    <w:p>
      <w:pPr>
        <w:tabs>
          <w:tab w:val="right" w:pos="8900" w:leader="dot"/>
        </w:tabs>
        <w:spacing w:after="160" w:line="276"/>
      </w:pPr>
      <w:r>
        <w:rPr>
          <w:rFonts w:ascii="Calibri" w:cs="Calibri" w:eastAsia="Calibri" w:hAnsi="Calibri"/>
          <w:sz w:val="24"/>
          <w:szCs w:val="24"/>
        </w:rPr>
        <w:t xml:space="preserve">4. Factibilidad del proyecto dentro de la asignatura</w:t>
      </w:r>
      <w:r>
        <w:rPr>
          <w:rFonts w:ascii="Calibri" w:cs="Calibri" w:eastAsia="Calibri" w:hAnsi="Calibri"/>
          <w:sz w:val="24"/>
          <w:szCs w:val="24"/>
        </w:rPr>
        <w:t xml:space="preserve">	6</w:t>
      </w:r>
    </w:p>
    <w:p>
      <w:pPr>
        <w:tabs>
          <w:tab w:val="right" w:pos="8900" w:leader="dot"/>
        </w:tabs>
        <w:spacing w:after="160" w:line="276"/>
      </w:pPr>
      <w:r>
        <w:rPr>
          <w:rFonts w:ascii="Calibri" w:cs="Calibri" w:eastAsia="Calibri" w:hAnsi="Calibri"/>
          <w:sz w:val="24"/>
          <w:szCs w:val="24"/>
        </w:rPr>
        <w:t xml:space="preserve">      4.1 Factibilidad técnica</w:t>
      </w:r>
      <w:r>
        <w:rPr>
          <w:rFonts w:ascii="Calibri" w:cs="Calibri" w:eastAsia="Calibri" w:hAnsi="Calibri"/>
          <w:sz w:val="24"/>
          <w:szCs w:val="24"/>
        </w:rPr>
        <w:t xml:space="preserve">	6</w:t>
      </w:r>
    </w:p>
    <w:p>
      <w:pPr>
        <w:tabs>
          <w:tab w:val="right" w:pos="8900" w:leader="dot"/>
        </w:tabs>
        <w:spacing w:after="160" w:line="276"/>
      </w:pPr>
      <w:r>
        <w:rPr>
          <w:rFonts w:ascii="Calibri" w:cs="Calibri" w:eastAsia="Calibri" w:hAnsi="Calibri"/>
          <w:sz w:val="24"/>
          <w:szCs w:val="24"/>
        </w:rPr>
        <w:t xml:space="preserve">      4.2 Factibilidad de alcance</w:t>
      </w:r>
      <w:r>
        <w:rPr>
          <w:rFonts w:ascii="Calibri" w:cs="Calibri" w:eastAsia="Calibri" w:hAnsi="Calibri"/>
          <w:sz w:val="24"/>
          <w:szCs w:val="24"/>
        </w:rPr>
        <w:t xml:space="preserve">	6</w:t>
      </w:r>
    </w:p>
    <w:p>
      <w:pPr>
        <w:tabs>
          <w:tab w:val="right" w:pos="8900" w:leader="dot"/>
        </w:tabs>
        <w:spacing w:after="160" w:line="276"/>
      </w:pPr>
      <w:r>
        <w:rPr>
          <w:rFonts w:ascii="Calibri" w:cs="Calibri" w:eastAsia="Calibri" w:hAnsi="Calibri"/>
          <w:sz w:val="24"/>
          <w:szCs w:val="24"/>
        </w:rPr>
        <w:t xml:space="preserve">      4.3 Factibilidad de datos</w:t>
      </w:r>
      <w:r>
        <w:rPr>
          <w:rFonts w:ascii="Calibri" w:cs="Calibri" w:eastAsia="Calibri" w:hAnsi="Calibri"/>
          <w:sz w:val="24"/>
          <w:szCs w:val="24"/>
        </w:rPr>
        <w:t xml:space="preserve">	6</w:t>
      </w:r>
    </w:p>
    <w:p>
      <w:pPr>
        <w:tabs>
          <w:tab w:val="right" w:pos="8900" w:leader="dot"/>
        </w:tabs>
        <w:spacing w:after="160" w:line="276"/>
      </w:pPr>
      <w:r>
        <w:rPr>
          <w:rFonts w:ascii="Calibri" w:cs="Calibri" w:eastAsia="Calibri" w:hAnsi="Calibri"/>
          <w:sz w:val="24"/>
          <w:szCs w:val="24"/>
        </w:rPr>
        <w:t xml:space="preserve">      4.4 Factibilidad de tiempo y organización</w:t>
      </w:r>
      <w:r>
        <w:rPr>
          <w:rFonts w:ascii="Calibri" w:cs="Calibri" w:eastAsia="Calibri" w:hAnsi="Calibri"/>
          <w:sz w:val="24"/>
          <w:szCs w:val="24"/>
        </w:rPr>
        <w:t xml:space="preserve">	6</w:t>
      </w:r>
    </w:p>
    <w:p>
      <w:pPr>
        <w:tabs>
          <w:tab w:val="right" w:pos="8900" w:leader="dot"/>
        </w:tabs>
        <w:spacing w:after="160" w:line="276"/>
      </w:pPr>
      <w:r>
        <w:rPr>
          <w:rFonts w:ascii="Calibri" w:cs="Calibri" w:eastAsia="Calibri" w:hAnsi="Calibri"/>
          <w:sz w:val="24"/>
          <w:szCs w:val="24"/>
        </w:rPr>
        <w:t xml:space="preserve">Conclusiones individuales</w:t>
      </w:r>
      <w:r>
        <w:rPr>
          <w:rFonts w:ascii="Calibri" w:cs="Calibri" w:eastAsia="Calibri" w:hAnsi="Calibri"/>
          <w:sz w:val="24"/>
          <w:szCs w:val="24"/>
        </w:rPr>
        <w:t xml:space="preserve">	7</w:t>
      </w:r>
    </w:p>
    <w:p>
      <w:pPr>
        <w:tabs>
          <w:tab w:val="right" w:pos="8900" w:leader="dot"/>
        </w:tabs>
        <w:spacing w:after="160" w:line="276"/>
      </w:pPr>
      <w:r>
        <w:rPr>
          <w:rFonts w:ascii="Calibri" w:cs="Calibri" w:eastAsia="Calibri" w:hAnsi="Calibri"/>
          <w:sz w:val="24"/>
          <w:szCs w:val="24"/>
        </w:rPr>
        <w:t xml:space="preserve">Reflexión</w:t>
      </w:r>
      <w:r>
        <w:rPr>
          <w:rFonts w:ascii="Calibri" w:cs="Calibri" w:eastAsia="Calibri" w:hAnsi="Calibri"/>
          <w:sz w:val="24"/>
          <w:szCs w:val="24"/>
        </w:rPr>
        <w:t xml:space="preserve">	7</w:t>
      </w:r>
    </w:p>
    <w:p>
      <w:pPr>
        <w:tabs>
          <w:tab w:val="right" w:pos="8900" w:leader="dot"/>
        </w:tabs>
        <w:spacing w:after="160" w:line="276"/>
      </w:pPr>
      <w:r>
        <w:rPr>
          <w:rFonts w:ascii="Calibri" w:cs="Calibri" w:eastAsia="Calibri" w:hAnsi="Calibri"/>
          <w:sz w:val="24"/>
          <w:szCs w:val="24"/>
        </w:rPr>
        <w:t xml:space="preserve">Bibliografía</w:t>
      </w:r>
      <w:r>
        <w:rPr>
          <w:rFonts w:ascii="Calibri" w:cs="Calibri" w:eastAsia="Calibri" w:hAnsi="Calibri"/>
          <w:sz w:val="24"/>
          <w:szCs w:val="24"/>
        </w:rPr>
        <w:t xml:space="preserve">	8</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0E2436"/>
          <w:sz w:val="32"/>
          <w:szCs w:val="32"/>
        </w:rPr>
        <w:t xml:space="preserve">Abstract (Español)</w:t>
      </w:r>
    </w:p>
    <w:p>
      <w:pPr>
        <w:spacing w:after="120" w:line="276"/>
        <w:jc w:val="both"/>
      </w:pPr>
      <w:r>
        <w:rPr>
          <w:rFonts w:ascii="Calibri" w:cs="Calibri" w:eastAsia="Calibri" w:hAnsi="Calibri"/>
          <w:sz w:val="24"/>
          <w:szCs w:val="24"/>
        </w:rPr>
        <w:t xml:space="preserve">Las paradas mayores de planta son detenciones planificadas que permiten realizar mantenciones que no pueden ejecutarse mientras la planta opera. Durante estas detenciones la planta no produce, por lo que cada día de paro representa un costo elevado para la organización. En este contexto se debe coordinar una gran cantidad de trabajadores, turnos, horas hombre, costos y modalidades de contratación, tarea que actualmente se realiza de forma manual mediante planillas Excel.</w:t>
      </w:r>
    </w:p>
    <w:p>
      <w:pPr>
        <w:spacing w:after="120" w:line="276"/>
        <w:jc w:val="both"/>
      </w:pPr>
      <w:r>
        <w:rPr>
          <w:rFonts w:ascii="Calibri" w:cs="Calibri" w:eastAsia="Calibri" w:hAnsi="Calibri"/>
          <w:sz w:val="24"/>
          <w:szCs w:val="24"/>
        </w:rPr>
        <w:t xml:space="preserve">Vigía HH es una plataforma que modela las modalidades de jornada de una parada mayor, optimiza las horas hombre y genera alertas cuando una planificación puede superar un límite de jornada, plazo o alcance. Su principal aporte es incorporar el marco laboral chileno —jornada ordinaria, sistemas excepcionales 4×3 y 7×7, servicios transitorios bajo la Ley 20.123 y contrato por obra o faena—, aspecto que las plataformas internacionales de gestión de paradas no consideran.</w:t>
      </w:r>
    </w:p>
    <w:p>
      <w:pPr>
        <w:spacing w:after="240" w:line="276"/>
        <w:jc w:val="both"/>
      </w:pPr>
      <w:r>
        <w:rPr>
          <w:rFonts w:ascii="Calibri" w:cs="Calibri" w:eastAsia="Calibri" w:hAnsi="Calibri"/>
          <w:sz w:val="24"/>
          <w:szCs w:val="24"/>
        </w:rPr>
        <w:t xml:space="preserve">El proyecto se desarrolla bajo metodología en cascada y utiliza Python con OR-Tools para el motor de cálculo y optimización, pandas y pydantic para el procesamiento y validación de datos, FastAPI con SQLAlchemy y PostgreSQL para la capa de servicios y persistencia, React para la interfaz y Docker para el despliegue. El caso base corresponde a las paradas mayores de ENAP, planteando la solución de manera extensible a otras industrias como minería, celulosa y energía.</w:t>
      </w:r>
    </w:p>
    <w:p>
      <w:pPr>
        <w:pStyle w:val="Heading1"/>
        <w:spacing w:after="200" w:before="360"/>
      </w:pPr>
      <w:r>
        <w:rPr>
          <w:rFonts w:ascii="Calibri" w:cs="Calibri" w:eastAsia="Calibri" w:hAnsi="Calibri"/>
          <w:b/>
          <w:bCs/>
          <w:color w:val="0E2436"/>
          <w:sz w:val="32"/>
          <w:szCs w:val="32"/>
        </w:rPr>
        <w:t xml:space="preserve">Abstract (English)</w:t>
      </w:r>
    </w:p>
    <w:p>
      <w:pPr>
        <w:spacing w:after="120" w:line="276"/>
        <w:jc w:val="both"/>
      </w:pPr>
      <w:r>
        <w:rPr>
          <w:rFonts w:ascii="Calibri" w:cs="Calibri" w:eastAsia="Calibri" w:hAnsi="Calibri"/>
          <w:sz w:val="24"/>
          <w:szCs w:val="24"/>
        </w:rPr>
        <w:t xml:space="preserve">Major plant turnarounds are planned shutdowns that allow maintenance work which cannot be performed while the plant is operating. During these shutdowns the plant does not produce, so every day of downtime represents a significant cost for the organization. In this context, a large number of workers, shifts, man-hours, costs and contracting arrangements must be coordinated, a task currently performed manually through Excel spreadsheets.</w:t>
      </w:r>
    </w:p>
    <w:p>
      <w:pPr>
        <w:spacing w:after="120" w:line="276"/>
        <w:jc w:val="both"/>
      </w:pPr>
      <w:r>
        <w:rPr>
          <w:rFonts w:ascii="Calibri" w:cs="Calibri" w:eastAsia="Calibri" w:hAnsi="Calibri"/>
          <w:sz w:val="24"/>
          <w:szCs w:val="24"/>
        </w:rPr>
        <w:t xml:space="preserve">Vigía HH is a platform that models the working-time arrangements of a major turnaround, optimizes man-hours and raises alerts when a plan may exceed a working-time, contract-duration or scope limit. Its main contribution is the incorporation of the Chilean labour framework —ordinary working hours, exceptional 4×3 and 7×7 shift systems, temporary services under Law 20.123 and work-or-project contracts—, an aspect that international turnaround management platforms do not address.</w:t>
      </w:r>
    </w:p>
    <w:p>
      <w:pPr>
        <w:spacing w:after="240" w:line="276"/>
        <w:jc w:val="both"/>
      </w:pPr>
      <w:r>
        <w:rPr>
          <w:rFonts w:ascii="Calibri" w:cs="Calibri" w:eastAsia="Calibri" w:hAnsi="Calibri"/>
          <w:sz w:val="24"/>
          <w:szCs w:val="24"/>
        </w:rPr>
        <w:t xml:space="preserve">The project follows a waterfall methodology and uses Python with OR-Tools for the calculation and optimization engine, pandas and pydantic for data processing and validation, FastAPI with SQLAlchemy and PostgreSQL for the service and persistence layer, React for the user interface and Docker for deployment. The base case corresponds to ENAP major turnarounds, while the solution is designed to be extensible to other industries such as mining, pulp and energy.</w:t>
      </w:r>
    </w:p>
    <w:p>
      <w:r>
        <w:br w:type="page"/>
      </w:r>
    </w:p>
    <w:p>
      <w:pPr>
        <w:pStyle w:val="Heading1"/>
        <w:spacing w:after="200" w:before="360"/>
      </w:pPr>
      <w:r>
        <w:rPr>
          <w:rFonts w:ascii="Calibri" w:cs="Calibri" w:eastAsia="Calibri" w:hAnsi="Calibri"/>
          <w:b/>
          <w:bCs/>
          <w:color w:val="0E2436"/>
          <w:sz w:val="32"/>
          <w:szCs w:val="32"/>
        </w:rPr>
        <w:t xml:space="preserve">1. Descripción del Proyecto APT y su relevancia</w:t>
      </w:r>
    </w:p>
    <w:p>
      <w:pPr>
        <w:pStyle w:val="Heading2"/>
        <w:spacing w:after="120" w:before="240"/>
      </w:pPr>
      <w:r>
        <w:rPr>
          <w:rFonts w:ascii="Calibri" w:cs="Calibri" w:eastAsia="Calibri" w:hAnsi="Calibri"/>
          <w:b/>
          <w:bCs/>
          <w:color w:val="12857A"/>
          <w:sz w:val="26"/>
          <w:szCs w:val="26"/>
        </w:rPr>
        <w:t xml:space="preserve">1.1 En qué consiste el proyecto</w:t>
      </w:r>
    </w:p>
    <w:p>
      <w:pPr>
        <w:spacing w:after="120" w:line="276"/>
        <w:jc w:val="both"/>
      </w:pPr>
      <w:r>
        <w:rPr>
          <w:rFonts w:ascii="Calibri" w:cs="Calibri" w:eastAsia="Calibri" w:hAnsi="Calibri"/>
          <w:sz w:val="24"/>
          <w:szCs w:val="24"/>
        </w:rPr>
        <w:t>Vigía HH es una plataforma que apoya la planificación de una parada mayor de planta industrial. El sistema carga el alcance desde una exportación manual del ERP en formato CSV o XLSX y valida cada fila antes de procesarla; luego reparte las horas hombre entre las familias de equipos a intervenir, calcula la dotación de trabajadores y de supervisores necesarios, y verifica que la configuración de turnos propuesta cumpla con los límites aplicables. Se compone de un único backend consumido por dos clientes: una aplicación web de escritorio para el planificador y una aplicación móvil para el trabajador en terreno.</w:t>
      </w:r>
    </w:p>
    <w:p>
      <w:pPr>
        <w:spacing w:after="120" w:line="276"/>
        <w:jc w:val="both"/>
      </w:pPr>
      <w:r>
        <w:rPr>
          <w:rFonts w:ascii="Calibri" w:cs="Calibri" w:eastAsia="Calibri" w:hAnsi="Calibri"/>
          <w:sz w:val="24"/>
          <w:szCs w:val="24"/>
        </w:rPr>
        <w:t>Su comportamiento central es alertar: cuando una planificación supera un límite, el sistema lo informa antes de que la decisión se ejecute, clasificando cada configuración en tres estados —conforme, requiere revisión o no factible—. Cuando no existe una asignación factible, el sistema no relaja los límites legales: entrega el diagnóstico de las restricciones en conflicto y el ajuste mínimo necesario para volver a ser factible, ya sea más días, más dotación o menos horas hombre.</w:t>
      </w:r>
    </w:p>
    <w:p>
      <w:pPr>
        <w:pStyle w:val="Heading2"/>
        <w:spacing w:after="120" w:before="240"/>
      </w:pPr>
      <w:r>
        <w:rPr>
          <w:rFonts w:ascii="Calibri" w:cs="Calibri" w:eastAsia="Calibri" w:hAnsi="Calibri"/>
          <w:b/>
          <w:bCs/>
          <w:color w:val="12857A"/>
          <w:sz w:val="26"/>
          <w:szCs w:val="26"/>
        </w:rPr>
        <w:t xml:space="preserve">1.2 Justificación de su relevancia</w:t>
      </w:r>
    </w:p>
    <w:p>
      <w:pPr>
        <w:spacing w:after="120" w:line="276"/>
        <w:jc w:val="both"/>
      </w:pPr>
      <w:r>
        <w:rPr>
          <w:rFonts w:ascii="Calibri" w:cs="Calibri" w:eastAsia="Calibri" w:hAnsi="Calibri"/>
          <w:sz w:val="24"/>
          <w:szCs w:val="24"/>
        </w:rPr>
        <w:t xml:space="preserve">La relevancia del proyecto se sostiene en tres puntos concretos:</w:t>
      </w:r>
    </w:p>
    <w:p>
      <w:pPr>
        <w:pStyle w:val="ListParagraph"/>
        <w:numPr>
          <w:ilvl w:val="0"/>
          <w:numId w:val="2"/>
        </w:numPr>
        <w:spacing w:after="80" w:line="276"/>
        <w:jc w:val="both"/>
      </w:pPr>
      <w:r>
        <w:rPr>
          <w:rFonts w:ascii="Calibri" w:cs="Calibri" w:eastAsia="Calibri" w:hAnsi="Calibri"/>
          <w:sz w:val="24"/>
          <w:szCs w:val="24"/>
        </w:rPr>
        <w:t xml:space="preserve">Impacto económico. Mientras la planta está detenida no produce. Optimizar la dotación y reducir las horas hombre no efectivas —traslados, esperas por permisos, tiempos muertos por descoordinación— tiene un efecto directo sobre el costo de la parada.</w:t>
      </w:r>
    </w:p>
    <w:p>
      <w:pPr>
        <w:pStyle w:val="ListParagraph"/>
        <w:numPr>
          <w:ilvl w:val="0"/>
          <w:numId w:val="2"/>
        </w:numPr>
        <w:spacing w:after="80" w:line="276"/>
        <w:jc w:val="both"/>
      </w:pPr>
      <w:r>
        <w:rPr>
          <w:rFonts w:ascii="Calibri" w:cs="Calibri" w:eastAsia="Calibri" w:hAnsi="Calibri"/>
          <w:sz w:val="24"/>
          <w:szCs w:val="24"/>
        </w:rPr>
        <w:t xml:space="preserve">Riesgo de incumplimiento. Cada modalidad de contratación tiene un tipo de límite distinto y no se controla de la misma manera. Un error en la planificación puede derivar en incumplimientos laborales, con las consecuencias legales y de seguridad asociadas.</w:t>
      </w:r>
    </w:p>
    <w:p>
      <w:pPr>
        <w:pStyle w:val="ListParagraph"/>
        <w:numPr>
          <w:ilvl w:val="0"/>
          <w:numId w:val="2"/>
        </w:numPr>
        <w:spacing w:after="80" w:line="276"/>
        <w:jc w:val="both"/>
      </w:pPr>
      <w:r>
        <w:rPr>
          <w:rFonts w:ascii="Calibri" w:cs="Calibri" w:eastAsia="Calibri" w:hAnsi="Calibri"/>
          <w:sz w:val="24"/>
          <w:szCs w:val="24"/>
        </w:rPr>
        <w:t xml:space="preserve">Vacío en las herramientas existentes. Las plataformas de gestión de paradas utilizadas en la industria programan actividades y asignan recursos, pero no modelan la normativa laboral chilena. El proyecto se ubica sobre esa lógica y agrega la capa de cumplimiento que falta.</w:t>
      </w:r>
    </w:p>
    <w:p>
      <w:pPr>
        <w:pStyle w:val="Heading2"/>
        <w:spacing w:after="120" w:before="240"/>
      </w:pPr>
      <w:r>
        <w:rPr>
          <w:rFonts w:ascii="Calibri" w:cs="Calibri" w:eastAsia="Calibri" w:hAnsi="Calibri"/>
          <w:b/>
          <w:bCs/>
          <w:color w:val="12857A"/>
          <w:sz w:val="26"/>
          <w:szCs w:val="26"/>
        </w:rPr>
        <w:t xml:space="preserve">1.3 Los tres tipos de límite del modelo</w:t>
      </w:r>
    </w:p>
    <w:p>
      <w:pPr>
        <w:spacing w:after="120" w:line="276"/>
        <w:jc w:val="both"/>
      </w:pPr>
      <w:r>
        <w:rPr>
          <w:rFonts w:ascii="Calibri" w:cs="Calibri" w:eastAsia="Calibri" w:hAnsi="Calibri"/>
          <w:sz w:val="24"/>
          <w:szCs w:val="24"/>
        </w:rPr>
        <w:t xml:space="preserve">La clave conceptual del sistema es que no existe una única regla de validación. Cada modalidad se controla con el criterio que le corresponde: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00"/>
      </w:tblGrid>
      <w:tr>
        <w:tc>
          <w:tcPr>
            <w:tcW w:type="dxa" w:w="29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Modalidad</w:t>
            </w:r>
          </w:p>
        </w:tc>
        <w:tc>
          <w:tcPr>
            <w:tcW w:type="dxa" w:w="17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Tipo de límite</w:t>
            </w:r>
          </w:p>
        </w:tc>
        <w:tc>
          <w:tcPr>
            <w:tcW w:type="dxa" w:w="44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Qué se controla</w:t>
            </w:r>
          </w:p>
        </w:tc>
      </w:tr>
      <w:tr>
        <w:tc>
          <w:tcPr>
            <w:tcW w:type="dxa" w:w="2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Jornada ordinaria (40 horas)</w:t>
            </w:r>
          </w:p>
        </w:tc>
        <w:tc>
          <w:tcPr>
            <w:tcW w:type="dxa" w:w="1700"/>
            <w:tcMar>
              <w:top w:type="dxa" w:w="80"/>
              <w:left w:type="dxa" w:w="110"/>
              <w:bottom w:type="dxa" w:w="80"/>
              <w:right w:type="dxa" w:w="110"/>
            </w:tcMar>
          </w:tcPr>
          <w:p>
            <w:pPr>
              <w:spacing w:after="0"/>
              <w:jc w:val="left"/>
            </w:pPr>
            <w:r>
              <w:rPr>
                <w:rFonts w:ascii="Calibri" w:cs="Calibri" w:eastAsia="Calibri" w:hAnsi="Calibri"/>
                <w:b/>
                <w:bCs/>
                <w:sz w:val="21"/>
                <w:szCs w:val="21"/>
              </w:rPr>
              <w:t xml:space="preserve">Jornada</w:t>
            </w:r>
          </w:p>
        </w:tc>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Horas por día y por semana.</w:t>
            </w:r>
          </w:p>
        </w:tc>
      </w:tr>
      <w:tr>
        <w:tc>
          <w:tcPr>
            <w:tcW w:type="dxa" w:w="2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Sistemas excepcionales 4×3 y 7×7</w:t>
            </w:r>
          </w:p>
        </w:tc>
        <w:tc>
          <w:tcPr>
            <w:tcW w:type="dxa" w:w="1700"/>
            <w:tcMar>
              <w:top w:type="dxa" w:w="80"/>
              <w:left w:type="dxa" w:w="110"/>
              <w:bottom w:type="dxa" w:w="80"/>
              <w:right w:type="dxa" w:w="110"/>
            </w:tcMar>
          </w:tcPr>
          <w:p>
            <w:pPr>
              <w:spacing w:after="0"/>
              <w:jc w:val="left"/>
            </w:pPr>
            <w:r>
              <w:rPr>
                <w:rFonts w:ascii="Calibri" w:cs="Calibri" w:eastAsia="Calibri" w:hAnsi="Calibri"/>
                <w:b/>
                <w:bCs/>
                <w:sz w:val="21"/>
                <w:szCs w:val="21"/>
              </w:rPr>
              <w:t xml:space="preserve">Jornada</w:t>
            </w:r>
          </w:p>
        </w:tc>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Horas por día y días del ciclo; requiere autorización de la Dirección del Trabajo.</w:t>
            </w:r>
          </w:p>
        </w:tc>
      </w:tr>
      <w:tr>
        <w:tc>
          <w:tcPr>
            <w:tcW w:type="dxa" w:w="2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Servicios transitorios (Ley 20.123)</w:t>
            </w:r>
          </w:p>
        </w:tc>
        <w:tc>
          <w:tcPr>
            <w:tcW w:type="dxa" w:w="1700"/>
            <w:tcMar>
              <w:top w:type="dxa" w:w="80"/>
              <w:left w:type="dxa" w:w="110"/>
              <w:bottom w:type="dxa" w:w="80"/>
              <w:right w:type="dxa" w:w="110"/>
            </w:tcMar>
          </w:tcPr>
          <w:p>
            <w:pPr>
              <w:spacing w:after="0"/>
              <w:jc w:val="left"/>
            </w:pPr>
            <w:r>
              <w:rPr>
                <w:rFonts w:ascii="Calibri" w:cs="Calibri" w:eastAsia="Calibri" w:hAnsi="Calibri"/>
                <w:b/>
                <w:bCs/>
                <w:sz w:val="21"/>
                <w:szCs w:val="21"/>
              </w:rPr>
              <w:t xml:space="preserve">Plazo</w:t>
            </w:r>
          </w:p>
        </w:tc>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Duración máxima del contrato, sin renovación.</w:t>
            </w:r>
          </w:p>
        </w:tc>
      </w:tr>
      <w:tr>
        <w:tc>
          <w:tcPr>
            <w:tcW w:type="dxa" w:w="2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Contrato por obra o faena</w:t>
            </w:r>
          </w:p>
        </w:tc>
        <w:tc>
          <w:tcPr>
            <w:tcW w:type="dxa" w:w="1700"/>
            <w:tcMar>
              <w:top w:type="dxa" w:w="80"/>
              <w:left w:type="dxa" w:w="110"/>
              <w:bottom w:type="dxa" w:w="80"/>
              <w:right w:type="dxa" w:w="110"/>
            </w:tcMar>
          </w:tcPr>
          <w:p>
            <w:pPr>
              <w:spacing w:after="0"/>
              <w:jc w:val="left"/>
            </w:pPr>
            <w:r>
              <w:rPr>
                <w:rFonts w:ascii="Calibri" w:cs="Calibri" w:eastAsia="Calibri" w:hAnsi="Calibri"/>
                <w:b/>
                <w:bCs/>
                <w:sz w:val="21"/>
                <w:szCs w:val="21"/>
              </w:rPr>
              <w:t xml:space="preserve">Alcance</w:t>
            </w:r>
          </w:p>
        </w:tc>
        <w:tc>
          <w:tcPr>
            <w:tcW w:type="dxa" w:w="4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Vigencia asociada a la existencia de la obra.</w:t>
            </w:r>
          </w:p>
        </w:tc>
      </w:tr>
    </w:tbl>
    <w:p>
      <w:pPr>
        <w:spacing w:after="240" w:line="276"/>
        <w:jc w:val="both"/>
      </w:pPr>
      <w:r>
        <w:rPr>
          <w:rFonts w:ascii="Calibri" w:cs="Calibri" w:eastAsia="Calibri" w:hAnsi="Calibri"/>
          <w:b/>
          <w:bCs/>
          <w:sz w:val="20"/>
          <w:szCs w:val="20"/>
        </w:rPr>
        <w:t xml:space="preserve">Nota: </w:t>
      </w:r>
      <w:r>
        <w:rPr>
          <w:rFonts w:ascii="Calibri" w:cs="Calibri" w:eastAsia="Calibri" w:hAnsi="Calibri"/>
          <w:i/>
          <w:iCs/>
          <w:sz w:val="20"/>
          <w:szCs w:val="20"/>
        </w:rPr>
        <w:t xml:space="preserve">los valores normativos utilizados son referenciales y deben confirmarse con el líder técnico y con los convenios colectivos vigentes, que pueden ser más estrictos que la ley.</w:t>
      </w:r>
    </w:p>
    <w:p>
      <w:pPr>
        <w:pStyle w:val="Heading1"/>
        <w:spacing w:after="200" w:before="360"/>
      </w:pPr>
      <w:r>
        <w:rPr>
          <w:rFonts w:ascii="Calibri" w:cs="Calibri" w:eastAsia="Calibri" w:hAnsi="Calibri"/>
          <w:b/>
          <w:bCs/>
          <w:color w:val="0E2436"/>
          <w:sz w:val="32"/>
          <w:szCs w:val="32"/>
        </w:rPr>
        <w:t xml:space="preserve">2. Relación con las competencias del perfil de egreso</w:t>
      </w:r>
    </w:p>
    <w:p>
      <w:pPr>
        <w:spacing w:after="120" w:line="276"/>
        <w:jc w:val="both"/>
      </w:pPr>
      <w:r>
        <w:rPr>
          <w:rFonts w:ascii="Calibri" w:cs="Calibri" w:eastAsia="Calibri" w:hAnsi="Calibri"/>
          <w:sz w:val="24"/>
          <w:szCs w:val="24"/>
        </w:rPr>
        <w:t xml:space="preserve">El proyecto fue definido de manera que cada componente de la solución desarrolle competencias específicas del perfil de egreso de Ingeniería en Informática. La siguiente tabla presenta esa relación: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Competencia del perfil de egreso</w:t>
            </w:r>
          </w:p>
        </w:tc>
        <w:tc>
          <w:tcPr>
            <w:tcW w:type="dxa" w:w="54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Cómo se desarrolla en Vigía HH</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Construir modelos de datos para soportar los requerimientos de la organización, de acuerdo a un diseño definido y escalable.</w:t>
            </w:r>
          </w:p>
        </w:tc>
        <w:tc>
          <w:tcPr>
            <w:tcW w:type="dxa" w:w="5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Se diseña e implementa un modelo de datos relacional en PostgreSQL mediante SQLAlchemy, con las entidades trabajador, paquete de trabajo, estrategia de turno, escenario y resultado. Los parámetros normativos se almacenan versionados, de modo que un cambio legal quede trazado y no exija modificar el código. El diseño permite incorporar nuevas modalidades y nuevos clientes sin rehacer la estructura (indicadores 3.1 y 3.2).</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Desarrollar una solución de software utilizando técnicas que permitan sistematizar el proceso de desarrollo y mantenimiento.</w:t>
            </w:r>
          </w:p>
        </w:tc>
        <w:tc>
          <w:tcPr>
            <w:tcW w:type="dxa" w:w="5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La solución se construye con arquitectura por capas —ingesta, preparación, motor de reglas, comparación de escenarios, API e interfaz—, se integra mediante una API REST desarrollada con FastAPI y se implanta con Docker Compose, versionando todo el desarrollo en un repositorio Git (indicadores 4.1, 4.2 y 4.3).</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Realizar pruebas de certificación tanto de los productos como de los procesos, utilizando buenas prácticas de la industria.</w:t>
            </w:r>
          </w:p>
        </w:tc>
        <w:tc>
          <w:tcPr>
            <w:tcW w:type="dxa" w:w="5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Se diseña y aplica un plan de pruebas con pruebas unitarias sobre cada regla de validación, además de pruebas de integración, rendimiento y seguridad. El criterio de aceptación es que ninguna configuración que supere un límite quede sin ser detectada, y los resultados retroalimentan mejoras al motor (indicadores 1.1, 1.2 y 1.3).</w:t>
            </w:r>
          </w:p>
        </w:tc>
      </w:tr>
      <w:tr>
        <w:tc>
          <w:tcPr>
            <w:tcW w:type="dxa" w:w="3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Gestionar proyectos informáticos, ofreciendo alternativas para la toma de decisiones de acuerdo a los requerimientos de la organización.</w:t>
            </w:r>
          </w:p>
        </w:tc>
        <w:tc>
          <w:tcPr>
            <w:tcW w:type="dxa" w:w="54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El proyecto se planifica con metodología en cascada, carta Gantt y responsables asignados por tarea, con control de avance por fase. Además, el propio producto ofrece alternativas de decisión: compara escenarios de dotación y turnos en costo, cobertura y cumplimiento (indicadores 2.1 y 2.2).</w:t>
            </w:r>
          </w:p>
        </w:tc>
      </w:tr>
    </w:tbl>
    <w:p>
      <w:pPr>
        <w:spacing w:after="240" w:line="276"/>
        <w:jc w:val="both"/>
      </w:pPr>
      <w:r>
        <w:rPr>
          <w:rFonts w:ascii="Calibri" w:cs="Calibri" w:eastAsia="Calibri" w:hAnsi="Calibri"/>
          <w:sz w:val="24"/>
          <w:szCs w:val="24"/>
        </w:rPr>
        <w:t xml:space="preserve">De esta forma, el proyecto no ejercita una sola competencia de manera aislada, sino que integra las cuatro competencias disciplinares en un mismo producto, que es precisamente lo que se espera de un proyecto de título.</w:t>
      </w:r>
    </w:p>
    <w:p>
      <w:pPr>
        <w:pStyle w:val="Heading1"/>
        <w:spacing w:after="200" w:before="360"/>
      </w:pPr>
      <w:r>
        <w:rPr>
          <w:rFonts w:ascii="Calibri" w:cs="Calibri" w:eastAsia="Calibri" w:hAnsi="Calibri"/>
          <w:b/>
          <w:bCs/>
          <w:color w:val="0E2436"/>
          <w:sz w:val="32"/>
          <w:szCs w:val="32"/>
        </w:rPr>
        <w:t xml:space="preserve">3. Relación con los intereses profesionales del equipo</w:t>
      </w:r>
    </w:p>
    <w:p>
      <w:pPr>
        <w:spacing w:after="120" w:line="276"/>
        <w:jc w:val="both"/>
      </w:pPr>
      <w:r>
        <w:rPr>
          <w:rFonts w:ascii="Calibri" w:cs="Calibri" w:eastAsia="Calibri" w:hAnsi="Calibri"/>
          <w:sz w:val="24"/>
          <w:szCs w:val="24"/>
        </w:rPr>
        <w:t xml:space="preserve">La elección del proyecto responde a los intereses profesionales declarados por los integrantes y al camino que cada uno quiere seguir al egresar.</w:t>
      </w:r>
    </w:p>
    <w:p>
      <w:pPr>
        <w:pStyle w:val="Heading2"/>
        <w:spacing w:after="120" w:before="240"/>
      </w:pPr>
      <w:r>
        <w:rPr>
          <w:rFonts w:ascii="Calibri" w:cs="Calibri" w:eastAsia="Calibri" w:hAnsi="Calibri"/>
          <w:b/>
          <w:bCs/>
          <w:color w:val="12857A"/>
          <w:sz w:val="26"/>
          <w:szCs w:val="26"/>
        </w:rPr>
        <w:t xml:space="preserve">3.1 Adrián Nájera Prado</w:t>
      </w:r>
    </w:p>
    <w:p>
      <w:pPr>
        <w:spacing w:after="120" w:line="276"/>
        <w:jc w:val="both"/>
      </w:pPr>
      <w:r>
        <w:rPr>
          <w:rFonts w:ascii="Calibri" w:cs="Calibri" w:eastAsia="Calibri" w:hAnsi="Calibri"/>
          <w:sz w:val="24"/>
          <w:szCs w:val="24"/>
        </w:rPr>
        <w:t xml:space="preserve">Mis intereses profesionales se orientan al desarrollo de software con Python, al análisis de datos y a la ciberseguridad. Este proyecto los reúne: el motor de cálculo y optimización se construye íntegramente en Python, el tratamiento de las planillas de estimación corresponde a análisis de datos aplicado, y la protección de información sensible de trabajadores mediante control de acceso por rol conecta con la seguridad. Además, el proyecto nace de mi experiencia de práctica profesional, por lo que me permite profundizar en un dominio industrial que ya conozco y llevarlo a una solución de software completa.</w:t>
      </w:r>
    </w:p>
    <w:p>
      <w:pPr>
        <w:pStyle w:val="Heading2"/>
        <w:spacing w:after="120" w:before="240"/>
      </w:pPr>
      <w:r>
        <w:rPr>
          <w:rFonts w:ascii="Calibri" w:cs="Calibri" w:eastAsia="Calibri" w:hAnsi="Calibri"/>
          <w:b/>
          <w:bCs/>
          <w:color w:val="12857A"/>
          <w:sz w:val="26"/>
          <w:szCs w:val="26"/>
        </w:rPr>
        <w:t xml:space="preserve">3.2 Andrés Gamboa</w:t>
      </w:r>
    </w:p>
    <w:p>
      <w:pPr>
        <w:spacing w:after="120" w:line="276"/>
        <w:jc w:val="both"/>
      </w:pPr>
      <w:r>
        <w:rPr>
          <w:rFonts w:ascii="Calibri" w:cs="Calibri" w:eastAsia="Calibri" w:hAnsi="Calibri"/>
          <w:sz w:val="24"/>
          <w:szCs w:val="24"/>
        </w:rPr>
        <w:t xml:space="preserve">Su interés se orienta al tratamiento y normalización de datos. En el proyecto asume la capa de ingesta, donde debe leer planillas reales, limpiar inconsistencias y transformar la información en estructuras que el motor pueda procesar de manera confiable, utilizando pandas y pydantic.</w:t>
      </w:r>
    </w:p>
    <w:p>
      <w:pPr>
        <w:pStyle w:val="Heading2"/>
        <w:spacing w:after="120" w:before="240"/>
      </w:pPr>
      <w:r>
        <w:rPr>
          <w:rFonts w:ascii="Calibri" w:cs="Calibri" w:eastAsia="Calibri" w:hAnsi="Calibri"/>
          <w:b/>
          <w:bCs/>
          <w:color w:val="12857A"/>
          <w:sz w:val="26"/>
          <w:szCs w:val="26"/>
        </w:rPr>
        <w:t xml:space="preserve">3.3 Rodrigo Llanquinado</w:t>
      </w:r>
    </w:p>
    <w:p>
      <w:pPr>
        <w:spacing w:after="240" w:line="276"/>
        <w:jc w:val="both"/>
      </w:pPr>
      <w:r>
        <w:rPr>
          <w:rFonts w:ascii="Calibri" w:cs="Calibri" w:eastAsia="Calibri" w:hAnsi="Calibri"/>
          <w:sz w:val="24"/>
          <w:szCs w:val="24"/>
        </w:rPr>
        <w:t>Su interés se orienta al desarrollo de interfaces y al despliegue de aplicaciones. En el proyecto asume la construcción de los dos clientes —la web de escritorio para el planificador y la aplicación móvil para el trabajador— y la contenedorización con Docker, trabajando la experiencia de usuario de una herramienta que debe ser comprensible para perfiles no técnicos.</w:t>
      </w:r>
    </w:p>
    <w:p>
      <w:pPr>
        <w:pStyle w:val="Heading1"/>
        <w:spacing w:after="200" w:before="360"/>
      </w:pPr>
      <w:r>
        <w:rPr>
          <w:rFonts w:ascii="Calibri" w:cs="Calibri" w:eastAsia="Calibri" w:hAnsi="Calibri"/>
          <w:b/>
          <w:bCs/>
          <w:color w:val="0E2436"/>
          <w:sz w:val="32"/>
          <w:szCs w:val="32"/>
        </w:rPr>
        <w:t xml:space="preserve">4. Factibilidad del proyecto dentro de la asignatura</w:t>
      </w:r>
    </w:p>
    <w:p>
      <w:pPr>
        <w:spacing w:after="120" w:line="276"/>
        <w:jc w:val="both"/>
      </w:pPr>
      <w:r>
        <w:rPr>
          <w:rFonts w:ascii="Calibri" w:cs="Calibri" w:eastAsia="Calibri" w:hAnsi="Calibri"/>
          <w:sz w:val="24"/>
          <w:szCs w:val="24"/>
        </w:rPr>
        <w:t xml:space="preserve">El proyecto es factible de desarrollarse en el tiempo y con los recursos disponibles de la asignatura, por las siguientes razones:</w:t>
      </w:r>
    </w:p>
    <w:p>
      <w:pPr>
        <w:pStyle w:val="Heading2"/>
        <w:spacing w:after="120" w:before="240"/>
      </w:pPr>
      <w:r>
        <w:rPr>
          <w:rFonts w:ascii="Calibri" w:cs="Calibri" w:eastAsia="Calibri" w:hAnsi="Calibri"/>
          <w:b/>
          <w:bCs/>
          <w:color w:val="12857A"/>
          <w:sz w:val="26"/>
          <w:szCs w:val="26"/>
        </w:rPr>
        <w:t xml:space="preserve">4.1 Factibilidad técnica</w:t>
      </w:r>
    </w:p>
    <w:p>
      <w:pPr>
        <w:pStyle w:val="ListParagraph"/>
        <w:numPr>
          <w:ilvl w:val="0"/>
          <w:numId w:val="2"/>
        </w:numPr>
        <w:spacing w:after="80" w:line="276"/>
        <w:jc w:val="both"/>
      </w:pPr>
      <w:r>
        <w:rPr>
          <w:rFonts w:ascii="Calibri" w:cs="Calibri" w:eastAsia="Calibri" w:hAnsi="Calibri"/>
          <w:sz w:val="24"/>
          <w:szCs w:val="24"/>
        </w:rPr>
        <w:t xml:space="preserve">El equipo domina el stack seleccionado. Python, bases de datos relacionales y desarrollo web forman parte de la formación cursada, por lo que no se parte desde cero en ninguna tecnología.</w:t>
      </w:r>
    </w:p>
    <w:p>
      <w:pPr>
        <w:pStyle w:val="ListParagraph"/>
        <w:numPr>
          <w:ilvl w:val="0"/>
          <w:numId w:val="2"/>
        </w:numPr>
        <w:spacing w:after="80" w:line="276"/>
        <w:jc w:val="both"/>
      </w:pPr>
      <w:r>
        <w:rPr>
          <w:rFonts w:ascii="Calibri" w:cs="Calibri" w:eastAsia="Calibri" w:hAnsi="Calibri"/>
          <w:sz w:val="24"/>
          <w:szCs w:val="24"/>
        </w:rPr>
        <w:t xml:space="preserve">Existe un prototipo funcional previo del motor de cálculo, desarrollado durante la práctica profesional, que ya valida jornada y calcula supervisión sobre datos reales. Esto reduce de manera importante el riesgo técnico, ya que la lógica central está comprobada.</w:t>
      </w:r>
    </w:p>
    <w:p>
      <w:pPr>
        <w:pStyle w:val="ListParagraph"/>
        <w:numPr>
          <w:ilvl w:val="0"/>
          <w:numId w:val="2"/>
        </w:numPr>
        <w:spacing w:after="80" w:line="276"/>
        <w:jc w:val="both"/>
      </w:pPr>
      <w:r>
        <w:rPr>
          <w:rFonts w:ascii="Calibri" w:cs="Calibri" w:eastAsia="Calibri" w:hAnsi="Calibri"/>
          <w:sz w:val="24"/>
          <w:szCs w:val="24"/>
        </w:rPr>
        <w:t xml:space="preserve">Todas las herramientas son de código abierto y gratuitas, sin dependencia de licencias comerciales.</w:t>
      </w:r>
    </w:p>
    <w:p>
      <w:pPr>
        <w:pStyle w:val="Heading2"/>
        <w:spacing w:after="120" w:before="240"/>
      </w:pPr>
      <w:r>
        <w:rPr>
          <w:rFonts w:ascii="Calibri" w:cs="Calibri" w:eastAsia="Calibri" w:hAnsi="Calibri"/>
          <w:b/>
          <w:bCs/>
          <w:color w:val="12857A"/>
          <w:sz w:val="26"/>
          <w:szCs w:val="26"/>
        </w:rPr>
        <w:t xml:space="preserve">4.2 Factibilidad de alcance</w:t>
      </w:r>
    </w:p>
    <w:p>
      <w:pPr>
        <w:spacing w:after="120" w:line="276"/>
        <w:jc w:val="both"/>
      </w:pPr>
      <w:r>
        <w:rPr>
          <w:rFonts w:ascii="Calibri" w:cs="Calibri" w:eastAsia="Calibri" w:hAnsi="Calibri"/>
          <w:sz w:val="24"/>
          <w:szCs w:val="24"/>
        </w:rPr>
        <w:t>El alcance se priorizó en dos niveles. El núcleo comprometido para la entrega comprende la ingesta validada, los tres tipos de límite, el motor de cálculo con optimización, la comparación de escenarios, la persistencia, el backend y ambos clientes en su funcionalidad esencial. Las funcionalidades avanzadas —sincronización offline con cola de acciones, gestión de varias paradas concurrentes y alertas multicanal— se declaran como evolución posterior y se incorporarán solo si el avance del semestre lo permite. Además, el sistema no reemplaza al cronograma de la parada ni se integra en tiempo real con los sistemas del cliente: se ubica sobre la información ya estimada y agrega la capa de cumplimiento y comparación de escenarios. Esta priorización permite entregar un producto completo y funcional dentro del semestre.</w:t>
      </w:r>
    </w:p>
    <w:p>
      <w:pPr>
        <w:pStyle w:val="Heading2"/>
        <w:spacing w:after="120" w:before="240"/>
      </w:pPr>
      <w:r>
        <w:rPr>
          <w:rFonts w:ascii="Calibri" w:cs="Calibri" w:eastAsia="Calibri" w:hAnsi="Calibri"/>
          <w:b/>
          <w:bCs/>
          <w:color w:val="12857A"/>
          <w:sz w:val="26"/>
          <w:szCs w:val="26"/>
        </w:rPr>
        <w:t xml:space="preserve">4.3 Factibilidad de datos</w:t>
      </w:r>
    </w:p>
    <w:p>
      <w:pPr>
        <w:spacing w:after="120" w:line="276"/>
        <w:jc w:val="both"/>
      </w:pPr>
      <w:r>
        <w:rPr>
          <w:rFonts w:ascii="Calibri" w:cs="Calibri" w:eastAsia="Calibri" w:hAnsi="Calibri"/>
          <w:sz w:val="24"/>
          <w:szCs w:val="24"/>
        </w:rPr>
        <w:t xml:space="preserve">Se dispone de planillas reales de estimación de jornadas correspondientes a una parada mayor, con parámetros efectivos de horas hombre totales, duración, familias de equipos, estrategias de turno y ratio de supervisión. Esto permite validar el sistema con información verdadera y no con datos simulados.</w:t>
      </w:r>
    </w:p>
    <w:p>
      <w:pPr>
        <w:pStyle w:val="Heading2"/>
        <w:spacing w:after="120" w:before="240"/>
      </w:pPr>
      <w:r>
        <w:rPr>
          <w:rFonts w:ascii="Calibri" w:cs="Calibri" w:eastAsia="Calibri" w:hAnsi="Calibri"/>
          <w:b/>
          <w:bCs/>
          <w:color w:val="12857A"/>
          <w:sz w:val="26"/>
          <w:szCs w:val="26"/>
        </w:rPr>
        <w:t xml:space="preserve">4.4 Factibilidad de tiempo y organización</w:t>
      </w:r>
    </w:p>
    <w:p>
      <w:pPr>
        <w:spacing w:after="120" w:line="276"/>
        <w:jc w:val="both"/>
      </w:pPr>
      <w:r>
        <w:rPr>
          <w:rFonts w:ascii="Calibri" w:cs="Calibri" w:eastAsia="Calibri" w:hAnsi="Calibri"/>
          <w:sz w:val="24"/>
          <w:szCs w:val="24"/>
        </w:rPr>
        <w:t xml:space="preserve">La planificación se estructuró sobre las dieciocho semanas del calendario oficial de la asignatura, distribuidas en tres fases con evaluaciones intermedias. Cada tarea de la carta Gantt tiene un responsable asignado, y el trabajo se distribuye en tres frentes que avanzan en paralelo —motor y servicios, datos, e interfaz y despliegue—, lo que evita que el progreso dependa de un solo integrante.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c>
          <w:tcPr>
            <w:tcW w:type="dxa" w:w="26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Fase</w:t>
            </w:r>
          </w:p>
        </w:tc>
        <w:tc>
          <w:tcPr>
            <w:tcW w:type="dxa" w:w="15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Semanas</w:t>
            </w:r>
          </w:p>
        </w:tc>
        <w:tc>
          <w:tcPr>
            <w:tcW w:type="dxa" w:w="4900"/>
            <w:shd w:fill="0E2436" w:val="clear"/>
            <w:tcMar>
              <w:top w:type="dxa" w:w="80"/>
              <w:left w:type="dxa" w:w="110"/>
              <w:bottom w:type="dxa" w:w="80"/>
              <w:right w:type="dxa" w:w="110"/>
            </w:tcMar>
          </w:tcPr>
          <w:p>
            <w:pPr>
              <w:spacing w:after="0"/>
              <w:jc w:val="left"/>
            </w:pPr>
            <w:r>
              <w:rPr>
                <w:rFonts w:ascii="Calibri" w:cs="Calibri" w:eastAsia="Calibri" w:hAnsi="Calibri"/>
                <w:b/>
                <w:bCs/>
                <w:color w:val="FFFFFF"/>
                <w:sz w:val="21"/>
                <w:szCs w:val="21"/>
              </w:rPr>
              <w:t xml:space="preserve">Resultado esperado</w:t>
            </w:r>
          </w:p>
        </w:tc>
      </w:tr>
      <w:tr>
        <w:tc>
          <w:tcPr>
            <w:tcW w:type="dxa" w:w="2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Fase 1 · Definición</w:t>
            </w:r>
          </w:p>
        </w:tc>
        <w:tc>
          <w:tcPr>
            <w:tcW w:type="dxa" w:w="15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1 a 4</w:t>
            </w:r>
          </w:p>
        </w:tc>
        <w:tc>
          <w:tcPr>
            <w:tcW w:type="dxa" w:w="4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Definición del proyecto, alcance y planificación.</w:t>
            </w:r>
          </w:p>
        </w:tc>
      </w:tr>
      <w:tr>
        <w:tc>
          <w:tcPr>
            <w:tcW w:type="dxa" w:w="2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Fase 2 · Desarrollo</w:t>
            </w:r>
          </w:p>
        </w:tc>
        <w:tc>
          <w:tcPr>
            <w:tcW w:type="dxa" w:w="15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5 a 16</w:t>
            </w:r>
          </w:p>
        </w:tc>
        <w:tc>
          <w:tcPr>
            <w:tcW w:type="dxa" w:w="4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Requerimientos, diseño, construcción del sistema y pruebas.</w:t>
            </w:r>
          </w:p>
        </w:tc>
      </w:tr>
      <w:tr>
        <w:tc>
          <w:tcPr>
            <w:tcW w:type="dxa" w:w="26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Fase 3 · Presentación</w:t>
            </w:r>
          </w:p>
        </w:tc>
        <w:tc>
          <w:tcPr>
            <w:tcW w:type="dxa" w:w="15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17 y 18</w:t>
            </w:r>
          </w:p>
        </w:tc>
        <w:tc>
          <w:tcPr>
            <w:tcW w:type="dxa" w:w="4900"/>
            <w:tcMar>
              <w:top w:type="dxa" w:w="80"/>
              <w:left w:type="dxa" w:w="110"/>
              <w:bottom w:type="dxa" w:w="80"/>
              <w:right w:type="dxa" w:w="110"/>
            </w:tcMar>
          </w:tcPr>
          <w:p>
            <w:pPr>
              <w:spacing w:after="0"/>
              <w:jc w:val="left"/>
            </w:pPr>
            <w:r>
              <w:rPr>
                <w:rFonts w:ascii="Calibri" w:cs="Calibri" w:eastAsia="Calibri" w:hAnsi="Calibri"/>
                <w:b w:val="false"/>
                <w:bCs w:val="false"/>
                <w:sz w:val="21"/>
                <w:szCs w:val="21"/>
              </w:rPr>
              <w:t xml:space="preserve">Presentación y defensa del proyecto.</w:t>
            </w:r>
          </w:p>
        </w:tc>
      </w:tr>
    </w:tbl>
    <w:p>
      <w:pPr>
        <w:spacing w:after="240" w:line="276"/>
        <w:jc w:val="both"/>
      </w:pPr>
      <w:r>
        <w:rPr>
          <w:rFonts w:ascii="Calibri" w:cs="Calibri" w:eastAsia="Calibri" w:hAnsi="Calibri"/>
          <w:sz w:val="24"/>
          <w:szCs w:val="24"/>
        </w:rPr>
        <w:t xml:space="preserve">En síntesis, el proyecto es exigente pero alcanzable: tiene un problema real y bien delimitado, una base técnica ya validada, datos disponibles y una planificación con responsables definidos.</w:t>
      </w:r>
    </w:p>
    <w:p>
      <w:pPr>
        <w:pStyle w:val="Heading1"/>
        <w:spacing w:after="200" w:before="360"/>
      </w:pPr>
      <w:r>
        <w:rPr>
          <w:rFonts w:ascii="Calibri" w:cs="Calibri" w:eastAsia="Calibri" w:hAnsi="Calibri"/>
          <w:b/>
          <w:bCs/>
          <w:color w:val="0E2436"/>
          <w:sz w:val="32"/>
          <w:szCs w:val="32"/>
        </w:rPr>
        <w:t xml:space="preserve">Conclusiones individuales</w:t>
      </w:r>
    </w:p>
    <w:p>
      <w:pPr>
        <w:pStyle w:val="Heading2"/>
        <w:spacing w:after="120" w:before="240"/>
      </w:pPr>
      <w:r>
        <w:rPr>
          <w:rFonts w:ascii="Calibri" w:cs="Calibri" w:eastAsia="Calibri" w:hAnsi="Calibri"/>
          <w:b/>
          <w:bCs/>
          <w:color w:val="12857A"/>
          <w:sz w:val="26"/>
          <w:szCs w:val="26"/>
        </w:rPr>
        <w:t xml:space="preserve">Adrián Nájera Prado</w:t>
      </w:r>
    </w:p>
    <w:p>
      <w:pPr>
        <w:spacing w:after="120" w:line="276"/>
        <w:jc w:val="both"/>
      </w:pPr>
      <w:r>
        <w:rPr>
          <w:rFonts w:ascii="Calibri" w:cs="Calibri" w:eastAsia="Calibri" w:hAnsi="Calibri"/>
          <w:sz w:val="24"/>
          <w:szCs w:val="24"/>
        </w:rPr>
        <w:t xml:space="preserve">Trabajar en la definición de este proyecto me permitió entender que la principal dificultad no está en escribir el código, sino en modelar correctamente las reglas. Cada modalidad de contratación tiene su propio tipo de límite, y tratarlas todas con una única regla de validación produciría un sistema que parece correcto pero entrega respuestas inseguras. Definir con claridad los tres tipos de límite fue, a mi juicio, el resultado más valioso de esta fase.</w:t>
      </w:r>
    </w:p>
    <w:p>
      <w:pPr>
        <w:spacing w:after="120" w:line="276"/>
        <w:jc w:val="both"/>
      </w:pPr>
      <w:r>
        <w:rPr>
          <w:rFonts w:ascii="Calibri" w:cs="Calibri" w:eastAsia="Calibri" w:hAnsi="Calibri"/>
          <w:sz w:val="24"/>
          <w:szCs w:val="24"/>
        </w:rPr>
        <w:t xml:space="preserve">También aprendí la importancia de separar lo que ya existe de lo que aún debe construirse. El motor de cálculo desarrollado durante mi práctica profesional nos da un punto de partida sólido, pero los validadores de cumplimiento, la API, la base de datos y la interfaz son el trabajo propio de este proyecto. Ser explícitos en esa distinción le da al equipo una visión realista del esfuerzo que viene.</w:t>
      </w:r>
    </w:p>
    <w:p>
      <w:pPr>
        <w:pStyle w:val="Heading2"/>
        <w:spacing w:after="120" w:before="240"/>
      </w:pPr>
      <w:r>
        <w:rPr>
          <w:rFonts w:ascii="Calibri" w:cs="Calibri" w:eastAsia="Calibri" w:hAnsi="Calibri"/>
          <w:b/>
          <w:bCs/>
          <w:color w:val="12857A"/>
          <w:sz w:val="26"/>
          <w:szCs w:val="26"/>
        </w:rPr>
        <w:t xml:space="preserve">Andrés Gamboa</w:t>
      </w:r>
    </w:p>
    <w:p>
      <w:pPr>
        <w:spacing w:after="120" w:line="276"/>
        <w:jc w:val="both"/>
      </w:pPr>
      <w:r>
        <w:rPr>
          <w:rFonts w:ascii="Calibri" w:cs="Calibri" w:eastAsia="Calibri" w:hAnsi="Calibri"/>
          <w:sz w:val="24"/>
          <w:szCs w:val="24"/>
        </w:rPr>
        <w:t xml:space="preserve">Durante esta fase comprendí que la calidad de todo el sistema depende de la calidad de los datos de entrada. Las planillas reales contienen inconsistencias, celdas vacías y distintas convenciones de nombre, por lo que la capa de ingesta debe normalizar todo eso antes de que el motor pueda operar. Esto me convenció de que la validación de datos no es una tarea secundaria, sino una parte central de la solución.</w:t>
      </w:r>
    </w:p>
    <w:p>
      <w:pPr>
        <w:pStyle w:val="Heading2"/>
        <w:spacing w:after="120" w:before="240"/>
      </w:pPr>
      <w:r>
        <w:rPr>
          <w:rFonts w:ascii="Calibri" w:cs="Calibri" w:eastAsia="Calibri" w:hAnsi="Calibri"/>
          <w:b/>
          <w:bCs/>
          <w:color w:val="12857A"/>
          <w:sz w:val="26"/>
          <w:szCs w:val="26"/>
        </w:rPr>
        <w:t xml:space="preserve">Rodrigo Llanquinado</w:t>
      </w:r>
    </w:p>
    <w:p>
      <w:pPr>
        <w:spacing w:after="240" w:line="276"/>
        <w:jc w:val="both"/>
      </w:pPr>
      <w:r>
        <w:rPr>
          <w:rFonts w:ascii="Calibri" w:cs="Calibri" w:eastAsia="Calibri" w:hAnsi="Calibri"/>
          <w:sz w:val="24"/>
          <w:szCs w:val="24"/>
        </w:rPr>
        <w:t xml:space="preserve">Mi principal conclusión es que la interfaz debe hacer comprensible un problema complejo. El sistema entrega información con consecuencias legales y económicas, por lo que el usuario tiene que ver de inmediato si una planificación cumple o no. Diseñar los mockups me ayudó a entender que en este tipo de herramienta la claridad importa más que la sofisticación visual.</w:t>
      </w:r>
    </w:p>
    <w:p>
      <w:pPr>
        <w:pStyle w:val="Heading1"/>
        <w:spacing w:after="200" w:before="360"/>
      </w:pPr>
      <w:r>
        <w:rPr>
          <w:rFonts w:ascii="Calibri" w:cs="Calibri" w:eastAsia="Calibri" w:hAnsi="Calibri"/>
          <w:b/>
          <w:bCs/>
          <w:color w:val="0E2436"/>
          <w:sz w:val="32"/>
          <w:szCs w:val="32"/>
        </w:rPr>
        <w:t xml:space="preserve">Reflexión</w:t>
      </w:r>
    </w:p>
    <w:p>
      <w:pPr>
        <w:spacing w:after="120" w:line="276"/>
        <w:jc w:val="both"/>
      </w:pPr>
      <w:r>
        <w:rPr>
          <w:rFonts w:ascii="Calibri" w:cs="Calibri" w:eastAsia="Calibri" w:hAnsi="Calibri"/>
          <w:sz w:val="24"/>
          <w:szCs w:val="24"/>
        </w:rPr>
        <w:t xml:space="preserve">Definir este proyecto nos enseñó que una buena solución de ingeniería comienza por comprender bien el problema y no por elegir la tecnología. Antes de decidir cualquier herramienta tuvimos que entender cómo funciona realmente una parada mayor: por qué cada día de detención es costoso, cómo se estiman las horas hombre y por qué una misma decisión de planificación puede ser aceptable bajo una modalidad de contratación e incumplir bajo otra.</w:t>
      </w:r>
    </w:p>
    <w:p>
      <w:pPr>
        <w:spacing w:after="120" w:line="276"/>
        <w:jc w:val="both"/>
      </w:pPr>
      <w:r>
        <w:rPr>
          <w:rFonts w:ascii="Calibri" w:cs="Calibri" w:eastAsia="Calibri" w:hAnsi="Calibri"/>
          <w:sz w:val="24"/>
          <w:szCs w:val="24"/>
        </w:rPr>
        <w:t xml:space="preserve">También aprendimos a buscar el vacío en lugar de competir con las herramientas existentes. Las plataformas internacionales de gestión de paradas son mucho más potentes que cualquier cosa que podamos construir en un semestre, pero no modelan la normativa laboral chilena. Identificar ese vacío específico le dio a nuestro proyecto un propósito claro y un alcance realista.</w:t>
      </w:r>
    </w:p>
    <w:p>
      <w:pPr>
        <w:spacing w:after="240" w:line="276"/>
        <w:jc w:val="both"/>
      </w:pPr>
      <w:r>
        <w:rPr>
          <w:rFonts w:ascii="Calibri" w:cs="Calibri" w:eastAsia="Calibri" w:hAnsi="Calibri"/>
          <w:sz w:val="24"/>
          <w:szCs w:val="24"/>
        </w:rPr>
        <w:t xml:space="preserve">Por último, esta fase nos mostró el valor de planificar con honestidad. Distribuir el trabajo en tres frentes paralelos, asignar un responsable a cada tarea y distinguir entre lo que ya está validado y lo que aún debe desarrollarse hizo que el proyecto se sintiera manejable en lugar de abrumador. Creemos que esta forma de trabajar —entender primero el dominio, delimitar el alcance y planificar con transparencia— es el aprendizaje más útil que nos deja esta etapa.</w:t>
      </w:r>
    </w:p>
    <w:p>
      <w:pPr>
        <w:pStyle w:val="Heading1"/>
        <w:spacing w:after="200" w:before="360"/>
      </w:pPr>
      <w:r>
        <w:rPr>
          <w:rFonts w:ascii="Calibri" w:cs="Calibri" w:eastAsia="Calibri" w:hAnsi="Calibri"/>
          <w:b/>
          <w:bCs/>
          <w:color w:val="0E2436"/>
          <w:sz w:val="32"/>
          <w:szCs w:val="32"/>
        </w:rPr>
        <w:t xml:space="preserve">Bibliografía</w:t>
      </w:r>
    </w:p>
    <w:p>
      <w:pPr>
        <w:spacing w:after="80" w:line="276"/>
        <w:jc w:val="both"/>
      </w:pPr>
      <w:r>
        <w:rPr>
          <w:rFonts w:ascii="Calibri" w:cs="Calibri" w:eastAsia="Calibri" w:hAnsi="Calibri"/>
          <w:sz w:val="24"/>
          <w:szCs w:val="24"/>
        </w:rPr>
        <w:t xml:space="preserve">Biblioteca del Congreso Nacional de Chile. Ley N° 20.123, que regula el trabajo en régimen de subcontratación y el trabajo en empresas de servicios transitorios.</w:t>
      </w:r>
    </w:p>
    <w:p>
      <w:pPr>
        <w:spacing w:after="80" w:line="276"/>
        <w:jc w:val="both"/>
      </w:pPr>
      <w:r>
        <w:rPr>
          <w:rFonts w:ascii="Calibri" w:cs="Calibri" w:eastAsia="Calibri" w:hAnsi="Calibri"/>
          <w:sz w:val="24"/>
          <w:szCs w:val="24"/>
        </w:rPr>
        <w:t xml:space="preserve">Biblioteca del Congreso Nacional de Chile. Ley N° 21.561, que reduce la jornada laboral ordinaria de trabajo.</w:t>
      </w:r>
    </w:p>
    <w:p>
      <w:pPr>
        <w:spacing w:after="80" w:line="276"/>
        <w:jc w:val="both"/>
      </w:pPr>
      <w:r>
        <w:rPr>
          <w:rFonts w:ascii="Calibri" w:cs="Calibri" w:eastAsia="Calibri" w:hAnsi="Calibri"/>
          <w:sz w:val="24"/>
          <w:szCs w:val="24"/>
        </w:rPr>
        <w:t xml:space="preserve">Dirección del Trabajo. Sistemas excepcionales de distribución de jornada de trabajo y descansos.</w:t>
      </w:r>
    </w:p>
    <w:p>
      <w:pPr>
        <w:spacing w:after="80" w:line="276"/>
        <w:jc w:val="both"/>
      </w:pPr>
      <w:r>
        <w:rPr>
          <w:rFonts w:ascii="Calibri" w:cs="Calibri" w:eastAsia="Calibri" w:hAnsi="Calibri"/>
          <w:sz w:val="24"/>
          <w:szCs w:val="24"/>
        </w:rPr>
        <w:t xml:space="preserve">Project Management Institute. (2017). Guía de los fundamentos para la dirección de proyectos (Guía del PMBOK), 6ª edición.</w:t>
      </w:r>
    </w:p>
    <w:p>
      <w:pPr>
        <w:spacing w:after="80" w:line="276"/>
        <w:jc w:val="both"/>
      </w:pPr>
      <w:r>
        <w:rPr>
          <w:rFonts w:ascii="Calibri" w:cs="Calibri" w:eastAsia="Calibri" w:hAnsi="Calibri"/>
          <w:sz w:val="24"/>
          <w:szCs w:val="24"/>
        </w:rPr>
        <w:t xml:space="preserve">Empresa Nacional del Petróleo (ENAP). Información pública sobre mantenciones mayores de refinerías.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870"/>
        <w:sz w:val="18"/>
        <w:szCs w:val="18"/>
      </w:rPr>
      <w:t xml:space="preserve">Vigía HH · Informe Fase 1 · APT122    |    </w:t>
    </w:r>
    <w:r>
      <w:rPr>
        <w:rFonts w:ascii="Calibri" w:cs="Calibri" w:eastAsia="Calibri" w:hAnsi="Calibri"/>
        <w:color w:val="5B68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2026-09-06T21:53:53.599Z</dcterms:created>
  <dcterms:modified xsi:type="dcterms:W3CDTF">2026-09-06T21:53:53.599Z</dcterms:modified>
</cp:coreProperties>
</file>

<file path=docProps/custom.xml><?xml version="1.0" encoding="utf-8"?>
<Properties xmlns="http://schemas.openxmlformats.org/officeDocument/2006/custom-properties" xmlns:vt="http://schemas.openxmlformats.org/officeDocument/2006/docPropsVTypes"/>
</file>