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Start23 - open technische en beleidskeuzes</w:t>
      </w:r>
    </w:p>
    <w:p>
      <w:pPr>
        <w:spacing w:after="140"/>
      </w:pPr>
      <w:r>
        <w:rPr>
          <w:b/>
          <w:color w:val="2C6E8F"/>
          <w:sz w:val="22"/>
        </w:rPr>
        <w:t>Compact bespreekdocument voor productbeslissingen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cantSplit/>
        </w:trPr>
        <w:tc>
          <w:tcPr>
            <w:tcW w:type="dxa" w:w="10482"/>
            <w:shd w:fill="EAF3F7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20"/>
            </w:pPr>
            <w:r>
              <w:rPr>
                <w:b/>
                <w:color w:val="17324D"/>
              </w:rPr>
              <w:t xml:space="preserve">Doel  </w:t>
            </w:r>
            <w:r>
              <w:t>Per open punt een begrijpelijke voorkeursoplossing bepalen. Dit document is bedoeld als beslisnota, niet als medisch of juridisch advies.</w:t>
            </w:r>
          </w:p>
        </w:tc>
      </w:tr>
    </w:tbl>
    <w:p>
      <w:pPr>
        <w:spacing w:after="0"/>
      </w:pPr>
    </w:p>
    <w:p>
      <w:pPr>
        <w:pStyle w:val="Heading1"/>
      </w:pPr>
      <w:r>
        <w:t>Kernadvies</w:t>
      </w:r>
    </w:p>
    <w:p>
      <w:pPr>
        <w:pStyle w:val="ListBullet"/>
        <w:spacing w:after="20"/>
      </w:pPr>
      <w:r>
        <w:t>Positioneer de MVP als racegerichte adviesapp: de app doet voorstellen, maar wijzigt de actieve planning of trainingszones pas na akkoord van de atleet.</w:t>
      </w:r>
    </w:p>
    <w:p>
      <w:pPr>
        <w:pStyle w:val="ListBullet"/>
        <w:spacing w:after="20"/>
      </w:pPr>
      <w:r>
        <w:t>Houd medische en blessurelogica conservatief: geen diagnose, geen automatische herverdeling van belasting en geen automatische vrijgave na een blessure.</w:t>
      </w:r>
    </w:p>
    <w:p>
      <w:pPr>
        <w:pStyle w:val="ListBullet"/>
        <w:spacing w:after="20"/>
      </w:pPr>
      <w:r>
        <w:t>Stel niet-race doelen, geavanceerde automatische matching en automatische zoneberekening uit tot na de MVP.</w:t>
      </w:r>
    </w:p>
    <w:p>
      <w:pPr>
        <w:pStyle w:val="ListBullet"/>
        <w:spacing w:after="20"/>
      </w:pPr>
      <w:r>
        <w:t>Behandel wearable-, hartslag-, blessure- en fysiologische data als gevoelige gezondheidsgegevens en werk privacy uit voor productie.</w:t>
      </w:r>
    </w:p>
    <w:p>
      <w:pPr>
        <w:pStyle w:val="Heading1"/>
        <w:keepNext/>
      </w:pPr>
      <w:r>
        <w:t>1. Fysiologische regels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"/>
        <w:gridCol w:w="3685"/>
        <w:gridCol w:w="5924"/>
      </w:tblGrid>
      <w:tr>
        <w:trPr>
          <w:tblHeader w:val="true"/>
          <w:cantSplit/>
        </w:trPr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Open punt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Voorgestelde oplossing in mensentaal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Exact 50/50 rustige en zware tijd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Tel de training als zwaar voor veiligheidsregels. Bewaar tegelijk de exacte rustige en zware minuten voor de weekberekening.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Weergave van de 80/20-verhouding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Toon hele percentages én minuten, bijvoorbeeld 82% rustig / 18% intensief en 287 / 63 minuten. Intern blijft de exacte precisie behouden.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Werkelijk uitgevoerde intensiteit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Bereken op het einde van de week hoeveel extra intensieve tijd werkelijk is gedaan. Trek alleen het teveel af van het intensiteitsbudget van de volgende normale trainingsweek.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Plausibele waarden voor FTP, CSS, hartslag en tempo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Weiger alleen technisch onmogelijke waarden. Onwaarschijnlijke waarden worden aanvaard met een waarschuwing en moeten opnieuw door de atleet worden bevestigd.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Automatisch berekenen van zones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Voor de MVP geen volledige zones afleiden uit FTP, CSS of LTHR. Gebruik door de atleet ingevoerde zones of zones uit een vastgelegd Start23-testprotocol.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Grenswaarden bij tempo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Een exacte grens behoort altijd tot de intensievere zone. Bij tempo betekent een lager aantal seconden een hogere intensiteit.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Fietssnelheid als zonewaarde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Gebruik km/u alleen voor weergave en activiteitsanalyse, niet als trainingszone. Snelheid wordt te sterk beïnvloed door wind, helling, ondergrond en materiaal.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Correctie levert nul of negatief weekdoel op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Stop de automatische planning en stel een herstelweek of manuele beoordeling voor. Publiceer nooit een negatief of kunstmatig op nul gezet trainingsdoel.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Profiel, blessure en klinische keuzes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"/>
        <w:gridCol w:w="3685"/>
        <w:gridCol w:w="5924"/>
      </w:tblGrid>
      <w:tr>
        <w:trPr>
          <w:tblHeader w:val="true"/>
          <w:cantSplit/>
        </w:trPr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Open punt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Voorgestelde oplossing in mensentaal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Geslacht als fysiologische input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Laat dit in de MVP weg als het alleen dient voor een ruwe FTP-schatting. Laat een gekende FTP invoeren of stel een fietstest voor.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Wie keurt fysiologische regels goed?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Wijs formeel een gekwalificeerde sportarts of inspanningsfysioloog aan als goedkeurder. Product beheert de regels; development implementeert ze.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Betekenis van een blessurestatus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Gebruik geen diagnose of medische ernstscore. Registreer per sport alleen: beperkt, volledig geblokkeerd, toegelaten intensiteit, startdatum en herbekijkdatum.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80% belasting herverdelen bij blessure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Niet automatisch gebruiken in de MVP. Verwijder de geblokkeerde sport, laat het weekvolume dalen en bied alleen optionele rustige alternatieven aan.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Planning en workoutcatalogus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"/>
        <w:gridCol w:w="3685"/>
        <w:gridCol w:w="5924"/>
      </w:tblGrid>
      <w:tr>
        <w:trPr>
          <w:tblHeader w:val="true"/>
          <w:cantSplit/>
        </w:trPr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Open punt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Voorgestelde oplossing in mensentaal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Welke tijdzone bepaalt de trainingsweek?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Gebruik de lokale tijdzone van de atleet. Sla tijdstippen technisch in UTC op, maar laat de sportweek lokaal op maandag starten.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Onvolledig 4+1-blok voor een wedstrijd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Plan achterwaarts vanaf de A-wedstrijd. Volledige 4+1-blokken blijven intact; resterende weken vooraan worden een kort instapblok zonder versnelde inhaalopbouw.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Andere sporthistoriek in de startbelasting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Wel registreren als context, maar voorlopig niet omzetten naar TSS of automatisch optellen bij de startbelasting.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Onvoldoende taperworkouts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Beperk de MVP tot racedistances waarvoor voldoende nagekeken zwem-, fiets- en loopworkouts bestaan. Andere afstanden blijven niet ondersteund.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Planning zonder wedstrijd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Gewichtsverlies, spieropbouw, algemene fitness en swimrun-specifieke regels vallen buiten de racegerichte MVP en mogen nog niet als volledig ondersteund worden verkocht.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Activiteiten en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"/>
        <w:gridCol w:w="3685"/>
        <w:gridCol w:w="5924"/>
      </w:tblGrid>
      <w:tr>
        <w:trPr>
          <w:tblHeader w:val="true"/>
          <w:cantSplit/>
        </w:trPr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Open punt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Voorgestelde oplossing in mensentaal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Automatisch koppelen van activiteit aan planning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Toon alleen een voorgestelde match op basis van sport, tijd en duur. De atleet bevestigt; bij twijfel blijft de activiteit ongekoppeld.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RPE-vraag uitstellen of sluiten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Laat de vraag uitstellen, maar niet definitief verwijderen. Na bijvoorbeeld 48 uur wordt RPE als ontbrekend gemarkeerd en worden RPE-regels niet toegepast.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RPE later wijzigen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 de MVP blijft de eerste score vast. Later kan een wijziging met reden en volledige wijzigingshistoriek worden toegevoegd.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Hoe corrigeert de app toekomstige trainingen?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Voor de MVP alleen voorstellen om toekomstige zware trainingen over te slaan. Nog niet automatisch verplaatsen, inkorten of vervangen. Altijd eerst akkoord vragen.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Verborgen vermoeidheid versus overshoot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Controleer eerst of een rustige training onverwacht zwaar aanvoelde. Pas daarna controleren op algemene overshoot. Laat dit formeel goedkeuren door de fysiologische reviewer.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API en productgedrag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"/>
        <w:gridCol w:w="3685"/>
        <w:gridCol w:w="5924"/>
      </w:tblGrid>
      <w:tr>
        <w:trPr>
          <w:tblHeader w:val="true"/>
          <w:cantSplit/>
        </w:trPr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Open punt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Voorgestelde oplossing in mensentaal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403 of 404 bij data van een andere atleet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Gebruik overal 404 voor atleetgerichte API’s, zodat de app niet verklapt of de data bestaat. Controleer ownership altijd op de server.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Verhoudingen en waarschuwingen in de API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Behoud een compacte samenvatting in het weekplan. Voeg alleen later een apart endpoint toe voor detail en historiek.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Privacy, GDPR en data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"/>
        <w:gridCol w:w="3685"/>
        <w:gridCol w:w="5924"/>
      </w:tblGrid>
      <w:tr>
        <w:trPr>
          <w:tblHeader w:val="true"/>
          <w:cantSplit/>
        </w:trPr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Open punt</w:t>
            </w:r>
          </w:p>
        </w:tc>
        <w:tc>
          <w:tcPr>
            <w:tcW w:type="dxa" w:w="3494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Voorgestelde oplossing in mensentaal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Governance van gezondheidsgegevens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Voor productie: leg doelen en rechtsgronden vast, vraag waar nodig afzonderlijke expliciete toestemming, voer een DPIA uit en bouw export, verwijdering, bewaartermijnen en incidentafhandeling in.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Bewaring van beslis- en auditgegevens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Bewaar bij voorkeur de regelversie, uitkomst, timestamp en een beveiligde controlewaarde. Maak geen tweede onbeperkt archief met alle gevoelige fysiologische input.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Toegang van medewerkers tot TSS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Geen toegang voor gewone support of algemene admins. Alleen een specifiek bevoegde rol met noodzaak, MFA, logging en eventueel tijdelijke break-glass toegang.</w:t>
            </w:r>
          </w:p>
        </w:tc>
      </w:tr>
      <w:tr>
        <w:trPr>
          <w:cantSplit/>
        </w:trPr>
        <w:tc>
          <w:tcPr>
            <w:tcW w:type="dxa" w:w="42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368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244B5A"/>
                <w:sz w:val="16"/>
              </w:rPr>
              <w:t>Coachgesprekken en blessurenotities</w:t>
            </w:r>
          </w:p>
        </w:tc>
        <w:tc>
          <w:tcPr>
            <w:tcW w:type="dxa" w:w="592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F5F8FA"/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Gebruik in de MVP vooral gestructureerde velden en zo weinig mogelijk vrije tekst. Voor latere chatnotities zijn aparte regels nodig voor toestemming, toegang, verwijdering en retentie.</w:t>
            </w:r>
          </w:p>
        </w:tc>
      </w:tr>
    </w:tbl>
    <w:p>
      <w:pPr>
        <w:spacing w:after="0"/>
      </w:pPr>
    </w:p>
    <w:p>
      <w:pPr>
        <w:pStyle w:val="Heading1"/>
      </w:pPr>
      <w:r>
        <w:t>GDPR - wat moet minimaal geregeld zijn?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cantSplit/>
        </w:trPr>
        <w:tc>
          <w:tcPr>
            <w:tcW w:type="dxa" w:w="10482"/>
            <w:shd w:fill="FDEFE8"/>
            <w:tcMar>
              <w:top w:w="110" w:type="dxa"/>
              <w:start w:w="160" w:type="dxa"/>
              <w:bottom w:w="110" w:type="dxa"/>
              <w:end w:w="160" w:type="dxa"/>
            </w:tcMar>
            <w:tcBorders>
              <w:top w:val="single" w:sz="3" w:color="D7E0E5"/>
              <w:left w:val="single" w:sz="3" w:color="D7E0E5"/>
              <w:bottom w:val="single" w:sz="3" w:color="D7E0E5"/>
              <w:right w:val="single" w:sz="3" w:color="D7E0E5"/>
              <w:insideH w:val="single" w:sz="3" w:color="D7E0E5"/>
              <w:insideV w:val="single" w:sz="3" w:color="D7E0E5"/>
            </w:tcBorders>
          </w:tcPr>
          <w:p>
            <w:pPr>
              <w:spacing w:after="20"/>
            </w:pPr>
            <w:r>
              <w:rPr>
                <w:b/>
                <w:color w:val="17324D"/>
              </w:rPr>
              <w:t xml:space="preserve">Productieblokker  </w:t>
            </w:r>
            <w:r>
              <w:t>Start23 verwerkt mogelijk gezondheidsgegevens, zoals hartslag, blessures, trainingsbelasting en afgeleide fysiologische profielen. Dit vraagt vóór productie een formele privacybeoordeling.</w:t>
            </w:r>
          </w:p>
        </w:tc>
      </w:tr>
    </w:tbl>
    <w:p>
      <w:pPr>
        <w:spacing w:after="0"/>
      </w:pPr>
    </w:p>
    <w:p>
      <w:pPr>
        <w:spacing w:after="40"/>
        <w:ind w:left="142" w:hanging="142"/>
      </w:pPr>
      <w:r>
        <w:rPr>
          <w:b/>
          <w:color w:val="244B5A"/>
        </w:rPr>
        <w:t xml:space="preserve">• Doel en rechtsgrond: </w:t>
      </w:r>
      <w:r>
        <w:t>Documenteer per gegeven waarom het nodig is. Voor gezondheidsgegevens is naast een gewone GDPR-rechtsgrond ook een uitzondering voor bijzondere categorieën nodig; expliciete toestemming kan een optie zijn, maar moet juridisch worden gevalideerd.</w:t>
      </w:r>
    </w:p>
    <w:p>
      <w:pPr>
        <w:spacing w:after="40"/>
        <w:ind w:left="142" w:hanging="142"/>
      </w:pPr>
      <w:r>
        <w:rPr>
          <w:b/>
          <w:color w:val="244B5A"/>
        </w:rPr>
        <w:t xml:space="preserve">• Toestemming: </w:t>
      </w:r>
      <w:r>
        <w:t>Maak toestemming specifiek, geïnformeerd, aantoonbaar en intrekbaar. Splits bijvoorbeeld wearableverwerking en eventuele LLM-verwerking.</w:t>
      </w:r>
    </w:p>
    <w:p>
      <w:pPr>
        <w:spacing w:after="40"/>
        <w:ind w:left="142" w:hanging="142"/>
      </w:pPr>
      <w:r>
        <w:rPr>
          <w:b/>
          <w:color w:val="244B5A"/>
        </w:rPr>
        <w:t xml:space="preserve">• Dataminimalisatie: </w:t>
      </w:r>
      <w:r>
        <w:t>Bewaar alleen gegevens die nodig zijn voor een actieve functie. Laat geslacht, vrije medische tekst en ruwe bestanden weg als de MVP ze niet nodig heeft.</w:t>
      </w:r>
    </w:p>
    <w:p>
      <w:pPr>
        <w:spacing w:after="40"/>
        <w:ind w:left="142" w:hanging="142"/>
      </w:pPr>
      <w:r>
        <w:rPr>
          <w:b/>
          <w:color w:val="244B5A"/>
        </w:rPr>
        <w:t xml:space="preserve">• DPIA: </w:t>
      </w:r>
      <w:r>
        <w:t>Voer vóór publieke productie een Data Protection Impact Assessment uit wegens de combinatie van gezondheidsgegevens, profilering en geautomatiseerde aanbevelingen.</w:t>
      </w:r>
    </w:p>
    <w:p>
      <w:pPr>
        <w:spacing w:after="40"/>
        <w:ind w:left="142" w:hanging="142"/>
      </w:pPr>
      <w:r>
        <w:rPr>
          <w:b/>
          <w:color w:val="244B5A"/>
        </w:rPr>
        <w:t xml:space="preserve">• Bewaartermijnen: </w:t>
      </w:r>
      <w:r>
        <w:t>Bepaal per datatype een termijn: account, activiteiten, ruwe FIT/TCX-bestanden, afgeleide scores, chat, logs en back-ups. Verwijder of anonimiseer daarna.</w:t>
      </w:r>
    </w:p>
    <w:p>
      <w:pPr>
        <w:spacing w:after="40"/>
        <w:ind w:left="142" w:hanging="142"/>
      </w:pPr>
      <w:r>
        <w:rPr>
          <w:b/>
          <w:color w:val="244B5A"/>
        </w:rPr>
        <w:t xml:space="preserve">• Rechten van de gebruiker: </w:t>
      </w:r>
      <w:r>
        <w:t>Voorzie begrijpelijke privacy-informatie, data-export, correctie, accountverwijdering en intrekking van toestemming.</w:t>
      </w:r>
    </w:p>
    <w:p>
      <w:pPr>
        <w:spacing w:after="40"/>
        <w:ind w:left="142" w:hanging="142"/>
      </w:pPr>
      <w:r>
        <w:rPr>
          <w:b/>
          <w:color w:val="244B5A"/>
        </w:rPr>
        <w:t xml:space="preserve">• Toegang en beveiliging: </w:t>
      </w:r>
      <w:r>
        <w:t>Pas least privilege, sterke authenticatie, encryptie, toegangslogging, leveranciersafspraken en een incidentprocedure toe.</w:t>
      </w:r>
    </w:p>
    <w:p>
      <w:pPr>
        <w:spacing w:after="40"/>
        <w:ind w:left="142" w:hanging="142"/>
      </w:pPr>
      <w:r>
        <w:rPr>
          <w:b/>
          <w:color w:val="244B5A"/>
        </w:rPr>
        <w:t xml:space="preserve">• Leeftijd: </w:t>
      </w:r>
      <w:r>
        <w:t>Kies voor de MVP bij voorkeur 18+ totdat minderjarigen, ouderlijke toestemming en aangepaste veiligheidsregels juridisch zijn uitgewerkt.</w:t>
      </w:r>
    </w:p>
    <w:p>
      <w:pPr>
        <w:pStyle w:val="Heading1"/>
      </w:pPr>
      <w:r>
        <w:t>Voorgestelde bespreekvolgorde</w:t>
      </w:r>
    </w:p>
    <w:p>
      <w:pPr>
        <w:pStyle w:val="ListNumber"/>
        <w:spacing w:after="20"/>
      </w:pPr>
      <w:r>
        <w:t>Bevestig de racegerichte MVP-scope en welke racedistances werkelijk ondersteund worden.</w:t>
      </w:r>
    </w:p>
    <w:p>
      <w:pPr>
        <w:pStyle w:val="ListNumber"/>
        <w:spacing w:after="20"/>
      </w:pPr>
      <w:r>
        <w:t>Bevestig dat alle plan- en zonewijzigingen voorstellen blijven tot de atleet akkoord gaat.</w:t>
      </w:r>
    </w:p>
    <w:p>
      <w:pPr>
        <w:pStyle w:val="ListNumber"/>
        <w:spacing w:after="20"/>
      </w:pPr>
      <w:r>
        <w:t>Bevestig de conservatieve keuzes rond blessures, RPE en correcties.</w:t>
      </w:r>
    </w:p>
    <w:p>
      <w:pPr>
        <w:pStyle w:val="ListNumber"/>
        <w:spacing w:after="20"/>
      </w:pPr>
      <w:r>
        <w:t>Wijs een fysiologische reviewer en een privacy/juridische eigenaar aan.</w:t>
      </w:r>
    </w:p>
    <w:p>
      <w:pPr>
        <w:pStyle w:val="ListNumber"/>
        <w:spacing w:after="20"/>
      </w:pPr>
      <w:r>
        <w:t>Laat development daarna de beslissingen in één versioned ruleset en ADR-register vastleggen.</w:t>
      </w:r>
    </w:p>
    <w:p>
      <w:pPr>
        <w:pStyle w:val="Heading1"/>
      </w:pPr>
      <w:r>
        <w:t>Bronnen en status</w:t>
      </w:r>
    </w:p>
    <w:p>
      <w:r>
        <w:rPr>
          <w:b/>
        </w:rPr>
        <w:t xml:space="preserve">Projectbasis: </w:t>
      </w:r>
      <w:r>
        <w:t>START23 concept.docx en Start23_Systeemoverzicht_BR.pdf, aangeleverd voor deze analyse.</w:t>
      </w:r>
    </w:p>
    <w:p>
      <w:r>
        <w:rPr>
          <w:b/>
        </w:rPr>
        <w:t xml:space="preserve">Juridische referentie: </w:t>
      </w:r>
      <w:r>
        <w:t>Verordening (EU) 2016/679 (GDPR), in het bijzonder de principes, rechten, bijzondere categorieën van persoonsgegevens, gegevensbescherming door ontwerp en DPIA-verplichtingen. Officiële tekst: https://eur-lex.europa.eu/eli/reg/2016/679/oj</w:t>
      </w:r>
    </w:p>
    <w:p>
      <w:r>
        <w:rPr>
          <w:b/>
        </w:rPr>
        <w:t xml:space="preserve">Opmerking: </w:t>
      </w:r>
      <w:r>
        <w:t>De GDPR-paragraaf is een praktische startlijst en geen formeel juridisch advies. Laat de definitieve rechtsgrond, toestemmingsteksten, bewaartermijnen en DPIA beoordelen door een privacyprofessional of juridisch adviseur.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C85"/>
        <w:sz w:val="16"/>
      </w:rPr>
      <w:t xml:space="preserve">Bespreekdocument - 11 augustus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C85"/>
        <w:sz w:val="16"/>
      </w:rPr>
      <w:t>START23  |  Open beslispunten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C6E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Start23 - open technische en beleidskeuzes</dc:title>
  <dc:subject>Compact bespreekdocument voor businesspartners</dc:subject>
  <dc:creator>Adrian Van Den Broeck</dc:creator>
  <keywords/>
  <dc:description>generated by python-docx</dc:description>
  <lastModifiedBy>Adrian Van Den Broeck</lastModifiedBy>
  <revision>1</revision>
  <dcterms:created xsi:type="dcterms:W3CDTF">2026-08-11T18:54:38.4480810Z</dcterms:created>
  <dcterms:modified xsi:type="dcterms:W3CDTF">2026-08-11T18:54:38.4480810Z</dcterms:modified>
  <category/>
</coreProperties>
</file>